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2025-SC-9547</w:t>
      </w:r>
    </w:p>
    <w:p>
      <w:pPr>
        <w:jc w:val="center"/>
      </w:pPr>
      <w:r>
        <w:rPr>
          <w:b/>
          <w:bCs/>
          <w:color w:val="000000"/>
          <w:sz w:val="28"/>
          <w:szCs w:val="28"/>
        </w:rPr>
        <w:t xml:space="preserve">Lakeside Medical Center</w:t>
      </w:r>
    </w:p>
    <w:p>
      <w:pPr>
        <w:spacing w:after="300"/>
        <w:jc w:val="center"/>
      </w:pPr>
      <w:r>
        <w:rPr>
          <w:color w:val="000000"/>
          <w:sz w:val="24"/>
          <w:szCs w:val="24"/>
        </w:rPr>
        <w:t xml:space="preserve">Fire Suppression and Alarm Systems</w:t>
      </w:r>
    </w:p>
    <w:p>
      <w:pPr>
        <w:jc w:val="center"/>
      </w:pPr>
      <w:r>
        <w:rPr>
          <w:color w:val="000000"/>
          <w:sz w:val="24"/>
          <w:szCs w:val="24"/>
        </w:rPr>
        <w:t xml:space="preserve">Between</w:t>
      </w:r>
    </w:p>
    <w:p>
      <w:pPr>
        <w:jc w:val="center"/>
      </w:pPr>
      <w:r>
        <w:rPr>
          <w:b/>
          <w:bCs/>
          <w:color w:val="000000"/>
          <w:sz w:val="24"/>
          <w:szCs w:val="24"/>
        </w:rPr>
        <w:t xml:space="preserve">Apex Builders Corporation</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SafeGuard Fire Protection LLC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$1,650,000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Apex Builders Corporation ("Contractor") and SafeGuard Fire Protection LLC ("Subcontractor") for work on the Lakeside Medical Center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Fire Suppression and Alarm Systems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$1,650,000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$4,000,000 per claim and $8,000,000 aggregate.</w:t>
      </w:r>
    </w:p>
    <w:p>
      <w:pPr>
        <w:spacing w:after="200"/>
      </w:pPr>
      <w:r>
        <w:rPr>
          <w:color w:val="000000"/>
          <w:sz w:val="22"/>
          <w:szCs w:val="22"/>
        </w:rPr>
        <w:t xml:space="preserve">H. Umbrella/Excess Liability Insurance: $5,000,000 per occurrence and aggregate.</w:t>
      </w:r>
    </w:p>
    <w:p>
      <w:pPr>
        <w:spacing w:after="200"/>
      </w:pPr>
      <w:r>
        <w:t>6.2 Additional Insured Requirements. Subcontractor shall endorse its Commercial General Liability, Automobile Liability, and Umbrella policies to include Contractor, Owner, and Architect as additional insureds per CG 2010 10/01 edition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If Subcontractor defaults or causes delay, Subcontractor shall be liable for all losses sustained by Contractor, including but not limited to consequential damages, indirect damages, incidental damages, special damages, lost profits, loss of use, and loss of business opportunity.</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Vaccination Requirements. All Subcontractor personnel working on the Project site shall provide proof of COVID-19 vaccination. Subcontractor shall verify vaccination status before any worker enters the site and shall maintain records of such verification. Unvaccinated workers shall not be permitted on site.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Apex Builders Corporation</w:t>
      </w:r>
    </w:p>
    <w:p>
      <w:pPr>
        <w:spacing w:after="100"/>
      </w:pPr>
      <w:r>
        <w:rPr>
          <w:b/>
          <w:bCs/>
          <w:color w:val="000000"/>
          <w:sz w:val="22"/>
          <w:szCs w:val="22"/>
        </w:rPr>
        <w:t xml:space="preserve">SUBCONTRACTOR:</w:t>
      </w:r>
    </w:p>
    <w:p>
      <w:pPr>
        <w:spacing w:after="300"/>
      </w:pPr>
      <w:r>
        <w:rPr>
          <w:color w:val="000000"/>
          <w:sz w:val="22"/>
          <w:szCs w:val="22"/>
        </w:rPr>
        <w:t xml:space="preserve">SafeGuard Fire Protection LLC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2025-12-16T12:57:57.724Z</dcterms:created>
  <dcterms:modified xsi:type="dcterms:W3CDTF">2025-12-16T12:57:57.724Z</dcterms:modified>
</cp:coreProperties>
</file>

<file path=docProps/custom.xml><?xml version="1.0" encoding="utf-8"?>
<Properties xmlns="http://schemas.openxmlformats.org/officeDocument/2006/custom-properties" xmlns:vt="http://schemas.openxmlformats.org/officeDocument/2006/docPropsVTypes"/>
</file>