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2025-SC-1572</w:t>
      </w:r>
    </w:p>
    <w:p>
      <w:pPr>
        <w:jc w:val="center"/>
      </w:pPr>
      <w:r>
        <w:rPr>
          <w:b/>
          <w:bCs/>
          <w:color w:val="000000"/>
          <w:sz w:val="28"/>
          <w:szCs w:val="28"/>
        </w:rPr>
        <w:t xml:space="preserve">University Science Building</w:t>
      </w:r>
    </w:p>
    <w:p>
      <w:pPr>
        <w:spacing w:after="300"/>
        <w:jc w:val="center"/>
      </w:pPr>
      <w:r>
        <w:rPr>
          <w:color w:val="000000"/>
          <w:sz w:val="24"/>
          <w:szCs w:val="24"/>
        </w:rPr>
        <w:t xml:space="preserve">Architectural Millwork and Casework</w:t>
      </w:r>
    </w:p>
    <w:p>
      <w:pPr>
        <w:jc w:val="center"/>
      </w:pPr>
      <w:r>
        <w:rPr>
          <w:color w:val="000000"/>
          <w:sz w:val="24"/>
          <w:szCs w:val="24"/>
        </w:rPr>
        <w:t xml:space="preserve">Between</w:t>
      </w:r>
    </w:p>
    <w:p>
      <w:pPr>
        <w:jc w:val="center"/>
      </w:pPr>
      <w:r>
        <w:rPr>
          <w:b/>
          <w:bCs/>
          <w:color w:val="000000"/>
          <w:sz w:val="24"/>
          <w:szCs w:val="24"/>
        </w:rPr>
        <w:t xml:space="preserve">Crest Construction Services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WoodCraft Millwork &amp; Casework</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$1,875,000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Crest Construction Services ("Contractor") and WoodCraft Millwork &amp; Casework ("Subcontractor") for work on the University Science Building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Architectural Millwork and Casework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$1,875,000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t>D. Subcontractor shall maintain Railroad Protective Liability Insurance with limits of $2,000,000 per occurrence.</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$3,500,000 per claim and $7,000,000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10 - LABOUR REQUIREMENTS</w:t>
      </w:r>
    </w:p>
    <w:p>
      <w:pPr>
        <w:spacing w:after="200"/>
      </w:pPr>
      <w:r>
        <w:rPr>
          <w:color w:val="000000"/>
          <w:sz w:val="22"/>
          <w:szCs w:val="22"/>
        </w:rPr>
        <w:t xml:space="preserve">10.1 Subcontractor acknowledges that the Project is subject to a Project Labor Agreement and execute a Letter of Assent. Subcontractor agrees to be bound by and comply with all terms and conditions of the PLA and shall execute all documents required for compliance.</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Vaccination Requirements. All Subcontractor personnel working on the Project site shall provide proof of proof of vaccination against COVID-19. Subcontractor shall verify vaccination status before any worker enters the site and shall maintain records of such verification. Unvaccinated workers shall not be permitted on site.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Crest Construction Services</w:t>
      </w:r>
    </w:p>
    <w:p>
      <w:pPr>
        <w:spacing w:after="100"/>
      </w:pPr>
      <w:r>
        <w:rPr>
          <w:b/>
          <w:bCs/>
          <w:color w:val="000000"/>
          <w:sz w:val="22"/>
          <w:szCs w:val="22"/>
        </w:rPr>
        <w:t xml:space="preserve">SUBCONTRACTOR:</w:t>
      </w:r>
    </w:p>
    <w:p>
      <w:pPr>
        <w:spacing w:after="300"/>
      </w:pPr>
      <w:r>
        <w:rPr>
          <w:color w:val="000000"/>
          <w:sz w:val="22"/>
          <w:szCs w:val="22"/>
        </w:rPr>
        <w:t xml:space="preserve">WoodCraft Millwork &amp; Casework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2025-12-16T12:57:57.834Z</dcterms:created>
  <dcterms:modified xsi:type="dcterms:W3CDTF">2025-12-16T12:57:57.834Z</dcterms:modified>
</cp:coreProperties>
</file>

<file path=docProps/custom.xml><?xml version="1.0" encoding="utf-8"?>
<Properties xmlns="http://schemas.openxmlformats.org/officeDocument/2006/custom-properties" xmlns:vt="http://schemas.openxmlformats.org/officeDocument/2006/docPropsVTypes"/>
</file>