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true"/>
        <w:keepLines w:val="true"/>
        <w:pBdr/>
        <w:spacing w:after="0" w:before="200"/>
        <w:ind/>
        <w:outlineLvl w:val="1"/>
        <w:rPr>
          <w:rFonts w:asciiTheme="majorHAnsi" w:hAnsiTheme="majorHAnsi" w:eastAsiaTheme="majorEastAsia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hAnsiTheme="majorHAnsi" w:eastAsiaTheme="majorEastAsia" w:cstheme="majorBidi"/>
          <w:b/>
          <w:bCs/>
          <w:color w:val="5b9bd5" w:themeColor="accent1"/>
          <w:sz w:val="26"/>
          <w:szCs w:val="26"/>
        </w:rPr>
        <w:t xml:space="preserve">Step 2</w:t>
      </w:r>
      <w:r>
        <w:rPr>
          <w:rFonts w:asciiTheme="majorHAnsi" w:hAnsiTheme="majorHAnsi" w:eastAsiaTheme="majorEastAsia" w:cstheme="majorBidi"/>
          <w:b/>
          <w:bCs/>
          <w:color w:val="5b9bd5" w:themeColor="accent1"/>
          <w:sz w:val="26"/>
          <w:szCs w:val="26"/>
        </w:rPr>
        <w:t xml:space="preserve"> (</w:t>
      </w:r>
      <w:r>
        <w:rPr>
          <w:rFonts w:asciiTheme="majorHAnsi" w:hAnsiTheme="majorHAnsi" w:eastAsiaTheme="majorEastAsia" w:cstheme="majorBidi"/>
          <w:b/>
          <w:bCs/>
          <w:color w:val="5b9bd5" w:themeColor="accent1"/>
          <w:sz w:val="26"/>
          <w:szCs w:val="26"/>
        </w:rPr>
        <w:t xml:space="preserve">Beachhead Market Selection</w:t>
      </w:r>
      <w:r>
        <w:rPr>
          <w:rFonts w:asciiTheme="majorHAnsi" w:hAnsiTheme="majorHAnsi" w:eastAsiaTheme="majorEastAsia" w:cstheme="majorBidi"/>
          <w:b/>
          <w:bCs/>
          <w:color w:val="5b9bd5" w:themeColor="accent1"/>
          <w:sz w:val="26"/>
          <w:szCs w:val="26"/>
        </w:rPr>
        <w:t xml:space="preserve">) Worksheet</w:t>
      </w:r>
      <w:r>
        <w:rPr>
          <w:rFonts w:asciiTheme="majorHAnsi" w:hAnsiTheme="majorHAnsi" w:eastAsiaTheme="majorEastAsia" w:cstheme="majorBidi"/>
          <w:b/>
          <w:bCs/>
          <w:color w:val="5b9bd5" w:themeColor="accent1"/>
          <w:sz w:val="26"/>
          <w:szCs w:val="26"/>
        </w:rPr>
      </w:r>
    </w:p>
    <w:p>
      <w:pPr>
        <w:pBdr/>
        <w:spacing/>
        <w:ind/>
        <w:rPr/>
      </w:pPr>
      <w:r/>
      <w:r/>
    </w:p>
    <w:tbl>
      <w:tblPr>
        <w:tblStyle w:val="73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70"/>
        <w:gridCol w:w="2805"/>
        <w:gridCol w:w="2880"/>
        <w:gridCol w:w="2790"/>
        <w:gridCol w:w="2700"/>
      </w:tblGrid>
      <w:tr>
        <w:trPr/>
        <w:tc>
          <w:tcPr>
            <w:gridSpan w:val="5"/>
            <w:tcBorders/>
            <w:tcW w:w="130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u w:val="single"/>
              </w:rPr>
            </w:pPr>
            <w:r>
              <w:rPr>
                <w:b/>
                <w:sz w:val="32"/>
                <w:u w:val="single"/>
              </w:rPr>
              <w:t xml:space="preserve">Beachhead Market Selection Worksheet</w:t>
            </w:r>
            <w:r>
              <w:rPr>
                <w:b/>
                <w:u w:val="single"/>
              </w:rPr>
            </w:r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Criteria</w:t>
            </w:r>
            <w:r>
              <w:rPr>
                <w:b/>
                <w:u w:val="single"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Academic and Research Institutions</w:t>
            </w:r>
            <w:r>
              <w:rPr>
                <w:b/>
                <w:u w:val="single"/>
              </w:rPr>
            </w:r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u w:val="single"/>
              </w:rPr>
            </w:pPr>
            <w:r>
              <w:rPr>
                <w:b/>
                <w:u w:val="single"/>
              </w:rPr>
              <w:t xml:space="preserve">Pharma and Biotech Institutions</w:t>
            </w:r>
            <w:r>
              <w:rPr>
                <w:b/>
                <w:u w:val="single"/>
              </w:rPr>
            </w:r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Government and Public Research Agencies</w:t>
            </w:r>
            <w:r>
              <w:rPr>
                <w:b/>
                <w:u w:val="single"/>
              </w:rPr>
            </w:r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u w:val="single"/>
              </w:rPr>
            </w:pPr>
            <w:r>
              <w:rPr>
                <w:b/>
                <w:u w:val="single"/>
              </w:rPr>
              <w:t xml:space="preserve">Private R&amp;D Organizations</w:t>
            </w:r>
            <w:r>
              <w:rPr>
                <w:b/>
                <w:u w:val="single"/>
              </w:rPr>
            </w:r>
            <w:r/>
          </w:p>
        </w:tc>
      </w:tr>
      <w:tr>
        <w:trPr/>
        <w:tc>
          <w:tcPr>
            <w:gridSpan w:val="5"/>
            <w:tcBorders/>
            <w:tcW w:w="130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Rating is Very High (best), High, Medium, Low, Show Stopper (worst)</w:t>
            </w:r>
            <w:r>
              <w:rPr>
                <w:b/>
                <w:u w:val="single"/>
              </w:rPr>
            </w:r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b/>
              </w:rPr>
              <w:t xml:space="preserve">Economically Attractive</w:t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Medium</w:t>
              <w:br/>
              <w:t xml:space="preserve">(Lower per‐seat revenue but large volume)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Very High</w:t>
              <w:br/>
              <w:t xml:space="preserve">(High enterprise value, big ROI potential)</w:t>
            </w: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(Large contracts but slower cycles)</w:t>
            </w: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(Balanced pricing with agile spending)</w:t>
            </w:r>
            <w:r/>
            <w:r/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/>
            <w:bookmarkStart w:id="0" w:name="_GoBack"/>
            <w:r/>
            <w:bookmarkEnd w:id="0"/>
            <w:r>
              <w:rPr>
                <w:b/>
              </w:rPr>
              <w:t xml:space="preserve">2. </w:t>
            </w:r>
            <w:r>
              <w:rPr>
                <w:b/>
              </w:rPr>
              <w:t xml:space="preserve">Accessible to Our Sales Force</w:t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(Reachable via academic networks)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Low</w:t>
              <w:br/>
              <w:t xml:space="preserve">(Long sales cycles and complex procurement)</w:t>
            </w: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Low</w:t>
              <w:br/>
              <w:t xml:space="preserve">(Rigid, bureaucratic channels)</w:t>
            </w: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Very High</w:t>
              <w:br/>
              <w:t xml:space="preserve">(Nimble decision-making and shorter cycles)</w:t>
            </w:r>
            <w:r/>
            <w:r/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b/>
              </w:rPr>
              <w:t xml:space="preserve">Strong Value Proposition</w:t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Very High</w:t>
              <w:br/>
              <w:t xml:space="preserve">(Accelerates publication and research impact)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Very High</w:t>
              <w:br/>
              <w:t xml:space="preserve">(Shortens drug development and cuts R&amp;D costs)</w:t>
            </w: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(Improves research outputs though with less urgency)</w:t>
            </w: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Very High</w:t>
              <w:br/>
              <w:t xml:space="preserve">(Boosts rapid innovation and competitive time-to-market)</w:t>
            </w:r>
            <w:r/>
            <w:r/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4. </w:t>
            </w:r>
            <w:r>
              <w:rPr>
                <w:b/>
              </w:rPr>
              <w:t xml:space="preserve">Complete Product</w:t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(Product fits academic research workflows with available integrations)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Medium</w:t>
              <w:br/>
              <w:t xml:space="preserve">(Needs additional compliance/regulatory modules)</w:t>
            </w: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Low</w:t>
              <w:br/>
              <w:t xml:space="preserve">(Requires full-scale security and government integration)</w:t>
            </w: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(Modular platform fits well with agile R&amp;D environments)</w:t>
            </w:r>
            <w:r/>
            <w:r/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b/>
              </w:rPr>
              <w:t xml:space="preserve">Competition</w:t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Medium</w:t>
              <w:br/>
              <w:t xml:space="preserve">(Competing against established tools, yet opportunity exists for differentiation)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Low</w:t>
              <w:br/>
              <w:t xml:space="preserve">(Niche players like specialized AI drug platforms create strong headwinds)</w:t>
            </w: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Low</w:t>
              <w:br/>
              <w:t xml:space="preserve">(Incumbent in-house solutions and contractors dominate)</w:t>
            </w: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(More fragmented, with fewer dedicated alternatives)</w:t>
            </w:r>
            <w:r/>
            <w:r/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6. </w:t>
            </w:r>
            <w:r>
              <w:rPr>
                <w:b/>
              </w:rPr>
              <w:t xml:space="preserve">Strategic Value</w:t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Very High</w:t>
              <w:br/>
              <w:t xml:space="preserve">(Provides credibility and a base for influential pilot projects)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Very High</w:t>
              <w:br/>
              <w:t xml:space="preserve">(Successful adoption offers strong industry validation)</w:t>
            </w: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(Prestige and large contracts, though harder to secure)</w:t>
            </w: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(Opens doors for rapid iteration and commercialization)</w:t>
            </w:r>
            <w:r/>
            <w:r/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7. </w:t>
            </w:r>
            <w:r>
              <w:rPr>
                <w:b/>
              </w:rPr>
              <w:t xml:space="preserve">Personal Alignment</w:t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Very High</w:t>
              <w:br/>
              <w:t xml:space="preserve">(Aligns with academic backgrounds and research-driven innovation)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Medium</w:t>
              <w:br/>
              <w:t xml:space="preserve">(Requires deeper pharma domain expertise)</w:t>
            </w: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Low</w:t>
              <w:br/>
              <w:t xml:space="preserve">(Less synergy with the team’s expertise)</w:t>
            </w: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High</w:t>
              <w:br/>
              <w:t xml:space="preserve">(Fits with a culture of innovation and agile product development)</w:t>
            </w:r>
            <w:r/>
            <w:r/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Overall Rating</w:t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  <w:r/>
          </w:p>
        </w:tc>
      </w:tr>
      <w:tr>
        <w:trPr/>
        <w:tc>
          <w:tcPr>
            <w:gridSpan w:val="5"/>
            <w:tcBorders/>
            <w:tcW w:w="130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Rating for Ranking is 1 (most attractive) to 4 (least attractive) – Key Factors is Most Important Contributor to the Ranking</w:t>
            </w:r>
            <w:r>
              <w:rPr>
                <w:b/>
                <w:i/>
              </w:rPr>
            </w:r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Ranking</w:t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</w:tr>
      <w:tr>
        <w:trPr/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Key </w:t>
            </w:r>
            <w:r>
              <w:rPr>
                <w:b/>
              </w:rPr>
              <w:t xml:space="preserve">Deciding </w:t>
            </w:r>
            <w:r>
              <w:rPr>
                <w:b/>
              </w:rPr>
              <w:t xml:space="preserve">Factors</w:t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80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– Credibility and strong research impact</w:t>
              <w:br/>
              <w:t xml:space="preserve">– High personal alignment</w:t>
              <w:br/>
              <w:t xml:space="preserve">– Robust value proposition that fits current product strengths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– Very high economic potential</w:t>
              <w:br/>
              <w:t xml:space="preserve">– Significant ROI, but offset by tougher access and regulatory needs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7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– Attractive due to large-scale contracts</w:t>
              <w:br/>
              <w:t xml:space="preserve">– Strategic for prestige, yet hampered by bureaucratic sales channels and product gaps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– Excellent accessibility and product fit</w:t>
              <w:br/>
              <w:t xml:space="preserve">– Agile market with strong innovation potential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  <w:bCs/>
        </w:rPr>
        <w:t xml:space="preserve">Explanation</w:t>
      </w:r>
      <w:r/>
    </w:p>
    <w:p>
      <w:pPr>
        <w:pStyle w:val="739"/>
        <w:numPr>
          <w:ilvl w:val="0"/>
          <w:numId w:val="18"/>
        </w:numPr>
        <w:pBdr/>
        <w:spacing/>
        <w:ind/>
        <w:rPr/>
      </w:pPr>
      <w:r/>
      <w:r>
        <w:t xml:space="preserve">Academic and Research Institutions </w:t>
      </w:r>
      <w:r/>
      <w:r>
        <w:t xml:space="preserve">are ranked as the top beachhead market (Rank 1) because they offer strong strategic value and personal alignment with our mission. Even though economic attrac</w:t>
      </w:r>
      <w:r>
        <w:t xml:space="preserve">tiveness per seat is moderate, the overall research impact, credibility, and network effects make them an ideal launchpad</w:t>
      </w:r>
      <w:r/>
      <w:r/>
    </w:p>
    <w:p>
      <w:pPr>
        <w:pStyle w:val="739"/>
        <w:numPr>
          <w:ilvl w:val="0"/>
          <w:numId w:val="18"/>
        </w:numPr>
        <w:pBdr/>
        <w:spacing/>
        <w:ind/>
        <w:rPr/>
      </w:pPr>
      <w:r/>
      <w:r>
        <w:t xml:space="preserve">Private R&amp;D Organizations come in second (Rank 2) because they are very accessible and their agile, innovation-driven nature co</w:t>
      </w:r>
      <w:r>
        <w:t xml:space="preserve">mplements our modular multi-agent system.</w:t>
      </w:r>
      <w:r/>
    </w:p>
    <w:p>
      <w:pPr>
        <w:pStyle w:val="739"/>
        <w:numPr>
          <w:ilvl w:val="0"/>
          <w:numId w:val="18"/>
        </w:numPr>
        <w:pBdr/>
        <w:spacing/>
        <w:ind/>
        <w:rPr/>
      </w:pPr>
      <w:r>
        <w:t xml:space="preserve">Pharma and Biotech Companies (Rank 3) are very attractive from an economic standpoint and have a powerful value proposition. However, more complex sales cycles and the need for additional compliance features ma</w:t>
      </w:r>
      <w:r>
        <w:t xml:space="preserve">ke them a secondary target.</w:t>
      </w:r>
      <w:r/>
    </w:p>
    <w:p>
      <w:pPr>
        <w:pStyle w:val="739"/>
        <w:numPr>
          <w:ilvl w:val="0"/>
          <w:numId w:val="18"/>
        </w:numPr>
        <w:pBdr/>
        <w:spacing/>
        <w:ind/>
        <w:rPr/>
      </w:pPr>
      <w:r>
        <w:t xml:space="preserve">Government and Public Research Agencies (Rank 4) offer high contract values and prestige but are less accessible due to rigid procurement processes and the need for a more complete (security and compliance) product offering.</w:t>
      </w:r>
      <w:r/>
      <w:r/>
    </w:p>
    <w:sectPr>
      <w:footnotePr/>
      <w:endnotePr/>
      <w:type w:val="nextPage"/>
      <w:pgSz w:h="12240" w:orient="landscape" w:w="15840"/>
      <w:pgMar w:top="1152" w:right="1152" w:bottom="1152" w:left="1152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Lucida Grande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16"/>
  </w:num>
  <w:num w:numId="7">
    <w:abstractNumId w:val="13"/>
  </w:num>
  <w:num w:numId="8">
    <w:abstractNumId w:val="0"/>
  </w:num>
  <w:num w:numId="9">
    <w:abstractNumId w:val="14"/>
  </w:num>
  <w:num w:numId="10">
    <w:abstractNumId w:val="15"/>
  </w:num>
  <w:num w:numId="11">
    <w:abstractNumId w:val="9"/>
  </w:num>
  <w:num w:numId="12">
    <w:abstractNumId w:val="6"/>
  </w:num>
  <w:num w:numId="13">
    <w:abstractNumId w:val="11"/>
  </w:num>
  <w:num w:numId="14">
    <w:abstractNumId w:val="2"/>
  </w:num>
  <w:num w:numId="15">
    <w:abstractNumId w:val="7"/>
  </w:num>
  <w:num w:numId="16">
    <w:abstractNumId w:val="12"/>
  </w:num>
  <w:num w:numId="17">
    <w:abstractNumId w:val="1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30"/>
    <w:next w:val="73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30"/>
    <w:next w:val="73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30"/>
    <w:next w:val="73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30"/>
    <w:next w:val="73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30"/>
    <w:next w:val="73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30"/>
    <w:next w:val="73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30"/>
    <w:next w:val="73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0"/>
    <w:next w:val="73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0"/>
    <w:next w:val="73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3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30"/>
    <w:next w:val="73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3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30"/>
    <w:next w:val="73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3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0"/>
    <w:next w:val="73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0"/>
    <w:next w:val="73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3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3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31"/>
    <w:link w:val="175"/>
    <w:uiPriority w:val="99"/>
    <w:pPr>
      <w:pBdr/>
      <w:spacing/>
      <w:ind/>
    </w:pPr>
  </w:style>
  <w:style w:type="paragraph" w:styleId="177">
    <w:name w:val="Footer"/>
    <w:basedOn w:val="73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31"/>
    <w:link w:val="177"/>
    <w:uiPriority w:val="99"/>
    <w:pPr>
      <w:pBdr/>
      <w:spacing/>
      <w:ind/>
    </w:pPr>
  </w:style>
  <w:style w:type="paragraph" w:styleId="179">
    <w:name w:val="Caption"/>
    <w:basedOn w:val="730"/>
    <w:next w:val="73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3">
    <w:name w:val="endnote text"/>
    <w:basedOn w:val="73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30"/>
    <w:next w:val="730"/>
    <w:uiPriority w:val="39"/>
    <w:unhideWhenUsed/>
    <w:pPr>
      <w:pBdr/>
      <w:spacing w:after="100"/>
      <w:ind/>
    </w:pPr>
  </w:style>
  <w:style w:type="paragraph" w:styleId="189">
    <w:name w:val="toc 2"/>
    <w:basedOn w:val="730"/>
    <w:next w:val="730"/>
    <w:uiPriority w:val="39"/>
    <w:unhideWhenUsed/>
    <w:pPr>
      <w:pBdr/>
      <w:spacing w:after="100"/>
      <w:ind w:left="220"/>
    </w:pPr>
  </w:style>
  <w:style w:type="paragraph" w:styleId="190">
    <w:name w:val="toc 3"/>
    <w:basedOn w:val="730"/>
    <w:next w:val="730"/>
    <w:uiPriority w:val="39"/>
    <w:unhideWhenUsed/>
    <w:pPr>
      <w:pBdr/>
      <w:spacing w:after="100"/>
      <w:ind w:left="440"/>
    </w:pPr>
  </w:style>
  <w:style w:type="paragraph" w:styleId="191">
    <w:name w:val="toc 4"/>
    <w:basedOn w:val="730"/>
    <w:next w:val="730"/>
    <w:uiPriority w:val="39"/>
    <w:unhideWhenUsed/>
    <w:pPr>
      <w:pBdr/>
      <w:spacing w:after="100"/>
      <w:ind w:left="660"/>
    </w:pPr>
  </w:style>
  <w:style w:type="paragraph" w:styleId="192">
    <w:name w:val="toc 5"/>
    <w:basedOn w:val="730"/>
    <w:next w:val="730"/>
    <w:uiPriority w:val="39"/>
    <w:unhideWhenUsed/>
    <w:pPr>
      <w:pBdr/>
      <w:spacing w:after="100"/>
      <w:ind w:left="880"/>
    </w:pPr>
  </w:style>
  <w:style w:type="paragraph" w:styleId="193">
    <w:name w:val="toc 6"/>
    <w:basedOn w:val="730"/>
    <w:next w:val="730"/>
    <w:uiPriority w:val="39"/>
    <w:unhideWhenUsed/>
    <w:pPr>
      <w:pBdr/>
      <w:spacing w:after="100"/>
      <w:ind w:left="1100"/>
    </w:pPr>
  </w:style>
  <w:style w:type="paragraph" w:styleId="194">
    <w:name w:val="toc 7"/>
    <w:basedOn w:val="730"/>
    <w:next w:val="730"/>
    <w:uiPriority w:val="39"/>
    <w:unhideWhenUsed/>
    <w:pPr>
      <w:pBdr/>
      <w:spacing w:after="100"/>
      <w:ind w:left="1320"/>
    </w:pPr>
  </w:style>
  <w:style w:type="paragraph" w:styleId="195">
    <w:name w:val="toc 8"/>
    <w:basedOn w:val="730"/>
    <w:next w:val="730"/>
    <w:uiPriority w:val="39"/>
    <w:unhideWhenUsed/>
    <w:pPr>
      <w:pBdr/>
      <w:spacing w:after="100"/>
      <w:ind w:left="1540"/>
    </w:pPr>
  </w:style>
  <w:style w:type="paragraph" w:styleId="196">
    <w:name w:val="toc 9"/>
    <w:basedOn w:val="730"/>
    <w:next w:val="73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30"/>
    <w:next w:val="730"/>
    <w:uiPriority w:val="99"/>
    <w:unhideWhenUsed/>
    <w:pPr>
      <w:pBdr/>
      <w:spacing w:after="0" w:afterAutospacing="0"/>
      <w:ind/>
    </w:pPr>
  </w:style>
  <w:style w:type="paragraph" w:styleId="730" w:default="1">
    <w:name w:val="Normal"/>
    <w:qFormat/>
    <w:pPr>
      <w:pBdr/>
      <w:spacing/>
      <w:ind/>
    </w:pPr>
  </w:style>
  <w:style w:type="character" w:styleId="731" w:default="1">
    <w:name w:val="Default Paragraph Font"/>
    <w:uiPriority w:val="1"/>
    <w:semiHidden/>
    <w:unhideWhenUsed/>
    <w:pPr>
      <w:pBdr/>
      <w:spacing/>
      <w:ind/>
    </w:pPr>
  </w:style>
  <w:style w:type="table" w:styleId="7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3" w:default="1">
    <w:name w:val="No List"/>
    <w:uiPriority w:val="99"/>
    <w:semiHidden/>
    <w:unhideWhenUsed/>
    <w:pPr>
      <w:pBdr/>
      <w:spacing/>
      <w:ind/>
    </w:pPr>
  </w:style>
  <w:style w:type="character" w:styleId="734">
    <w:name w:val="Hyperlink"/>
    <w:basedOn w:val="731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735">
    <w:name w:val="Table Grid"/>
    <w:basedOn w:val="73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36">
    <w:name w:val="footnote text"/>
    <w:basedOn w:val="730"/>
    <w:link w:val="7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737" w:customStyle="1">
    <w:name w:val="Footnote Text Char"/>
    <w:basedOn w:val="731"/>
    <w:link w:val="736"/>
    <w:uiPriority w:val="99"/>
    <w:semiHidden/>
    <w:pPr>
      <w:pBdr/>
      <w:spacing/>
      <w:ind/>
    </w:pPr>
    <w:rPr>
      <w:sz w:val="20"/>
      <w:szCs w:val="20"/>
    </w:rPr>
  </w:style>
  <w:style w:type="character" w:styleId="738">
    <w:name w:val="footnote reference"/>
    <w:basedOn w:val="731"/>
    <w:uiPriority w:val="99"/>
    <w:semiHidden/>
    <w:unhideWhenUsed/>
    <w:pPr>
      <w:pBdr/>
      <w:spacing/>
      <w:ind/>
    </w:pPr>
    <w:rPr>
      <w:vertAlign w:val="superscript"/>
    </w:rPr>
  </w:style>
  <w:style w:type="paragraph" w:styleId="739">
    <w:name w:val="List Paragraph"/>
    <w:basedOn w:val="730"/>
    <w:uiPriority w:val="34"/>
    <w:qFormat/>
    <w:pPr>
      <w:pBdr/>
      <w:spacing/>
      <w:ind w:left="720"/>
      <w:contextualSpacing w:val="true"/>
    </w:pPr>
  </w:style>
  <w:style w:type="paragraph" w:styleId="740">
    <w:name w:val="Balloon Text"/>
    <w:basedOn w:val="730"/>
    <w:link w:val="741"/>
    <w:uiPriority w:val="99"/>
    <w:semiHidden/>
    <w:unhideWhenUsed/>
    <w:pPr>
      <w:pBdr/>
      <w:spacing w:after="0" w:line="240" w:lineRule="auto"/>
      <w:ind/>
    </w:pPr>
    <w:rPr>
      <w:rFonts w:ascii="Lucida Grande" w:hAnsi="Lucida Grande"/>
      <w:sz w:val="18"/>
      <w:szCs w:val="18"/>
    </w:rPr>
  </w:style>
  <w:style w:type="character" w:styleId="741" w:customStyle="1">
    <w:name w:val="Balloon Text Char"/>
    <w:basedOn w:val="731"/>
    <w:link w:val="740"/>
    <w:uiPriority w:val="99"/>
    <w:semiHidden/>
    <w:pPr>
      <w:pBdr/>
      <w:spacing/>
      <w:ind/>
    </w:pPr>
    <w:rPr>
      <w:rFonts w:ascii="Lucida Grande" w:hAnsi="Lucida Grande"/>
      <w:sz w:val="18"/>
      <w:szCs w:val="18"/>
    </w:rPr>
  </w:style>
  <w:style w:type="character" w:styleId="742">
    <w:name w:val="annotation reference"/>
    <w:basedOn w:val="731"/>
    <w:uiPriority w:val="99"/>
    <w:semiHidden/>
    <w:unhideWhenUsed/>
    <w:pPr>
      <w:pBdr/>
      <w:spacing/>
      <w:ind/>
    </w:pPr>
    <w:rPr>
      <w:sz w:val="18"/>
      <w:szCs w:val="18"/>
    </w:rPr>
  </w:style>
  <w:style w:type="paragraph" w:styleId="743">
    <w:name w:val="annotation text"/>
    <w:basedOn w:val="730"/>
    <w:link w:val="744"/>
    <w:uiPriority w:val="99"/>
    <w:semiHidden/>
    <w:unhideWhenUsed/>
    <w:pPr>
      <w:pBdr/>
      <w:spacing w:line="240" w:lineRule="auto"/>
      <w:ind/>
    </w:pPr>
    <w:rPr>
      <w:sz w:val="24"/>
      <w:szCs w:val="24"/>
    </w:rPr>
  </w:style>
  <w:style w:type="character" w:styleId="744" w:customStyle="1">
    <w:name w:val="Comment Text Char"/>
    <w:basedOn w:val="731"/>
    <w:link w:val="743"/>
    <w:uiPriority w:val="99"/>
    <w:semiHidden/>
    <w:pPr>
      <w:pBdr/>
      <w:spacing/>
      <w:ind/>
    </w:pPr>
    <w:rPr>
      <w:sz w:val="24"/>
      <w:szCs w:val="24"/>
    </w:rPr>
  </w:style>
  <w:style w:type="paragraph" w:styleId="745">
    <w:name w:val="annotation subject"/>
    <w:basedOn w:val="743"/>
    <w:next w:val="743"/>
    <w:link w:val="746"/>
    <w:uiPriority w:val="99"/>
    <w:semiHidden/>
    <w:unhideWhenUsed/>
    <w:pPr>
      <w:pBdr/>
      <w:spacing/>
      <w:ind/>
    </w:pPr>
    <w:rPr>
      <w:b/>
      <w:bCs/>
      <w:sz w:val="20"/>
      <w:szCs w:val="20"/>
    </w:rPr>
  </w:style>
  <w:style w:type="character" w:styleId="746" w:customStyle="1">
    <w:name w:val="Comment Subject Char"/>
    <w:basedOn w:val="744"/>
    <w:link w:val="745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747">
    <w:name w:val="Revision"/>
    <w:hidden/>
    <w:uiPriority w:val="99"/>
    <w:semiHidden/>
    <w:pPr>
      <w:pBdr/>
      <w:spacing w:after="0" w:line="240" w:lineRule="auto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FFDE-ACD4-40AF-BEA1-F1A4580E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MIT Sloan School of Management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revision>5</cp:revision>
  <dcterms:created xsi:type="dcterms:W3CDTF">2018-02-26T11:40:00Z</dcterms:created>
  <dcterms:modified xsi:type="dcterms:W3CDTF">2025-03-08T20:54:00Z</dcterms:modified>
</cp:coreProperties>
</file>