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4"/>
        <w:pBdr/>
        <w:spacing/>
        <w:ind/>
        <w:rPr>
          <w:sz w:val="24"/>
        </w:rPr>
      </w:pPr>
      <w:r/>
      <w:bookmarkStart w:id="0" w:name="_GoBack"/>
      <w:r>
        <w:t xml:space="preserve">Step 23: </w:t>
      </w:r>
      <w:r>
        <w:t xml:space="preserve">Are Your Customers “Eating the Dog Food”?</w:t>
      </w:r>
      <w:bookmarkEnd w:id="0"/>
      <w:r>
        <w:rPr>
          <w:sz w:val="24"/>
        </w:rPr>
      </w:r>
      <w:r>
        <w:rPr>
          <w:sz w:val="24"/>
        </w:rPr>
      </w:r>
    </w:p>
    <w:p>
      <w:pPr>
        <w:pBdr/>
        <w:spacing/>
        <w:ind w:left="720"/>
        <w:rPr>
          <w:sz w:val="24"/>
        </w:rPr>
      </w:pPr>
      <w:r>
        <w:rPr>
          <w:sz w:val="24"/>
        </w:rPr>
        <w:t xml:space="preserve">So what numbers should </w:t>
      </w:r>
      <w:r>
        <w:rPr>
          <w:sz w:val="24"/>
        </w:rPr>
        <w:t xml:space="preserve">you </w:t>
      </w:r>
      <w:r>
        <w:rPr>
          <w:sz w:val="24"/>
        </w:rPr>
        <w:t xml:space="preserve">look at?</w:t>
      </w:r>
      <w:r>
        <w:rPr>
          <w:sz w:val="24"/>
        </w:rPr>
      </w:r>
      <w:r>
        <w:rPr>
          <w:sz w:val="24"/>
        </w:rPr>
      </w:r>
    </w:p>
    <w:p>
      <w:pPr>
        <w:pStyle w:val="894"/>
        <w:numPr>
          <w:ilvl w:val="0"/>
          <w:numId w:val="6"/>
        </w:numPr>
        <w:pBdr/>
        <w:spacing/>
        <w:ind/>
        <w:rPr>
          <w:sz w:val="24"/>
        </w:rPr>
      </w:pPr>
      <w:r>
        <w:rPr>
          <w:b/>
          <w:sz w:val="24"/>
        </w:rPr>
        <w:t xml:space="preserve">Initial Interest</w:t>
      </w:r>
      <w:r>
        <w:rPr>
          <w:sz w:val="24"/>
        </w:rPr>
        <w:t xml:space="preserve">:  </w:t>
      </w:r>
      <w:r>
        <w:rPr>
          <w:sz w:val="24"/>
        </w:rPr>
        <w:t xml:space="preserve">Once your target customer is exposed to your value proposition, what percentage of them actively seek to learn more? On a website, you can measure the clickthrough rate from a page that details the benefits of the product to a subsequent page.</w:t>
      </w:r>
      <w:r>
        <w:rPr>
          <w:sz w:val="24"/>
        </w:rPr>
      </w:r>
      <w:r>
        <w:rPr>
          <w:sz w:val="24"/>
        </w:rPr>
      </w:r>
    </w:p>
    <w:p>
      <w:pPr>
        <w:pStyle w:val="894"/>
        <w:numPr>
          <w:ilvl w:val="0"/>
          <w:numId w:val="6"/>
        </w:numPr>
        <w:pBdr/>
        <w:spacing/>
        <w:ind/>
        <w:rPr>
          <w:sz w:val="24"/>
        </w:rPr>
      </w:pPr>
      <w:r>
        <w:rPr>
          <w:b/>
          <w:sz w:val="24"/>
        </w:rPr>
        <w:t xml:space="preserve">Conversion Rates</w:t>
      </w:r>
      <w:r>
        <w:rPr>
          <w:sz w:val="24"/>
        </w:rPr>
        <w:t xml:space="preserve">:  Once </w:t>
      </w:r>
      <w:r>
        <w:rPr>
          <w:sz w:val="24"/>
        </w:rPr>
        <w:t xml:space="preserve">the target customer is </w:t>
      </w:r>
      <w:r>
        <w:rPr>
          <w:sz w:val="24"/>
        </w:rPr>
        <w:t xml:space="preserve">in the</w:t>
      </w:r>
      <w:r>
        <w:rPr>
          <w:sz w:val="24"/>
        </w:rPr>
        <w:t xml:space="preserve"> sales</w:t>
      </w:r>
      <w:r>
        <w:rPr>
          <w:sz w:val="24"/>
        </w:rPr>
        <w:t xml:space="preserve"> funnel, the yield rates</w:t>
      </w:r>
      <w:r>
        <w:rPr>
          <w:sz w:val="24"/>
        </w:rPr>
        <w:t xml:space="preserve"> going from section to section of the funnel</w:t>
      </w:r>
      <w:r>
        <w:rPr>
          <w:sz w:val="24"/>
        </w:rPr>
        <w:t xml:space="preserve"> are extremely important numbers to understand, both the absolute numbers but also the trends.</w:t>
      </w:r>
      <w:r>
        <w:rPr>
          <w:sz w:val="24"/>
        </w:rPr>
      </w:r>
      <w:r>
        <w:rPr>
          <w:sz w:val="24"/>
        </w:rPr>
      </w:r>
    </w:p>
    <w:p>
      <w:pPr>
        <w:pStyle w:val="894"/>
        <w:numPr>
          <w:ilvl w:val="0"/>
          <w:numId w:val="6"/>
        </w:numPr>
        <w:pBdr/>
        <w:spacing/>
        <w:ind/>
        <w:rPr>
          <w:sz w:val="24"/>
        </w:rPr>
      </w:pPr>
      <w:r>
        <w:rPr>
          <w:b/>
          <w:sz w:val="24"/>
        </w:rPr>
        <w:t xml:space="preserve">Purchase and Pay</w:t>
      </w:r>
      <w:r>
        <w:rPr>
          <w:sz w:val="24"/>
        </w:rPr>
        <w:t xml:space="preserve">:  The ultimate conversion.  </w:t>
      </w:r>
      <w:r>
        <w:rPr>
          <w:sz w:val="24"/>
        </w:rPr>
        <w:t xml:space="preserve">Whether </w:t>
      </w:r>
      <w:r>
        <w:rPr>
          <w:sz w:val="24"/>
        </w:rPr>
        <w:t xml:space="preserve">the customer pays </w:t>
      </w:r>
      <w:r>
        <w:rPr>
          <w:sz w:val="24"/>
        </w:rPr>
        <w:t xml:space="preserve">for your product </w:t>
      </w:r>
      <w:r>
        <w:rPr>
          <w:sz w:val="24"/>
        </w:rPr>
        <w:t xml:space="preserve">is one very important indication of whether the customer is getting value.</w:t>
      </w:r>
      <w:r>
        <w:rPr>
          <w:sz w:val="24"/>
        </w:rPr>
        <w:t xml:space="preserve">  How long it take</w:t>
      </w:r>
      <w:r>
        <w:rPr>
          <w:sz w:val="24"/>
        </w:rPr>
        <w:t xml:space="preserve">s</w:t>
      </w:r>
      <w:r>
        <w:rPr>
          <w:sz w:val="24"/>
        </w:rPr>
        <w:t xml:space="preserve"> </w:t>
      </w:r>
      <w:r>
        <w:rPr>
          <w:sz w:val="24"/>
        </w:rPr>
        <w:t xml:space="preserve">the customer </w:t>
      </w:r>
      <w:r>
        <w:rPr>
          <w:sz w:val="24"/>
        </w:rPr>
        <w:t xml:space="preserve">to pay</w:t>
      </w:r>
      <w:r>
        <w:rPr>
          <w:sz w:val="24"/>
        </w:rPr>
        <w:t xml:space="preserve">, and what percentage of customers end up not paying after making an initial commitment (the “default rate”),</w:t>
      </w:r>
      <w:r>
        <w:rPr>
          <w:sz w:val="24"/>
        </w:rPr>
        <w:t xml:space="preserve"> are also interesting numbers to watch.</w:t>
      </w:r>
      <w:r>
        <w:rPr>
          <w:sz w:val="24"/>
        </w:rPr>
      </w:r>
      <w:r>
        <w:rPr>
          <w:sz w:val="24"/>
        </w:rPr>
      </w:r>
    </w:p>
    <w:p>
      <w:pPr>
        <w:pStyle w:val="894"/>
        <w:numPr>
          <w:ilvl w:val="0"/>
          <w:numId w:val="6"/>
        </w:numPr>
        <w:pBdr/>
        <w:spacing/>
        <w:ind/>
        <w:rPr>
          <w:sz w:val="24"/>
        </w:rPr>
      </w:pPr>
      <w:r>
        <w:rPr>
          <w:b/>
          <w:sz w:val="24"/>
        </w:rPr>
        <w:t xml:space="preserve">Retention Rates</w:t>
      </w:r>
      <w:r>
        <w:rPr>
          <w:sz w:val="24"/>
        </w:rPr>
        <w:t xml:space="preserve">:   It is </w:t>
      </w:r>
      <w:r>
        <w:rPr>
          <w:sz w:val="24"/>
        </w:rPr>
        <w:t xml:space="preserve">always telling to monitor retention rates, often referred to in the negative modality of “churn rate</w:t>
      </w:r>
      <w:r>
        <w:rPr>
          <w:sz w:val="24"/>
        </w:rPr>
        <w:t xml:space="preserve">,</w:t>
      </w:r>
      <w:r>
        <w:rPr>
          <w:sz w:val="24"/>
        </w:rPr>
        <w:t xml:space="preserve">” </w:t>
      </w:r>
      <w:r>
        <w:rPr>
          <w:sz w:val="24"/>
        </w:rPr>
        <w:t xml:space="preserve">especially in subscription businesses. One way to measure retention rates is through support or maintenance contracts for post-purchase support.</w:t>
      </w:r>
      <w:r>
        <w:rPr>
          <w:sz w:val="24"/>
        </w:rPr>
        <w:t xml:space="preserve">  If the customer </w:t>
      </w:r>
      <w:r>
        <w:rPr>
          <w:sz w:val="24"/>
        </w:rPr>
        <w:t xml:space="preserve">buys </w:t>
      </w:r>
      <w:r>
        <w:rPr>
          <w:sz w:val="24"/>
        </w:rPr>
        <w:t xml:space="preserve">the product but </w:t>
      </w:r>
      <w:r>
        <w:rPr>
          <w:sz w:val="24"/>
        </w:rPr>
        <w:t xml:space="preserve">doesn’t </w:t>
      </w:r>
      <w:r>
        <w:rPr>
          <w:sz w:val="24"/>
        </w:rPr>
        <w:t xml:space="preserve">sign up for a maintenance contract at the end of </w:t>
      </w:r>
      <w:r>
        <w:rPr>
          <w:sz w:val="24"/>
        </w:rPr>
        <w:t xml:space="preserve">the </w:t>
      </w:r>
      <w:r>
        <w:rPr>
          <w:sz w:val="24"/>
        </w:rPr>
        <w:t xml:space="preserve">warranty</w:t>
      </w:r>
      <w:r>
        <w:rPr>
          <w:sz w:val="24"/>
        </w:rPr>
        <w:t xml:space="preserve"> period</w:t>
      </w:r>
      <w:r>
        <w:rPr>
          <w:sz w:val="24"/>
        </w:rPr>
        <w:t xml:space="preserve">, </w:t>
      </w:r>
      <w:r>
        <w:rPr>
          <w:sz w:val="24"/>
        </w:rPr>
        <w:t xml:space="preserve">in some industries </w:t>
      </w:r>
      <w:r>
        <w:rPr>
          <w:sz w:val="24"/>
        </w:rPr>
        <w:t xml:space="preserve">that is a bad sign and you should take note immediately</w:t>
      </w:r>
      <w:r>
        <w:rPr>
          <w:sz w:val="24"/>
        </w:rPr>
        <w:t xml:space="preserve">.</w:t>
      </w:r>
      <w:r>
        <w:rPr>
          <w:sz w:val="24"/>
        </w:rPr>
      </w:r>
      <w:r>
        <w:rPr>
          <w:sz w:val="24"/>
        </w:rPr>
      </w:r>
    </w:p>
    <w:p>
      <w:pPr>
        <w:pStyle w:val="894"/>
        <w:numPr>
          <w:ilvl w:val="0"/>
          <w:numId w:val="6"/>
        </w:numPr>
        <w:pBdr/>
        <w:spacing/>
        <w:ind/>
        <w:rPr>
          <w:sz w:val="24"/>
        </w:rPr>
      </w:pPr>
      <w:r>
        <w:rPr>
          <w:b/>
          <w:sz w:val="24"/>
        </w:rPr>
        <w:t xml:space="preserve">Customer Advocacy</w:t>
      </w:r>
      <w:r>
        <w:rPr>
          <w:sz w:val="24"/>
        </w:rPr>
        <w:t xml:space="preserve">:</w:t>
      </w:r>
      <w:r>
        <w:rPr>
          <w:sz w:val="24"/>
        </w:rPr>
        <w:t xml:space="preserve">  There is a huge difference between a satisfied customer and a very happy, evangelizing one.  The latter is at least one order of magnitude if not more valuable to you.  The simplest and most commonly used way to measure </w:t>
      </w:r>
      <w:r>
        <w:rPr>
          <w:sz w:val="24"/>
        </w:rPr>
        <w:t xml:space="preserve">customer advocacy </w:t>
      </w:r>
      <w:r>
        <w:rPr>
          <w:sz w:val="24"/>
        </w:rPr>
        <w:t xml:space="preserve">is the Net Promoter Score (NPS)</w:t>
      </w:r>
      <w:r>
        <w:rPr>
          <w:sz w:val="24"/>
        </w:rPr>
        <w:t xml:space="preserve">, developed by Bain &amp; Company, Satmetrix Systems, and </w:t>
      </w:r>
      <w:r>
        <w:rPr>
          <w:sz w:val="24"/>
        </w:rPr>
        <w:t xml:space="preserve">Fred Reichheld</w:t>
      </w:r>
      <w:r>
        <w:rPr>
          <w:sz w:val="24"/>
        </w:rPr>
        <w:t xml:space="preserve">.</w:t>
      </w:r>
      <w:r>
        <w:rPr>
          <w:sz w:val="24"/>
        </w:rPr>
        <w:t xml:space="preserve"> You gather the necessary data by asking customers a single question – On a scale of 1 to 10, with 10 being the highest, how likely is it that they</w:t>
      </w:r>
      <w:r>
        <w:rPr>
          <w:sz w:val="24"/>
        </w:rPr>
        <w:t xml:space="preserve"> would recommend </w:t>
      </w:r>
      <w:r>
        <w:rPr>
          <w:sz w:val="24"/>
        </w:rPr>
        <w:t xml:space="preserve">y</w:t>
      </w:r>
      <w:r>
        <w:rPr>
          <w:sz w:val="24"/>
        </w:rPr>
        <w:t xml:space="preserve">our </w:t>
      </w:r>
      <w:r>
        <w:rPr>
          <w:sz w:val="24"/>
        </w:rPr>
        <w:t xml:space="preserve">product</w:t>
      </w:r>
      <w:r>
        <w:rPr>
          <w:sz w:val="24"/>
        </w:rPr>
        <w:t xml:space="preserve"> to a friend or colleague?</w:t>
      </w:r>
      <w:r>
        <w:rPr>
          <w:sz w:val="24"/>
        </w:rPr>
        <w:t xml:space="preserve"> </w:t>
      </w:r>
      <w:r>
        <w:rPr>
          <w:sz w:val="24"/>
        </w:rPr>
        <w:t xml:space="preserve">By tallying the percentage of responses that are 9s and 10s (“Promoters”) and subtracting the percentage of responses that are 6s and below (“Detractors”), you get your score, which can be as low as -100 (all Detractors) and as high as 100 (all Promoters).</w:t>
      </w:r>
      <w:r>
        <w:rPr>
          <w:sz w:val="24"/>
        </w:rPr>
      </w:r>
      <w:r>
        <w:rPr>
          <w:sz w:val="24"/>
        </w:rPr>
      </w:r>
    </w:p>
    <w:p>
      <w:pPr>
        <w:pStyle w:val="894"/>
        <w:numPr>
          <w:ilvl w:val="0"/>
          <w:numId w:val="6"/>
        </w:numPr>
        <w:pBdr/>
        <w:spacing/>
        <w:ind/>
        <w:rPr>
          <w:sz w:val="24"/>
        </w:rPr>
      </w:pPr>
      <w:r>
        <w:rPr>
          <w:b/>
          <w:sz w:val="24"/>
        </w:rPr>
        <w:t xml:space="preserve">COCA and LTV</w:t>
      </w:r>
      <w:r>
        <w:rPr>
          <w:sz w:val="24"/>
        </w:rPr>
        <w:t xml:space="preserve">:</w:t>
      </w:r>
      <w:r>
        <w:rPr>
          <w:sz w:val="24"/>
        </w:rPr>
        <w:t xml:space="preserve">  </w:t>
      </w:r>
      <w:r>
        <w:rPr>
          <w:sz w:val="24"/>
        </w:rPr>
        <w:t xml:space="preserve">Estimate these numbers again now that you have some sales. They are</w:t>
      </w:r>
      <w:r>
        <w:rPr>
          <w:sz w:val="24"/>
        </w:rPr>
        <w:t xml:space="preserve"> much easier </w:t>
      </w:r>
      <w:r>
        <w:rPr>
          <w:sz w:val="24"/>
        </w:rPr>
        <w:t xml:space="preserve">to calculate </w:t>
      </w:r>
      <w:r>
        <w:rPr>
          <w:sz w:val="24"/>
        </w:rPr>
        <w:t xml:space="preserve">the second time</w:t>
      </w:r>
      <w:r>
        <w:rPr>
          <w:sz w:val="24"/>
        </w:rPr>
        <w:t xml:space="preserve"> around</w:t>
      </w:r>
      <w:r>
        <w:rPr>
          <w:sz w:val="24"/>
        </w:rPr>
        <w:t xml:space="preserve">! They are valuable, albeit imperfect, indicators of your success.  If there are surprises in these numbers, then quickly dive into it and understand why</w:t>
      </w:r>
      <w:r>
        <w:rPr>
          <w:sz w:val="24"/>
        </w:rPr>
        <w:t xml:space="preserve">.</w:t>
      </w:r>
      <w:r>
        <w:rPr>
          <w:sz w:val="24"/>
        </w:rPr>
      </w:r>
      <w:r>
        <w:rPr>
          <w:sz w:val="24"/>
        </w:rPr>
      </w:r>
    </w:p>
    <w:p>
      <w:pPr>
        <w:pStyle w:val="894"/>
        <w:numPr>
          <w:ilvl w:val="0"/>
          <w:numId w:val="6"/>
        </w:numPr>
        <w:pBdr/>
        <w:spacing/>
        <w:ind/>
        <w:rPr>
          <w:sz w:val="24"/>
        </w:rPr>
      </w:pPr>
      <w:r>
        <w:rPr>
          <w:b/>
          <w:sz w:val="24"/>
        </w:rPr>
        <w:t xml:space="preserve">Gross Margin</w:t>
      </w:r>
      <w:r>
        <w:rPr>
          <w:sz w:val="24"/>
        </w:rPr>
        <w:t xml:space="preserve">:</w:t>
      </w:r>
      <w:r>
        <w:rPr>
          <w:sz w:val="24"/>
        </w:rPr>
        <w:t xml:space="preserve">  </w:t>
      </w:r>
      <w:r>
        <w:rPr>
          <w:sz w:val="24"/>
        </w:rPr>
        <w:t xml:space="preserve">Your </w:t>
      </w:r>
      <w:r>
        <w:rPr>
          <w:sz w:val="24"/>
        </w:rPr>
        <w:t xml:space="preserve">gross margin, the difference between what it costs to make one unit of product and what you sell that unit of product at, should go up over time, indicating that you are getting strong word of mouth for your product. If it goes down, then you are possibly </w:t>
      </w:r>
      <w:r>
        <w:rPr>
          <w:sz w:val="24"/>
        </w:rPr>
        <w:t xml:space="preserve">providing too many discounts on your product, so the number of customers may be going up because the price is artificially low. The gross margin trend is an imperfect indicator on its own (much like the other indicators here), but make sure you monitor it.</w:t>
      </w:r>
      <w:r>
        <w:rPr>
          <w:sz w:val="24"/>
        </w:rPr>
      </w:r>
      <w:r>
        <w:rPr>
          <w:sz w:val="24"/>
        </w:rPr>
      </w:r>
    </w:p>
    <w:p>
      <w:pPr>
        <w:pStyle w:val="894"/>
        <w:numPr>
          <w:ilvl w:val="0"/>
          <w:numId w:val="6"/>
        </w:numPr>
        <w:pBdr/>
        <w:spacing/>
        <w:ind/>
        <w:rPr>
          <w:sz w:val="24"/>
        </w:rPr>
      </w:pPr>
      <w:r>
        <w:rPr>
          <w:sz w:val="24"/>
        </w:rPr>
        <w:t xml:space="preserve">Don’t feel constrained by this list</w:t>
      </w:r>
      <w:r>
        <w:rPr>
          <w:sz w:val="24"/>
        </w:rPr>
        <w:t xml:space="preserve">.</w:t>
      </w:r>
      <w:r>
        <w:rPr>
          <w:sz w:val="24"/>
        </w:rPr>
        <w:t xml:space="preserve"> </w:t>
      </w:r>
      <w:r>
        <w:rPr>
          <w:sz w:val="24"/>
        </w:rPr>
        <w:t xml:space="preserve">T</w:t>
      </w:r>
      <w:r>
        <w:rPr>
          <w:sz w:val="24"/>
        </w:rPr>
        <w:t xml:space="preserve">here </w:t>
      </w:r>
      <w:r>
        <w:rPr>
          <w:sz w:val="24"/>
        </w:rPr>
        <w:t xml:space="preserve">are plenty of other metrics that will be equally or more valuable for your situation.</w:t>
      </w:r>
      <w:r>
        <w:rPr>
          <w:sz w:val="24"/>
        </w:rPr>
      </w:r>
      <w:r>
        <w:rPr>
          <w:sz w:val="24"/>
        </w:rPr>
      </w:r>
    </w:p>
    <w:p>
      <w:pPr>
        <w:pBdr/>
        <w:spacing/>
        <w:ind/>
        <w:rPr>
          <w:sz w:val="24"/>
        </w:rPr>
        <w:sectPr>
          <w:footnotePr/>
          <w:endnotePr/>
          <w:type w:val="nextPage"/>
          <w:pgSz w:h="15840" w:orient="portrait" w:w="12240"/>
          <w:pgMar w:top="864" w:right="720" w:bottom="864" w:left="720" w:header="720" w:footer="720" w:gutter="0"/>
          <w:cols w:num="1" w:sep="0" w:space="720" w:equalWidth="1"/>
        </w:sectPr>
      </w:pPr>
      <w:r>
        <w:rPr>
          <w:sz w:val="24"/>
        </w:rPr>
      </w:r>
      <w:r>
        <w:rPr>
          <w:sz w:val="24"/>
        </w:rPr>
      </w:r>
      <w:r>
        <w:rPr>
          <w:sz w:val="24"/>
        </w:rPr>
      </w:r>
    </w:p>
    <w:p>
      <w:pPr>
        <w:pStyle w:val="884"/>
        <w:pBdr/>
        <w:spacing/>
        <w:ind/>
        <w:rPr/>
      </w:pPr>
      <w:r>
        <w:t xml:space="preserve">W</w:t>
      </w:r>
      <w:r>
        <w:t xml:space="preserve">orksheet</w:t>
      </w:r>
      <w:r/>
    </w:p>
    <w:p>
      <w:pPr>
        <w:pBdr/>
        <w:spacing/>
        <w:ind/>
        <w:rPr/>
      </w:pPr>
      <w:r>
        <w:t xml:space="preserve">What time period(s) will you measure metrics for (give duration and units – e.g. 2 weeks, 2 months, etc.) </w:t>
      </w:r>
      <w:r>
        <w:t xml:space="preserve"> </w:t>
      </w:r>
      <w:r>
        <w:rPr>
          <w:b/>
          <w:bCs/>
        </w:rPr>
        <w:t xml:space="preserve">Quarterly</w:t>
      </w:r>
      <w:r>
        <w:rPr>
          <w:b/>
          <w:bCs/>
        </w:rPr>
      </w:r>
      <w:r/>
    </w:p>
    <w:tbl>
      <w:tblPr>
        <w:tblStyle w:val="890"/>
        <w:tblW w:w="0" w:type="auto"/>
        <w:tblBorders/>
        <w:tblLook w:val="04A0" w:firstRow="1" w:lastRow="0" w:firstColumn="1" w:lastColumn="0" w:noHBand="0" w:noVBand="1"/>
      </w:tblPr>
      <w:tblGrid>
        <w:gridCol w:w="1931"/>
        <w:gridCol w:w="1792"/>
        <w:gridCol w:w="21"/>
        <w:gridCol w:w="1773"/>
        <w:gridCol w:w="3117"/>
        <w:gridCol w:w="2156"/>
      </w:tblGrid>
      <w:tr>
        <w:trPr/>
        <w:tc>
          <w:tcPr>
            <w:gridSpan w:val="6"/>
            <w:tcBorders/>
            <w:tcW w:w="11016" w:type="dxa"/>
            <w:textDirection w:val="lrTb"/>
            <w:noWrap w:val="false"/>
          </w:tcPr>
          <w:p>
            <w:pPr>
              <w:pStyle w:val="885"/>
              <w:pBdr/>
              <w:spacing/>
              <w:ind/>
              <w:outlineLvl w:val="2"/>
              <w:rPr/>
            </w:pPr>
            <w:r>
              <w:t xml:space="preserve">Are Your Customers “Eating the Dog Food”?</w:t>
            </w:r>
            <w:r/>
          </w:p>
        </w:tc>
      </w:tr>
      <w:tr>
        <w:trPr/>
        <w:tc>
          <w:tcPr>
            <w:tcBorders/>
            <w:tcW w:w="1956" w:type="dxa"/>
            <w:textDirection w:val="lrTb"/>
            <w:noWrap w:val="false"/>
          </w:tcPr>
          <w:p>
            <w:pPr>
              <w:pBdr/>
              <w:spacing/>
              <w:ind/>
              <w:jc w:val="center"/>
              <w:rPr>
                <w:b/>
                <w:u w:val="single"/>
              </w:rPr>
            </w:pPr>
            <w:r>
              <w:rPr>
                <w:b/>
                <w:u w:val="single"/>
              </w:rPr>
            </w:r>
            <w:r>
              <w:rPr>
                <w:b/>
                <w:u w:val="single"/>
              </w:rPr>
            </w:r>
            <w:r>
              <w:rPr>
                <w:b/>
                <w:u w:val="single"/>
              </w:rPr>
            </w:r>
          </w:p>
        </w:tc>
        <w:tc>
          <w:tcPr>
            <w:gridSpan w:val="2"/>
            <w:tcBorders/>
            <w:tcW w:w="1842" w:type="dxa"/>
            <w:textDirection w:val="lrTb"/>
            <w:noWrap w:val="false"/>
          </w:tcPr>
          <w:p>
            <w:pPr>
              <w:pBdr/>
              <w:spacing/>
              <w:ind/>
              <w:jc w:val="center"/>
              <w:rPr>
                <w:b/>
                <w:u w:val="single"/>
              </w:rPr>
            </w:pPr>
            <w:r>
              <w:rPr>
                <w:b/>
                <w:u w:val="single"/>
              </w:rPr>
            </w:r>
            <w:r>
              <w:rPr>
                <w:b/>
                <w:u w:val="single"/>
              </w:rPr>
            </w:r>
            <w:r>
              <w:rPr>
                <w:b/>
                <w:u w:val="single"/>
              </w:rPr>
            </w:r>
          </w:p>
        </w:tc>
        <w:tc>
          <w:tcPr>
            <w:tcBorders/>
            <w:tcW w:w="1800" w:type="dxa"/>
            <w:textDirection w:val="lrTb"/>
            <w:noWrap w:val="false"/>
          </w:tcPr>
          <w:p>
            <w:pPr>
              <w:pBdr/>
              <w:spacing/>
              <w:ind/>
              <w:jc w:val="center"/>
              <w:rPr>
                <w:b/>
                <w:u w:val="single"/>
              </w:rPr>
            </w:pPr>
            <w:r>
              <w:rPr>
                <w:b/>
                <w:u w:val="single"/>
              </w:rPr>
            </w:r>
            <w:r>
              <w:rPr>
                <w:b/>
                <w:u w:val="single"/>
              </w:rPr>
            </w:r>
            <w:r>
              <w:rPr>
                <w:b/>
                <w:u w:val="single"/>
              </w:rPr>
            </w:r>
          </w:p>
        </w:tc>
        <w:tc>
          <w:tcPr>
            <w:tcBorders/>
            <w:tcW w:w="3214" w:type="dxa"/>
            <w:textDirection w:val="lrTb"/>
            <w:noWrap w:val="false"/>
          </w:tcPr>
          <w:p>
            <w:pPr>
              <w:pBdr/>
              <w:spacing/>
              <w:ind/>
              <w:jc w:val="center"/>
              <w:rPr>
                <w:b/>
                <w:u w:val="single"/>
              </w:rPr>
            </w:pPr>
            <w:r>
              <w:rPr>
                <w:b/>
                <w:u w:val="single"/>
              </w:rPr>
            </w:r>
            <w:r>
              <w:rPr>
                <w:b/>
                <w:u w:val="single"/>
              </w:rPr>
            </w:r>
            <w:r>
              <w:rPr>
                <w:b/>
                <w:u w:val="single"/>
              </w:rPr>
            </w:r>
          </w:p>
        </w:tc>
        <w:tc>
          <w:tcPr>
            <w:tcBorders/>
            <w:tcW w:w="2204" w:type="dxa"/>
            <w:textDirection w:val="lrTb"/>
            <w:noWrap w:val="false"/>
          </w:tcPr>
          <w:p>
            <w:pPr>
              <w:pBdr/>
              <w:spacing/>
              <w:ind/>
              <w:jc w:val="center"/>
              <w:rPr>
                <w:b/>
                <w:u w:val="single"/>
              </w:rPr>
            </w:pPr>
            <w:r>
              <w:rPr>
                <w:b/>
                <w:u w:val="single"/>
              </w:rPr>
            </w:r>
            <w:r>
              <w:rPr>
                <w:b/>
                <w:u w:val="single"/>
              </w:rPr>
            </w:r>
            <w:r>
              <w:rPr>
                <w:b/>
                <w:u w:val="single"/>
              </w:rPr>
            </w:r>
          </w:p>
        </w:tc>
      </w:tr>
      <w:tr>
        <w:trPr/>
        <w:tc>
          <w:tcPr>
            <w:tcBorders/>
            <w:tcW w:w="1956" w:type="dxa"/>
            <w:textDirection w:val="lrTb"/>
            <w:noWrap w:val="false"/>
          </w:tcPr>
          <w:p>
            <w:pPr>
              <w:pBdr/>
              <w:spacing/>
              <w:ind/>
              <w:jc w:val="center"/>
              <w:rPr>
                <w:b/>
                <w:u w:val="single"/>
              </w:rPr>
            </w:pPr>
            <w:r>
              <w:rPr>
                <w:b/>
                <w:u w:val="single"/>
              </w:rPr>
              <w:t xml:space="preserve">Stage in Funnel (starting at top)</w:t>
            </w:r>
            <w:r>
              <w:rPr>
                <w:b/>
                <w:u w:val="single"/>
              </w:rPr>
            </w:r>
            <w:r>
              <w:rPr>
                <w:b/>
                <w:u w:val="single"/>
              </w:rPr>
            </w:r>
          </w:p>
        </w:tc>
        <w:tc>
          <w:tcPr>
            <w:gridSpan w:val="2"/>
            <w:tcBorders/>
            <w:tcW w:w="1842" w:type="dxa"/>
            <w:textDirection w:val="lrTb"/>
            <w:noWrap w:val="false"/>
          </w:tcPr>
          <w:p>
            <w:pPr>
              <w:pBdr/>
              <w:spacing/>
              <w:ind/>
              <w:jc w:val="center"/>
              <w:rPr>
                <w:b/>
                <w:u w:val="single"/>
              </w:rPr>
            </w:pPr>
            <w:r>
              <w:rPr>
                <w:b/>
                <w:u w:val="single"/>
              </w:rPr>
              <w:t xml:space="preserve">Est. Industry Conversion</w:t>
            </w:r>
            <w:r>
              <w:rPr>
                <w:b/>
                <w:u w:val="single"/>
              </w:rPr>
            </w:r>
            <w:r>
              <w:rPr>
                <w:b/>
                <w:u w:val="single"/>
              </w:rPr>
            </w:r>
          </w:p>
          <w:p>
            <w:pPr>
              <w:pBdr/>
              <w:spacing/>
              <w:ind/>
              <w:jc w:val="center"/>
              <w:rPr>
                <w:b/>
                <w:u w:val="single"/>
              </w:rPr>
            </w:pPr>
            <w:r>
              <w:rPr>
                <w:b/>
                <w:u w:val="single"/>
              </w:rPr>
              <w:t xml:space="preserve">Average (%)</w:t>
            </w:r>
            <w:r>
              <w:rPr>
                <w:b/>
                <w:u w:val="single"/>
              </w:rPr>
            </w:r>
            <w:r>
              <w:rPr>
                <w:b/>
                <w:u w:val="single"/>
              </w:rPr>
            </w:r>
          </w:p>
        </w:tc>
        <w:tc>
          <w:tcPr>
            <w:tcBorders/>
            <w:tcW w:w="1800" w:type="dxa"/>
            <w:textDirection w:val="lrTb"/>
            <w:noWrap w:val="false"/>
          </w:tcPr>
          <w:p>
            <w:pPr>
              <w:pBdr/>
              <w:spacing/>
              <w:ind/>
              <w:jc w:val="center"/>
              <w:rPr>
                <w:b/>
                <w:u w:val="single"/>
              </w:rPr>
            </w:pPr>
            <w:r>
              <w:rPr>
                <w:b/>
                <w:u w:val="single"/>
              </w:rPr>
              <w:t xml:space="preserve">Your Conversion Goal (%)</w:t>
            </w:r>
            <w:r>
              <w:rPr>
                <w:b/>
                <w:u w:val="single"/>
              </w:rPr>
            </w:r>
            <w:r>
              <w:rPr>
                <w:b/>
                <w:u w:val="single"/>
              </w:rPr>
            </w:r>
          </w:p>
        </w:tc>
        <w:tc>
          <w:tcPr>
            <w:tcBorders/>
            <w:tcW w:w="3214" w:type="dxa"/>
            <w:textDirection w:val="lrTb"/>
            <w:noWrap w:val="false"/>
          </w:tcPr>
          <w:p>
            <w:pPr>
              <w:pBdr/>
              <w:spacing/>
              <w:ind/>
              <w:jc w:val="center"/>
              <w:rPr>
                <w:b/>
                <w:u w:val="single"/>
              </w:rPr>
            </w:pPr>
            <w:r>
              <w:rPr>
                <w:b/>
                <w:u w:val="single"/>
              </w:rPr>
              <w:t xml:space="preserve">Actual Conversion Rate (% and trend)</w:t>
            </w:r>
            <w:r>
              <w:rPr>
                <w:b/>
                <w:u w:val="single"/>
              </w:rPr>
            </w:r>
            <w:r>
              <w:rPr>
                <w:b/>
                <w:u w:val="single"/>
              </w:rPr>
            </w:r>
          </w:p>
        </w:tc>
        <w:tc>
          <w:tcPr>
            <w:tcBorders/>
            <w:tcW w:w="2204" w:type="dxa"/>
            <w:textDirection w:val="lrTb"/>
            <w:noWrap w:val="false"/>
          </w:tcPr>
          <w:p>
            <w:pPr>
              <w:pBdr/>
              <w:spacing/>
              <w:ind/>
              <w:jc w:val="center"/>
              <w:rPr>
                <w:b/>
                <w:u w:val="single"/>
              </w:rPr>
            </w:pPr>
            <w:r>
              <w:rPr>
                <w:b/>
                <w:u w:val="single"/>
              </w:rPr>
              <w:t xml:space="preserve">Next Steps if your actual conversion rate is lower than your goal</w:t>
            </w:r>
            <w:r>
              <w:rPr>
                <w:b/>
                <w:u w:val="single"/>
              </w:rPr>
            </w:r>
            <w:r>
              <w:rPr>
                <w:b/>
                <w:u w:val="single"/>
              </w:rPr>
            </w:r>
          </w:p>
        </w:tc>
      </w:tr>
      <w:tr>
        <w:trPr/>
        <w:tc>
          <w:tcPr>
            <w:tcBorders/>
            <w:tcW w:w="1956" w:type="dxa"/>
            <w:textDirection w:val="lrTb"/>
            <w:noWrap w:val="false"/>
          </w:tcPr>
          <w:p>
            <w:pPr>
              <w:pBdr/>
              <w:spacing/>
              <w:ind/>
              <w:rPr/>
            </w:pPr>
            <w:r>
              <w:t xml:space="preserve">#1 – Identification (leads)</w:t>
            </w:r>
            <w:r/>
          </w:p>
          <w:p>
            <w:pPr>
              <w:pBdr/>
              <w:spacing/>
              <w:ind/>
              <w:rPr/>
            </w:pPr>
            <w:r/>
            <w:r/>
          </w:p>
          <w:p>
            <w:pPr>
              <w:pBdr/>
              <w:spacing/>
              <w:ind/>
              <w:rPr/>
            </w:pPr>
            <w:r/>
            <w:r/>
          </w:p>
        </w:tc>
        <w:tc>
          <w:tcPr>
            <w:tcBorders/>
            <w:tcW w:w="1821" w:type="dxa"/>
            <w:textDirection w:val="lrTb"/>
            <w:noWrap w:val="false"/>
          </w:tcPr>
          <w:p>
            <w:pPr>
              <w:pBdr/>
              <w:spacing/>
              <w:ind/>
              <w:rPr/>
            </w:pPr>
            <w:r>
              <w:t xml:space="preserve">40% </w:t>
            </w:r>
            <w:r/>
          </w:p>
        </w:tc>
        <w:tc>
          <w:tcPr>
            <w:gridSpan w:val="2"/>
            <w:tcBorders/>
            <w:tcW w:w="1821" w:type="dxa"/>
            <w:textDirection w:val="lrTb"/>
            <w:noWrap w:val="false"/>
          </w:tcPr>
          <w:p>
            <w:pPr>
              <w:pBdr/>
              <w:spacing/>
              <w:ind/>
              <w:rPr/>
            </w:pPr>
            <w:r>
              <w:t xml:space="preserve">35% </w:t>
            </w:r>
            <w:r/>
          </w:p>
        </w:tc>
        <w:tc>
          <w:tcPr>
            <w:tcBorders/>
            <w:tcW w:w="3214" w:type="dxa"/>
            <w:textDirection w:val="lrTb"/>
            <w:noWrap w:val="false"/>
          </w:tcPr>
          <w:p>
            <w:pPr>
              <w:pBdr/>
              <w:spacing/>
              <w:ind/>
              <w:rPr/>
            </w:pPr>
            <w:r>
              <w:t xml:space="preserve">To be measured</w:t>
            </w:r>
            <w:r/>
          </w:p>
          <w:p>
            <w:pPr>
              <w:pBdr/>
              <w:spacing/>
              <w:ind/>
              <w:rPr/>
            </w:pPr>
            <w:r/>
            <w:r/>
          </w:p>
        </w:tc>
        <w:tc>
          <w:tcPr>
            <w:tcBorders/>
            <w:tcW w:w="2204" w:type="dxa"/>
            <w:textDirection w:val="lrTb"/>
            <w:noWrap w:val="false"/>
          </w:tcPr>
          <w:p>
            <w:pPr>
              <w:pBdr/>
              <w:spacing/>
              <w:ind/>
              <w:rPr/>
            </w:pPr>
            <w:r>
              <w:t xml:space="preserve">Review lead generation channels (Step 18/19). Refine target audience messaging based on who is converting. Analyze content performance and SEO effectiveness.</w:t>
            </w:r>
            <w:r/>
          </w:p>
        </w:tc>
      </w:tr>
      <w:tr>
        <w:trPr/>
        <w:tc>
          <w:tcPr>
            <w:tcBorders/>
            <w:tcW w:w="1956" w:type="dxa"/>
            <w:textDirection w:val="lrTb"/>
            <w:noWrap w:val="false"/>
          </w:tcPr>
          <w:p>
            <w:pPr>
              <w:pBdr/>
              <w:spacing/>
              <w:ind/>
              <w:rPr/>
            </w:pPr>
            <w:r>
              <w:t xml:space="preserve">#2 – Consideration (suspects)</w:t>
            </w:r>
            <w:r/>
          </w:p>
          <w:p>
            <w:pPr>
              <w:pBdr/>
              <w:spacing/>
              <w:ind/>
              <w:rPr/>
            </w:pPr>
            <w:r/>
            <w:r/>
          </w:p>
          <w:p>
            <w:pPr>
              <w:pBdr/>
              <w:spacing/>
              <w:ind/>
              <w:rPr/>
            </w:pPr>
            <w:r/>
            <w:r/>
          </w:p>
        </w:tc>
        <w:tc>
          <w:tcPr>
            <w:tcBorders/>
            <w:tcW w:w="1821" w:type="dxa"/>
            <w:textDirection w:val="lrTb"/>
            <w:noWrap w:val="false"/>
          </w:tcPr>
          <w:p>
            <w:pPr>
              <w:pBdr/>
              <w:spacing/>
              <w:ind/>
              <w:rPr/>
            </w:pPr>
            <w:r>
              <w:t xml:space="preserve">30% </w:t>
            </w:r>
            <w:r/>
          </w:p>
        </w:tc>
        <w:tc>
          <w:tcPr>
            <w:gridSpan w:val="2"/>
            <w:tcBorders/>
            <w:tcW w:w="1821" w:type="dxa"/>
            <w:textDirection w:val="lrTb"/>
            <w:noWrap w:val="false"/>
          </w:tcPr>
          <w:p>
            <w:pPr>
              <w:pBdr/>
              <w:spacing/>
              <w:ind/>
              <w:rPr/>
            </w:pPr>
            <w:r>
              <w:t xml:space="preserve">25% </w:t>
            </w:r>
            <w:r/>
          </w:p>
        </w:tc>
        <w:tc>
          <w:tcPr>
            <w:tcBorders/>
            <w:tcW w:w="3214" w:type="dxa"/>
            <w:textDirection w:val="lrTb"/>
            <w:noWrap w:val="false"/>
          </w:tcPr>
          <w:p>
            <w:pPr>
              <w:pBdr/>
              <w:spacing/>
              <w:ind/>
              <w:rPr/>
            </w:pPr>
            <w:r>
              <w:t xml:space="preserve">To be measured</w:t>
            </w:r>
            <w:r/>
          </w:p>
          <w:p>
            <w:pPr>
              <w:pBdr/>
              <w:spacing/>
              <w:ind/>
              <w:rPr/>
            </w:pPr>
            <w:r/>
            <w:r/>
          </w:p>
        </w:tc>
        <w:tc>
          <w:tcPr>
            <w:tcBorders/>
            <w:tcW w:w="2204" w:type="dxa"/>
            <w:textDirection w:val="lrTb"/>
            <w:noWrap w:val="false"/>
          </w:tcPr>
          <w:p>
            <w:pPr>
              <w:pBdr/>
              <w:spacing/>
              <w:ind/>
              <w:rPr/>
            </w:pPr>
            <w:r>
              <w:t xml:space="preserve">Improve initial engagement tactics (Step 18). Enhance website clarity on value proposition (Step 8). Offer more compelling introductory content or demos.</w:t>
            </w:r>
            <w:r/>
          </w:p>
        </w:tc>
      </w:tr>
      <w:tr>
        <w:trPr/>
        <w:tc>
          <w:tcPr>
            <w:tcBorders/>
            <w:tcW w:w="1956" w:type="dxa"/>
            <w:textDirection w:val="lrTb"/>
            <w:noWrap w:val="false"/>
          </w:tcPr>
          <w:p>
            <w:pPr>
              <w:pBdr/>
              <w:spacing/>
              <w:ind/>
              <w:rPr/>
            </w:pPr>
            <w:r>
              <w:t xml:space="preserve">#3 – Engagement (prospects)</w:t>
            </w:r>
            <w:r/>
          </w:p>
          <w:p>
            <w:pPr>
              <w:pBdr/>
              <w:spacing/>
              <w:ind/>
              <w:rPr/>
            </w:pPr>
            <w:r/>
            <w:r/>
          </w:p>
          <w:p>
            <w:pPr>
              <w:pBdr/>
              <w:spacing/>
              <w:ind/>
              <w:rPr/>
            </w:pPr>
            <w:r/>
            <w:r/>
          </w:p>
        </w:tc>
        <w:tc>
          <w:tcPr>
            <w:tcBorders/>
            <w:tcW w:w="1821" w:type="dxa"/>
            <w:textDirection w:val="lrTb"/>
            <w:noWrap w:val="false"/>
          </w:tcPr>
          <w:p>
            <w:pPr>
              <w:pBdr/>
              <w:spacing/>
              <w:ind/>
              <w:rPr/>
            </w:pPr>
            <w:r>
              <w:t xml:space="preserve">20% </w:t>
            </w:r>
            <w:r/>
          </w:p>
        </w:tc>
        <w:tc>
          <w:tcPr>
            <w:gridSpan w:val="2"/>
            <w:tcBorders/>
            <w:tcW w:w="1821" w:type="dxa"/>
            <w:textDirection w:val="lrTb"/>
            <w:noWrap w:val="false"/>
          </w:tcPr>
          <w:p>
            <w:pPr>
              <w:pBdr/>
              <w:spacing/>
              <w:ind/>
              <w:rPr/>
            </w:pPr>
            <w:r>
              <w:t xml:space="preserve">15% </w:t>
            </w:r>
            <w:r/>
          </w:p>
        </w:tc>
        <w:tc>
          <w:tcPr>
            <w:tcBorders/>
            <w:tcW w:w="3214" w:type="dxa"/>
            <w:textDirection w:val="lrTb"/>
            <w:noWrap w:val="false"/>
          </w:tcPr>
          <w:p>
            <w:pPr>
              <w:pBdr/>
              <w:spacing/>
              <w:ind/>
              <w:rPr/>
            </w:pPr>
            <w:r>
              <w:t xml:space="preserve">To be measured</w:t>
            </w:r>
            <w:r/>
          </w:p>
          <w:p>
            <w:pPr>
              <w:pBdr/>
              <w:spacing/>
              <w:ind/>
              <w:rPr/>
            </w:pPr>
            <w:r/>
            <w:r/>
          </w:p>
        </w:tc>
        <w:tc>
          <w:tcPr>
            <w:tcBorders/>
            <w:tcW w:w="2204" w:type="dxa"/>
            <w:textDirection w:val="lrTb"/>
            <w:noWrap w:val="false"/>
          </w:tcPr>
          <w:p>
            <w:pPr>
              <w:pBdr/>
              <w:spacing/>
              <w:ind/>
              <w:rPr/>
            </w:pPr>
            <w:r>
              <w:t xml:space="preserve">R</w:t>
            </w:r>
            <w:r>
              <w:t xml:space="preserve">efine demo/trial experience to better showcase value (Step 8/21). Improve objection handling resources for sales/support. Ensure pricing tiers are clear and justified (Step 16/21).  </w:t>
            </w:r>
            <w:r/>
          </w:p>
        </w:tc>
      </w:tr>
      <w:tr>
        <w:trPr/>
        <w:tc>
          <w:tcPr>
            <w:tcBorders/>
            <w:tcW w:w="1956" w:type="dxa"/>
            <w:textDirection w:val="lrTb"/>
            <w:noWrap w:val="false"/>
          </w:tcPr>
          <w:p>
            <w:pPr>
              <w:pBdr/>
              <w:spacing/>
              <w:ind/>
              <w:rPr/>
            </w:pPr>
            <w:r>
              <w:t xml:space="preserve">#4 – Purchase Intent (qualified prospects)</w:t>
            </w:r>
            <w:r/>
          </w:p>
          <w:p>
            <w:pPr>
              <w:pBdr/>
              <w:spacing/>
              <w:ind/>
              <w:rPr/>
            </w:pPr>
            <w:r/>
            <w:r/>
          </w:p>
          <w:p>
            <w:pPr>
              <w:pBdr/>
              <w:spacing/>
              <w:ind/>
              <w:rPr/>
            </w:pPr>
            <w:r/>
            <w:r/>
          </w:p>
        </w:tc>
        <w:tc>
          <w:tcPr>
            <w:tcBorders/>
            <w:tcW w:w="1821" w:type="dxa"/>
            <w:textDirection w:val="lrTb"/>
            <w:noWrap w:val="false"/>
          </w:tcPr>
          <w:p>
            <w:pPr>
              <w:pBdr/>
              <w:spacing/>
              <w:ind/>
              <w:rPr/>
            </w:pPr>
            <w:r>
              <w:t xml:space="preserve">50% </w:t>
            </w:r>
            <w:r/>
          </w:p>
        </w:tc>
        <w:tc>
          <w:tcPr>
            <w:gridSpan w:val="2"/>
            <w:tcBorders/>
            <w:tcW w:w="1821" w:type="dxa"/>
            <w:textDirection w:val="lrTb"/>
            <w:noWrap w:val="false"/>
          </w:tcPr>
          <w:p>
            <w:pPr>
              <w:pBdr/>
              <w:spacing/>
              <w:ind/>
              <w:rPr/>
            </w:pPr>
            <w:r>
              <w:t xml:space="preserve">45% </w:t>
            </w:r>
            <w:r/>
          </w:p>
        </w:tc>
        <w:tc>
          <w:tcPr>
            <w:tcBorders/>
            <w:tcW w:w="3214" w:type="dxa"/>
            <w:textDirection w:val="lrTb"/>
            <w:noWrap w:val="false"/>
          </w:tcPr>
          <w:p>
            <w:pPr>
              <w:pBdr/>
              <w:spacing/>
              <w:ind/>
              <w:rPr/>
            </w:pPr>
            <w:r>
              <w:t xml:space="preserve">To be measured</w:t>
            </w:r>
            <w:r/>
          </w:p>
          <w:p>
            <w:pPr>
              <w:pBdr/>
              <w:spacing/>
              <w:ind/>
              <w:rPr/>
            </w:pPr>
            <w:r/>
            <w:r/>
          </w:p>
        </w:tc>
        <w:tc>
          <w:tcPr>
            <w:tcBorders/>
            <w:tcW w:w="2204" w:type="dxa"/>
            <w:textDirection w:val="lrTb"/>
            <w:noWrap w:val="false"/>
          </w:tcPr>
          <w:p>
            <w:pPr>
              <w:pBdr/>
              <w:spacing/>
              <w:ind/>
              <w:rPr/>
            </w:pPr>
            <w:r>
              <w:t xml:space="preserve">Streamline qualification process. Simplify quoting and proposal generation. Provide better support materials for navigating institutional procurement (Step 13/18).  </w:t>
            </w:r>
            <w:r/>
          </w:p>
        </w:tc>
      </w:tr>
      <w:tr>
        <w:trPr/>
        <w:tc>
          <w:tcPr>
            <w:tcBorders/>
            <w:tcW w:w="1956" w:type="dxa"/>
            <w:textDirection w:val="lrTb"/>
            <w:noWrap w:val="false"/>
          </w:tcPr>
          <w:p>
            <w:pPr>
              <w:pBdr/>
              <w:spacing/>
              <w:ind/>
              <w:rPr/>
            </w:pPr>
            <w:r>
              <w:t xml:space="preserve">#5 – Purchase (customers)</w:t>
            </w:r>
            <w:r/>
          </w:p>
          <w:p>
            <w:pPr>
              <w:pBdr/>
              <w:spacing/>
              <w:ind/>
              <w:rPr/>
            </w:pPr>
            <w:r/>
            <w:r/>
          </w:p>
          <w:p>
            <w:pPr>
              <w:pBdr/>
              <w:spacing/>
              <w:ind/>
              <w:rPr/>
            </w:pPr>
            <w:r/>
            <w:r/>
          </w:p>
        </w:tc>
        <w:tc>
          <w:tcPr>
            <w:tcBorders/>
            <w:tcW w:w="1821" w:type="dxa"/>
            <w:textDirection w:val="lrTb"/>
            <w:noWrap w:val="false"/>
          </w:tcPr>
          <w:p>
            <w:pPr>
              <w:pBdr/>
              <w:spacing/>
              <w:ind/>
              <w:rPr/>
            </w:pPr>
            <w:r>
              <w:t xml:space="preserve">65%</w:t>
            </w:r>
            <w:r/>
          </w:p>
        </w:tc>
        <w:tc>
          <w:tcPr>
            <w:gridSpan w:val="2"/>
            <w:tcBorders/>
            <w:tcW w:w="1821" w:type="dxa"/>
            <w:textDirection w:val="lrTb"/>
            <w:noWrap w:val="false"/>
          </w:tcPr>
          <w:p>
            <w:pPr>
              <w:pBdr/>
              <w:spacing/>
              <w:ind/>
              <w:rPr/>
            </w:pPr>
            <w:r>
              <w:t xml:space="preserve">60%</w:t>
            </w:r>
            <w:r/>
          </w:p>
        </w:tc>
        <w:tc>
          <w:tcPr>
            <w:tcBorders/>
            <w:tcW w:w="3214" w:type="dxa"/>
            <w:textDirection w:val="lrTb"/>
            <w:noWrap w:val="false"/>
          </w:tcPr>
          <w:p>
            <w:pPr>
              <w:pBdr/>
              <w:spacing/>
              <w:ind/>
              <w:rPr/>
            </w:pPr>
            <w:r>
              <w:t xml:space="preserve">To be measured</w:t>
            </w:r>
            <w:r/>
          </w:p>
          <w:p>
            <w:pPr>
              <w:pBdr/>
              <w:spacing/>
              <w:ind/>
              <w:rPr/>
            </w:pPr>
            <w:r/>
            <w:r/>
          </w:p>
        </w:tc>
        <w:tc>
          <w:tcPr>
            <w:tcBorders/>
            <w:tcW w:w="2204" w:type="dxa"/>
            <w:textDirection w:val="lrTb"/>
            <w:noWrap w:val="false"/>
          </w:tcPr>
          <w:p>
            <w:pPr>
              <w:pBdr/>
              <w:spacing/>
              <w:ind/>
              <w:rPr/>
            </w:pPr>
            <w:r>
              <w:t xml:space="preserve">Simplify checkout/payment process. Offer multiple payment options. Proactively follow up on institutional invoices. Address any technical issues with signup/payment promptly. </w:t>
            </w:r>
            <w:r/>
          </w:p>
        </w:tc>
      </w:tr>
      <w:tr>
        <w:trPr/>
        <w:tc>
          <w:tcPr>
            <w:tcBorders/>
            <w:tcW w:w="1956" w:type="dxa"/>
            <w:textDirection w:val="lrTb"/>
            <w:noWrap w:val="false"/>
          </w:tcPr>
          <w:p>
            <w:pPr>
              <w:pBdr/>
              <w:spacing/>
              <w:ind/>
              <w:rPr/>
            </w:pPr>
            <w:r>
              <w:t xml:space="preserve">#6 – Loyalty (satisfied customers)</w:t>
            </w:r>
            <w:r/>
          </w:p>
          <w:p>
            <w:pPr>
              <w:pBdr/>
              <w:spacing/>
              <w:ind/>
              <w:rPr/>
            </w:pPr>
            <w:r/>
            <w:r/>
          </w:p>
        </w:tc>
        <w:tc>
          <w:tcPr>
            <w:tcBorders/>
            <w:tcW w:w="1821" w:type="dxa"/>
            <w:textDirection w:val="lrTb"/>
            <w:noWrap w:val="false"/>
          </w:tcPr>
          <w:p>
            <w:pPr>
              <w:pBdr/>
              <w:spacing/>
              <w:ind/>
              <w:rPr/>
            </w:pPr>
            <w:r>
              <w:t xml:space="preserve">60% (Quarterly Retention)</w:t>
            </w:r>
            <w:r/>
          </w:p>
        </w:tc>
        <w:tc>
          <w:tcPr>
            <w:gridSpan w:val="2"/>
            <w:tcBorders/>
            <w:tcW w:w="1821" w:type="dxa"/>
            <w:textDirection w:val="lrTb"/>
            <w:noWrap w:val="false"/>
          </w:tcPr>
          <w:p>
            <w:pPr>
              <w:pBdr/>
              <w:spacing/>
              <w:ind/>
              <w:rPr/>
            </w:pPr>
            <w:r>
              <w:t xml:space="preserve">55% (Quarterly Retention)</w:t>
            </w:r>
            <w:r/>
          </w:p>
        </w:tc>
        <w:tc>
          <w:tcPr>
            <w:tcBorders/>
            <w:tcW w:w="3214" w:type="dxa"/>
            <w:textDirection w:val="lrTb"/>
            <w:noWrap w:val="false"/>
          </w:tcPr>
          <w:p>
            <w:pPr>
              <w:pBdr/>
              <w:spacing/>
              <w:ind/>
              <w:rPr/>
            </w:pPr>
            <w:r>
              <w:t xml:space="preserve">To be measured</w:t>
            </w:r>
            <w:r/>
          </w:p>
          <w:p>
            <w:pPr>
              <w:pBdr/>
              <w:spacing/>
              <w:ind/>
              <w:rPr/>
            </w:pPr>
            <w:r/>
            <w:r/>
          </w:p>
        </w:tc>
        <w:tc>
          <w:tcPr>
            <w:tcBorders/>
            <w:tcW w:w="2204" w:type="dxa"/>
            <w:textDirection w:val="lrTb"/>
            <w:noWrap w:val="false"/>
          </w:tcPr>
          <w:p>
            <w:pPr>
              <w:pBdr/>
              <w:spacing/>
              <w:ind/>
              <w:rPr/>
            </w:pPr>
            <w:r>
              <w:t xml:space="preserve">I</w:t>
            </w:r>
            <w:r>
              <w:t xml:space="preserve">mprove onboarding process (Step 18). Enhance product features based on user feedback (Step 21/22). Increase proactive support and communication. Clearly demonstrate ongoing value derived from the product (linking back to Step 8). Review pricing/value align</w:t>
            </w:r>
            <w:r>
              <w:t xml:space="preserve">ment if retention is consistently low.</w:t>
            </w:r>
            <w:r/>
          </w:p>
        </w:tc>
      </w:tr>
      <w:tr>
        <w:trPr/>
        <w:tc>
          <w:tcPr>
            <w:tcBorders/>
            <w:tcW w:w="1956" w:type="dxa"/>
            <w:textDirection w:val="lrTb"/>
            <w:noWrap w:val="false"/>
          </w:tcPr>
          <w:p>
            <w:pPr>
              <w:pBdr/>
              <w:spacing/>
              <w:ind/>
              <w:rPr/>
            </w:pPr>
            <w:r>
              <w:t xml:space="preserve">#7 – Advocacy (evangelists)</w:t>
            </w:r>
            <w:r/>
          </w:p>
          <w:p>
            <w:pPr>
              <w:pBdr/>
              <w:spacing/>
              <w:ind/>
              <w:rPr/>
            </w:pPr>
            <w:r/>
            <w:r/>
          </w:p>
        </w:tc>
        <w:tc>
          <w:tcPr>
            <w:tcBorders/>
            <w:tcW w:w="1821" w:type="dxa"/>
            <w:textDirection w:val="lrTb"/>
            <w:noWrap w:val="false"/>
          </w:tcPr>
          <w:p>
            <w:pPr>
              <w:pBdr/>
              <w:spacing/>
              <w:ind/>
              <w:rPr/>
            </w:pPr>
            <w:r>
              <w:t xml:space="preserve">10% (Referral Rate/NPS &gt; 10) </w:t>
            </w:r>
            <w:r/>
          </w:p>
        </w:tc>
        <w:tc>
          <w:tcPr>
            <w:gridSpan w:val="2"/>
            <w:tcBorders/>
            <w:tcW w:w="1821" w:type="dxa"/>
            <w:textDirection w:val="lrTb"/>
            <w:noWrap w:val="false"/>
          </w:tcPr>
          <w:p>
            <w:pPr>
              <w:pBdr/>
              <w:spacing/>
              <w:ind/>
              <w:rPr/>
            </w:pPr>
            <w:r>
              <w:t xml:space="preserve">5% (Referral Rate/NPS &gt; 10) </w:t>
            </w:r>
            <w:r/>
          </w:p>
        </w:tc>
        <w:tc>
          <w:tcPr>
            <w:tcBorders/>
            <w:tcW w:w="3214" w:type="dxa"/>
            <w:textDirection w:val="lrTb"/>
            <w:noWrap w:val="false"/>
          </w:tcPr>
          <w:p>
            <w:pPr>
              <w:pBdr/>
              <w:spacing/>
              <w:ind/>
              <w:rPr/>
            </w:pPr>
            <w:r>
              <w:t xml:space="preserve">To be measured</w:t>
            </w:r>
            <w:r/>
          </w:p>
          <w:p>
            <w:pPr>
              <w:pBdr/>
              <w:spacing/>
              <w:ind/>
              <w:rPr/>
            </w:pPr>
            <w:r/>
            <w:r/>
          </w:p>
        </w:tc>
        <w:tc>
          <w:tcPr>
            <w:tcBorders/>
            <w:tcW w:w="2204" w:type="dxa"/>
            <w:textDirection w:val="lrTb"/>
            <w:noWrap w:val="false"/>
          </w:tcPr>
          <w:p>
            <w:pPr>
              <w:pBdr/>
              <w:spacing/>
              <w:ind/>
              <w:rPr/>
            </w:pPr>
            <w:r>
              <w:t xml:space="preserve">A</w:t>
            </w:r>
            <w:r>
              <w:t xml:space="preserve">ctively solicit feedback from satisfied users. Implement or improve referral program (Step 18). Engage with promoters identified via NPS. Use testimonials and case studies more effectively. Address feedback from detractors to improve overall satisfaction. </w:t>
            </w:r>
            <w:r>
              <w:t xml:space="preserve">Address product issues impacting user satisfaction.</w:t>
            </w:r>
            <w:r/>
          </w:p>
        </w:tc>
      </w:tr>
    </w:tbl>
    <w:p>
      <w:pPr>
        <w:pBdr/>
        <w:shd w:val="nil" w:color="auto"/>
        <w:spacing/>
        <w:ind/>
        <w:rPr/>
      </w:pPr>
      <w:r>
        <w:rPr>
          <w:highlight w:val="none"/>
        </w:rPr>
        <w:br w:type="page" w:clear="all"/>
      </w:r>
      <w:r>
        <w:rPr>
          <w:highlight w:val="none"/>
        </w:rPr>
      </w:r>
      <w:r/>
    </w:p>
    <w:p>
      <w:pPr>
        <w:pStyle w:val="885"/>
        <w:pBdr/>
        <w:spacing/>
        <w:ind/>
        <w:rPr>
          <w:highlight w:val="none"/>
        </w:rPr>
      </w:pPr>
      <w:r>
        <w:t xml:space="preserve">Gross Margin, LTV, COCA</w:t>
      </w:r>
      <w:r>
        <w:rPr>
          <w:highlight w:val="none"/>
        </w:rPr>
      </w:r>
    </w:p>
    <w:tbl>
      <w:tblPr>
        <w:tblStyle w:val="890"/>
        <w:tblW w:w="0" w:type="auto"/>
        <w:tblBorders/>
        <w:tblLook w:val="04A0" w:firstRow="1" w:lastRow="0" w:firstColumn="1" w:lastColumn="0" w:noHBand="0" w:noVBand="1"/>
      </w:tblPr>
      <w:tblGrid>
        <w:gridCol w:w="2698"/>
        <w:gridCol w:w="2703"/>
        <w:gridCol w:w="2696"/>
        <w:gridCol w:w="2693"/>
      </w:tblGrid>
      <w:tr>
        <w:trPr/>
        <w:tc>
          <w:tcPr>
            <w:tcBorders/>
            <w:tcW w:w="2754" w:type="dxa"/>
            <w:textDirection w:val="lrTb"/>
            <w:noWrap w:val="false"/>
          </w:tcPr>
          <w:p>
            <w:pPr>
              <w:pBdr/>
              <w:spacing/>
              <w:ind/>
              <w:rPr/>
            </w:pPr>
            <w:r/>
            <w:r/>
          </w:p>
        </w:tc>
        <w:tc>
          <w:tcPr>
            <w:tcBorders/>
            <w:tcW w:w="2754" w:type="dxa"/>
            <w:textDirection w:val="lrTb"/>
            <w:noWrap w:val="false"/>
          </w:tcPr>
          <w:p>
            <w:pPr>
              <w:pBdr/>
              <w:spacing/>
              <w:ind/>
              <w:rPr/>
            </w:pPr>
            <w:r>
              <w:t xml:space="preserve">Expected for Short Term</w:t>
            </w:r>
            <w:r/>
          </w:p>
        </w:tc>
        <w:tc>
          <w:tcPr>
            <w:tcBorders/>
            <w:tcW w:w="2754" w:type="dxa"/>
            <w:textDirection w:val="lrTb"/>
            <w:noWrap w:val="false"/>
          </w:tcPr>
          <w:p>
            <w:pPr>
              <w:pBdr/>
              <w:spacing/>
              <w:ind/>
              <w:rPr/>
            </w:pPr>
            <w:r>
              <w:t xml:space="preserve">Actual for Short Term</w:t>
            </w:r>
            <w:r/>
          </w:p>
        </w:tc>
        <w:tc>
          <w:tcPr>
            <w:tcBorders/>
            <w:tcW w:w="2754" w:type="dxa"/>
            <w:textDirection w:val="lrTb"/>
            <w:noWrap w:val="false"/>
          </w:tcPr>
          <w:p>
            <w:pPr>
              <w:pBdr/>
              <w:spacing/>
              <w:ind/>
              <w:rPr/>
            </w:pPr>
            <w:r>
              <w:t xml:space="preserve">Next Steps </w:t>
            </w:r>
            <w:r/>
          </w:p>
        </w:tc>
      </w:tr>
      <w:tr>
        <w:trPr/>
        <w:tc>
          <w:tcPr>
            <w:tcBorders/>
            <w:tcW w:w="2754" w:type="dxa"/>
            <w:textDirection w:val="lrTb"/>
            <w:noWrap w:val="false"/>
          </w:tcPr>
          <w:p>
            <w:pPr>
              <w:pBdr/>
              <w:spacing/>
              <w:ind/>
              <w:rPr/>
            </w:pPr>
            <w:r>
              <w:t xml:space="preserve">Gross Margin</w:t>
            </w:r>
            <w:r/>
          </w:p>
        </w:tc>
        <w:tc>
          <w:tcPr>
            <w:tcBorders/>
            <w:tcW w:w="2754" w:type="dxa"/>
            <w:textDirection w:val="lrTb"/>
            <w:noWrap w:val="false"/>
          </w:tcPr>
          <w:p>
            <w:pPr>
              <w:pBdr/>
              <w:spacing/>
              <w:ind/>
              <w:rPr/>
            </w:pPr>
            <w:r>
              <w:t xml:space="preserve">~65-70% (Slightly below long-term 75% target due to initial support costs)   </w:t>
            </w:r>
            <w:r/>
          </w:p>
        </w:tc>
        <w:tc>
          <w:tcPr>
            <w:tcBorders/>
            <w:tcW w:w="2754" w:type="dxa"/>
            <w:textDirection w:val="lrTb"/>
            <w:noWrap w:val="false"/>
          </w:tcPr>
          <w:p>
            <w:pPr>
              <w:pBdr/>
              <w:spacing/>
              <w:ind/>
              <w:rPr/>
            </w:pPr>
            <w:r>
              <w:t xml:space="preserve">To be measured</w:t>
            </w:r>
            <w:r/>
          </w:p>
          <w:p>
            <w:pPr>
              <w:pBdr/>
              <w:spacing/>
              <w:ind/>
              <w:rPr/>
            </w:pPr>
            <w:r/>
            <w:r/>
          </w:p>
        </w:tc>
        <w:tc>
          <w:tcPr>
            <w:tcBorders/>
            <w:tcW w:w="2754" w:type="dxa"/>
            <w:textDirection w:val="lrTb"/>
            <w:noWrap w:val="false"/>
          </w:tcPr>
          <w:p>
            <w:pPr>
              <w:pBdr/>
              <w:spacing/>
              <w:ind/>
              <w:rPr/>
            </w:pPr>
            <w:r>
              <w:t xml:space="preserve">Optimize cloud infrastructure costs. Improve support efficiency through better documentation/self-service. Analyze costs associated with delivering the service.</w:t>
            </w:r>
            <w:r/>
          </w:p>
        </w:tc>
      </w:tr>
      <w:tr>
        <w:trPr/>
        <w:tc>
          <w:tcPr>
            <w:tcBorders/>
            <w:tcW w:w="2754" w:type="dxa"/>
            <w:textDirection w:val="lrTb"/>
            <w:noWrap w:val="false"/>
          </w:tcPr>
          <w:p>
            <w:pPr>
              <w:pBdr/>
              <w:spacing/>
              <w:ind/>
              <w:rPr/>
            </w:pPr>
            <w:r>
              <w:t xml:space="preserve">LTV</w:t>
            </w:r>
            <w:r/>
          </w:p>
        </w:tc>
        <w:tc>
          <w:tcPr>
            <w:tcBorders/>
            <w:tcW w:w="2754" w:type="dxa"/>
            <w:textDirection w:val="lrTb"/>
            <w:noWrap w:val="false"/>
          </w:tcPr>
          <w:p>
            <w:pPr>
              <w:pBdr/>
              <w:spacing/>
              <w:ind/>
              <w:rPr/>
            </w:pPr>
            <w:r>
              <w:t xml:space="preserve">~€250 - €300 (Revised lower based on Step 21 findings on retention/price sensitivity)</w:t>
            </w:r>
            <w:r/>
          </w:p>
        </w:tc>
        <w:tc>
          <w:tcPr>
            <w:tcBorders/>
            <w:tcW w:w="2754" w:type="dxa"/>
            <w:textDirection w:val="lrTb"/>
            <w:noWrap w:val="false"/>
          </w:tcPr>
          <w:p>
            <w:pPr>
              <w:pBdr/>
              <w:spacing/>
              <w:ind/>
              <w:rPr/>
            </w:pPr>
            <w:r>
              <w:t xml:space="preserve">To be measured</w:t>
            </w:r>
            <w:r/>
          </w:p>
          <w:p>
            <w:pPr>
              <w:pBdr/>
              <w:spacing/>
              <w:ind/>
              <w:rPr/>
            </w:pPr>
            <w:r/>
            <w:r/>
          </w:p>
        </w:tc>
        <w:tc>
          <w:tcPr>
            <w:tcBorders/>
            <w:tcW w:w="2754" w:type="dxa"/>
            <w:textDirection w:val="lrTb"/>
            <w:noWrap w:val="false"/>
          </w:tcPr>
          <w:p>
            <w:pPr>
              <w:pBdr/>
              <w:spacing/>
              <w:ind/>
              <w:rPr/>
            </w:pPr>
            <w:r>
              <w:t xml:space="preserve">Focus intensely on improving customer retention (Stage #6). Explore opportunities for upselling or add-ons once core value is established. Re-validate pricing against value.</w:t>
            </w:r>
            <w:r/>
          </w:p>
        </w:tc>
      </w:tr>
      <w:tr>
        <w:trPr/>
        <w:tc>
          <w:tcPr>
            <w:tcBorders/>
            <w:tcW w:w="2754" w:type="dxa"/>
            <w:textDirection w:val="lrTb"/>
            <w:noWrap w:val="false"/>
          </w:tcPr>
          <w:p>
            <w:pPr>
              <w:pBdr/>
              <w:spacing/>
              <w:ind/>
              <w:rPr/>
            </w:pPr>
            <w:r>
              <w:t xml:space="preserve">COCA</w:t>
            </w:r>
            <w:r/>
          </w:p>
        </w:tc>
        <w:tc>
          <w:tcPr>
            <w:tcBorders/>
            <w:tcW w:w="2754" w:type="dxa"/>
            <w:textDirection w:val="lrTb"/>
            <w:noWrap w:val="false"/>
          </w:tcPr>
          <w:p>
            <w:pPr>
              <w:pBdr/>
              <w:spacing/>
              <w:ind/>
              <w:rPr/>
            </w:pPr>
            <w:r>
              <w:t xml:space="preserve">€3,500 - €5,000 (High initial cost based on Step 19 short-term estimate)  </w:t>
            </w:r>
            <w:r/>
          </w:p>
        </w:tc>
        <w:tc>
          <w:tcPr>
            <w:tcBorders/>
            <w:tcW w:w="2754" w:type="dxa"/>
            <w:textDirection w:val="lrTb"/>
            <w:noWrap w:val="false"/>
          </w:tcPr>
          <w:p>
            <w:pPr>
              <w:pBdr/>
              <w:spacing/>
              <w:ind/>
              <w:rPr/>
            </w:pPr>
            <w:r>
              <w:t xml:space="preserve">To be measured</w:t>
            </w:r>
            <w:r/>
          </w:p>
          <w:p>
            <w:pPr>
              <w:pBdr/>
              <w:spacing/>
              <w:ind/>
              <w:rPr/>
            </w:pPr>
            <w:r/>
            <w:r/>
          </w:p>
        </w:tc>
        <w:tc>
          <w:tcPr>
            <w:tcBorders/>
            <w:tcW w:w="2754" w:type="dxa"/>
            <w:textDirection w:val="lrTb"/>
            <w:noWrap w:val="false"/>
          </w:tcPr>
          <w:p>
            <w:pPr>
              <w:pBdr/>
              <w:spacing/>
              <w:ind/>
              <w:rPr/>
            </w:pPr>
            <w:r>
              <w:t xml:space="preserve">Optimize sales and marketing channels based on early conversion data (Step 18/19). Improve lead qualification. Transition towards more scalable internet sales tactics.   </w:t>
            </w:r>
            <w:r/>
          </w:p>
        </w:tc>
      </w:tr>
    </w:tbl>
    <w:p>
      <w:pPr>
        <w:pStyle w:val="885"/>
        <w:pBdr/>
        <w:spacing/>
        <w:ind/>
        <w:rPr/>
      </w:pPr>
      <w:r>
        <w:t xml:space="preserve">Define and Test Other Metrics</w:t>
      </w:r>
      <w:r/>
    </w:p>
    <w:tbl>
      <w:tblPr>
        <w:tblStyle w:val="890"/>
        <w:tblW w:w="0" w:type="auto"/>
        <w:tblBorders/>
        <w:tblLook w:val="04A0" w:firstRow="1" w:lastRow="0" w:firstColumn="1" w:lastColumn="0" w:noHBand="0" w:noVBand="1"/>
      </w:tblPr>
      <w:tblGrid>
        <w:gridCol w:w="2703"/>
        <w:gridCol w:w="2702"/>
        <w:gridCol w:w="2694"/>
        <w:gridCol w:w="2691"/>
      </w:tblGrid>
      <w:tr>
        <w:trPr/>
        <w:tc>
          <w:tcPr>
            <w:tcBorders/>
            <w:tcW w:w="2754" w:type="dxa"/>
            <w:textDirection w:val="lrTb"/>
            <w:noWrap w:val="false"/>
          </w:tcPr>
          <w:p>
            <w:pPr>
              <w:pBdr/>
              <w:spacing/>
              <w:ind/>
              <w:rPr/>
            </w:pPr>
            <w:r>
              <w:t xml:space="preserve">List Custom Metrics Here:</w:t>
            </w:r>
            <w:r/>
          </w:p>
        </w:tc>
        <w:tc>
          <w:tcPr>
            <w:tcBorders/>
            <w:tcW w:w="2754" w:type="dxa"/>
            <w:textDirection w:val="lrTb"/>
            <w:noWrap w:val="false"/>
          </w:tcPr>
          <w:p>
            <w:pPr>
              <w:pBdr/>
              <w:spacing/>
              <w:ind/>
              <w:rPr/>
            </w:pPr>
            <w:r>
              <w:t xml:space="preserve">Expected for Short Term</w:t>
            </w:r>
            <w:r/>
          </w:p>
        </w:tc>
        <w:tc>
          <w:tcPr>
            <w:tcBorders/>
            <w:tcW w:w="2754" w:type="dxa"/>
            <w:textDirection w:val="lrTb"/>
            <w:noWrap w:val="false"/>
          </w:tcPr>
          <w:p>
            <w:pPr>
              <w:pBdr/>
              <w:spacing/>
              <w:ind/>
              <w:rPr/>
            </w:pPr>
            <w:r>
              <w:t xml:space="preserve">Actual for Short Term</w:t>
            </w:r>
            <w:r/>
          </w:p>
        </w:tc>
        <w:tc>
          <w:tcPr>
            <w:tcBorders/>
            <w:tcW w:w="2754" w:type="dxa"/>
            <w:textDirection w:val="lrTb"/>
            <w:noWrap w:val="false"/>
          </w:tcPr>
          <w:p>
            <w:pPr>
              <w:pBdr/>
              <w:spacing/>
              <w:ind/>
              <w:rPr/>
            </w:pPr>
            <w:r>
              <w:t xml:space="preserve">Next Steps </w:t>
            </w:r>
            <w:r/>
          </w:p>
        </w:tc>
      </w:tr>
      <w:tr>
        <w:trPr>
          <w:trHeight w:val="370"/>
        </w:trPr>
        <w:tc>
          <w:tcPr>
            <w:tcBorders/>
            <w:tcW w:w="2754" w:type="dxa"/>
            <w:textDirection w:val="lrTb"/>
            <w:noWrap w:val="false"/>
          </w:tcPr>
          <w:p>
            <w:pPr>
              <w:pBdr/>
              <w:spacing/>
              <w:ind/>
              <w:rPr>
                <w:b/>
              </w:rPr>
            </w:pPr>
            <w:r>
              <w:rPr>
                <w:b/>
              </w:rPr>
              <w:t xml:space="preserve">NPS (Net Promoter Score)</w:t>
            </w:r>
            <w:r>
              <w:rPr>
                <w:b/>
              </w:rPr>
            </w:r>
            <w:r>
              <w:rPr>
                <w:b/>
              </w:rPr>
            </w:r>
          </w:p>
        </w:tc>
        <w:tc>
          <w:tcPr>
            <w:tcBorders/>
            <w:tcW w:w="2754" w:type="dxa"/>
            <w:textDirection w:val="lrTb"/>
            <w:noWrap w:val="false"/>
          </w:tcPr>
          <w:p>
            <w:pPr>
              <w:pBdr/>
              <w:spacing/>
              <w:ind/>
              <w:rPr/>
            </w:pPr>
            <w:r>
              <w:t xml:space="preserve">&gt; 0 (Aiming for positive score initially, acknowledging MVBP limitations found in Step 21) </w:t>
            </w:r>
            <w:r/>
          </w:p>
        </w:tc>
        <w:tc>
          <w:tcPr>
            <w:tcBorders/>
            <w:tcW w:w="2754" w:type="dxa"/>
            <w:textDirection w:val="lrTb"/>
            <w:noWrap w:val="false"/>
          </w:tcPr>
          <w:p>
            <w:pPr>
              <w:pBdr/>
              <w:spacing/>
              <w:ind/>
              <w:rPr/>
            </w:pPr>
            <w:r>
              <w:t xml:space="preserve">To be measured</w:t>
            </w:r>
            <w:r/>
          </w:p>
        </w:tc>
        <w:tc>
          <w:tcPr>
            <w:tcBorders/>
            <w:tcW w:w="2754" w:type="dxa"/>
            <w:textDirection w:val="lrTb"/>
            <w:noWrap w:val="false"/>
          </w:tcPr>
          <w:p>
            <w:pPr>
              <w:pBdr/>
              <w:spacing/>
              <w:ind/>
              <w:rPr/>
            </w:pPr>
            <w:r>
              <w:t xml:space="preserve">Analyze promoter/detractor feedback deeply. Engage promoters for testimonials/referrals. Address detractor concerns to improve product and reduce churn. </w:t>
            </w:r>
            <w:r/>
          </w:p>
        </w:tc>
      </w:tr>
      <w:tr>
        <w:trPr/>
        <w:tc>
          <w:tcPr>
            <w:tcBorders/>
            <w:tcW w:w="2754" w:type="dxa"/>
            <w:textDirection w:val="lrTb"/>
            <w:noWrap w:val="false"/>
          </w:tcPr>
          <w:p>
            <w:pPr>
              <w:pBdr/>
              <w:spacing/>
              <w:ind/>
              <w:rPr>
                <w:b/>
                <w:bCs/>
              </w:rPr>
            </w:pPr>
            <w:r>
              <w:rPr>
                <w:b/>
                <w:bCs/>
              </w:rPr>
            </w:r>
            <w:r>
              <w:rPr>
                <w:b/>
                <w:bCs/>
              </w:rPr>
              <w:t xml:space="preserve">Monthly Active Usage (MAU) (% of customers)</w:t>
            </w:r>
            <w:r>
              <w:rPr>
                <w:b/>
                <w:bCs/>
              </w:rPr>
            </w:r>
            <w:r>
              <w:rPr>
                <w:b/>
                <w:bCs/>
              </w:rPr>
            </w:r>
          </w:p>
        </w:tc>
        <w:tc>
          <w:tcPr>
            <w:tcBorders/>
            <w:tcW w:w="2754" w:type="dxa"/>
            <w:textDirection w:val="lrTb"/>
            <w:noWrap w:val="false"/>
          </w:tcPr>
          <w:p>
            <w:pPr>
              <w:pBdr/>
              <w:spacing/>
              <w:ind/>
              <w:rPr/>
            </w:pPr>
            <w:r>
              <w:t xml:space="preserve">&gt; 40% (Want users actively engaging regularly)  </w:t>
            </w:r>
            <w:r/>
          </w:p>
        </w:tc>
        <w:tc>
          <w:tcPr>
            <w:tcBorders/>
            <w:tcW w:w="2754" w:type="dxa"/>
            <w:textDirection w:val="lrTb"/>
            <w:noWrap w:val="false"/>
          </w:tcPr>
          <w:p>
            <w:pPr>
              <w:pBdr/>
              <w:spacing/>
              <w:ind/>
              <w:rPr/>
            </w:pPr>
            <w:r>
              <w:t xml:space="preserve">To be measured</w:t>
            </w:r>
            <w:r/>
          </w:p>
          <w:p>
            <w:pPr>
              <w:pBdr/>
              <w:spacing/>
              <w:ind/>
              <w:rPr/>
            </w:pPr>
            <w:r/>
            <w:r/>
          </w:p>
        </w:tc>
        <w:tc>
          <w:tcPr>
            <w:tcBorders/>
            <w:tcW w:w="2754" w:type="dxa"/>
            <w:textDirection w:val="lrTb"/>
            <w:noWrap w:val="false"/>
          </w:tcPr>
          <w:p>
            <w:pPr>
              <w:pBdr/>
              <w:spacing/>
              <w:ind/>
              <w:rPr/>
            </w:pPr>
            <w:r>
              <w:t xml:space="preserve">Improve onboarding to guide users to core features. Enhance UI/UX for better engagement. Add features that encourage regular use based on feedback.  </w:t>
            </w:r>
            <w:r/>
          </w:p>
        </w:tc>
      </w:tr>
      <w:tr>
        <w:trPr/>
        <w:tc>
          <w:tcPr>
            <w:tcBorders/>
            <w:tcW w:w="2754" w:type="dxa"/>
            <w:vMerge w:val="restart"/>
            <w:textDirection w:val="lrTb"/>
            <w:noWrap w:val="false"/>
          </w:tcPr>
          <w:p>
            <w:pPr>
              <w:pBdr/>
              <w:spacing/>
              <w:ind/>
              <w:rPr>
                <w:b/>
                <w:bCs/>
              </w:rPr>
            </w:pPr>
            <w:r>
              <w:rPr>
                <w:b/>
                <w:bCs/>
              </w:rPr>
            </w:r>
            <w:r>
              <w:rPr>
                <w:b/>
                <w:bCs/>
              </w:rPr>
              <w:t xml:space="preserve">Key Feature Adoption Rate </w:t>
            </w:r>
            <w:r>
              <w:rPr>
                <w:b/>
                <w:bCs/>
              </w:rPr>
            </w:r>
            <w:r>
              <w:rPr>
                <w:b/>
                <w:bCs/>
              </w:rPr>
            </w:r>
          </w:p>
        </w:tc>
        <w:tc>
          <w:tcPr>
            <w:tcBorders/>
            <w:tcW w:w="2754" w:type="dxa"/>
            <w:vMerge w:val="restart"/>
            <w:textDirection w:val="lrTb"/>
            <w:noWrap w:val="false"/>
          </w:tcPr>
          <w:p>
            <w:pPr>
              <w:pBdr/>
              <w:spacing/>
              <w:ind/>
              <w:rPr/>
            </w:pPr>
            <w:r>
              <w:t xml:space="preserve">&gt; 50% (e.g., % of active users trying core AI agents like Idea Generation or Experiment Planning monthly)</w:t>
            </w:r>
            <w:r/>
          </w:p>
        </w:tc>
        <w:tc>
          <w:tcPr>
            <w:tcBorders/>
            <w:tcW w:w="2754" w:type="dxa"/>
            <w:vMerge w:val="restart"/>
            <w:textDirection w:val="lrTb"/>
            <w:noWrap w:val="false"/>
          </w:tcPr>
          <w:p>
            <w:pPr>
              <w:pBdr/>
              <w:spacing/>
              <w:ind/>
              <w:rPr/>
            </w:pPr>
            <w:r>
              <w:t xml:space="preserve">To be measured</w:t>
            </w:r>
            <w:r/>
          </w:p>
          <w:p>
            <w:pPr>
              <w:pBdr/>
              <w:spacing/>
              <w:ind/>
              <w:rPr/>
            </w:pPr>
            <w:r/>
            <w:r/>
          </w:p>
        </w:tc>
        <w:tc>
          <w:tcPr>
            <w:tcBorders/>
            <w:tcW w:w="2754" w:type="dxa"/>
            <w:vMerge w:val="restart"/>
            <w:textDirection w:val="lrTb"/>
            <w:noWrap w:val="false"/>
          </w:tcPr>
          <w:p>
            <w:pPr>
              <w:pBdr/>
              <w:spacing/>
              <w:ind/>
              <w:rPr/>
            </w:pPr>
            <w:r>
              <w:t xml:space="preserve">Promote key features via in-app messages or emails. Simplify access to core features. Ensure features deliver clear value based on user feedback (Step 21).</w:t>
            </w:r>
            <w:r/>
          </w:p>
        </w:tc>
      </w:tr>
      <w:tr>
        <w:trPr/>
        <w:tc>
          <w:tcPr>
            <w:tcBorders/>
            <w:tcW w:w="2754" w:type="dxa"/>
            <w:textDirection w:val="lrTb"/>
            <w:noWrap w:val="false"/>
          </w:tcPr>
          <w:p>
            <w:pPr>
              <w:pBdr/>
              <w:spacing/>
              <w:ind/>
              <w:rPr>
                <w:b/>
                <w:bCs/>
              </w:rPr>
            </w:pPr>
            <w:r>
              <w:rPr>
                <w:b/>
                <w:bCs/>
              </w:rPr>
            </w:r>
            <w:r>
              <w:rPr>
                <w:b/>
                <w:bCs/>
              </w:rPr>
              <w:t xml:space="preserve">Average Support Tickets per User per Quarter</w:t>
            </w:r>
            <w:r>
              <w:rPr>
                <w:b/>
                <w:bCs/>
              </w:rPr>
            </w:r>
            <w:r>
              <w:rPr>
                <w:b/>
                <w:bCs/>
              </w:rPr>
            </w:r>
          </w:p>
        </w:tc>
        <w:tc>
          <w:tcPr>
            <w:tcBorders/>
            <w:tcW w:w="2754" w:type="dxa"/>
            <w:textDirection w:val="lrTb"/>
            <w:noWrap w:val="false"/>
          </w:tcPr>
          <w:p>
            <w:pPr>
              <w:pBdr/>
              <w:spacing/>
              <w:ind/>
              <w:rPr/>
            </w:pPr>
            <w:r>
              <w:t xml:space="preserve">&lt; 0.5 (Aim for low friction and good self-service)  </w:t>
            </w:r>
            <w:r/>
          </w:p>
        </w:tc>
        <w:tc>
          <w:tcPr>
            <w:tcBorders/>
            <w:tcW w:w="2754" w:type="dxa"/>
            <w:textDirection w:val="lrTb"/>
            <w:noWrap w:val="false"/>
          </w:tcPr>
          <w:p>
            <w:pPr>
              <w:pBdr/>
              <w:spacing/>
              <w:ind/>
              <w:rPr/>
            </w:pPr>
            <w:r>
              <w:t xml:space="preserve">To be measured</w:t>
            </w:r>
            <w:r/>
          </w:p>
          <w:p>
            <w:pPr>
              <w:pBdr/>
              <w:spacing/>
              <w:ind/>
              <w:rPr/>
            </w:pPr>
            <w:r/>
            <w:r/>
          </w:p>
        </w:tc>
        <w:tc>
          <w:tcPr>
            <w:tcBorders/>
            <w:tcW w:w="2754" w:type="dxa"/>
            <w:textDirection w:val="lrTb"/>
            <w:noWrap w:val="false"/>
          </w:tcPr>
          <w:p>
            <w:pPr>
              <w:pBdr/>
              <w:spacing/>
              <w:ind/>
              <w:rPr/>
            </w:pPr>
            <w:r>
              <w:t xml:space="preserve">Improve knowledge base and self-service resources. Enhance product stability and usability based on ticket trends. Optimize support response times.</w:t>
            </w:r>
            <w:r/>
          </w:p>
        </w:tc>
      </w:tr>
    </w:tbl>
    <w:p>
      <w:pPr>
        <w:pBdr/>
        <w:spacing/>
        <w:ind/>
        <w:rPr/>
      </w:pPr>
      <w:r/>
      <w:r/>
    </w:p>
    <w:sectPr>
      <w:footnotePr/>
      <w:endnotePr/>
      <w:type w:val="nextPage"/>
      <w:pgSz w:h="15840" w:orient="portrait" w:w="12240"/>
      <w:pgMar w:top="864" w:right="720" w:bottom="864"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4">
    <w:lvl w:ilvl="0">
      <w:isLgl w:val="false"/>
      <w:lvlJc w:val="left"/>
      <w:lvlText w:val="%1."/>
      <w:numFmt w:val="decimal"/>
      <w:pPr>
        <w:pBdr/>
        <w:spacing/>
        <w:ind w:hanging="360" w:left="720"/>
      </w:pPr>
      <w:rPr>
        <w:rFonts w:hint="default"/>
        <w:b/>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upperRoman"/>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9">
    <w:name w:val="Table Grid Light"/>
    <w:basedOn w:val="8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8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88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1">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2">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3">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4">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5">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7">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8">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9">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0">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1">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2">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3">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Heading 4"/>
    <w:basedOn w:val="882"/>
    <w:next w:val="882"/>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5">
    <w:name w:val="Heading 5"/>
    <w:basedOn w:val="882"/>
    <w:next w:val="882"/>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6">
    <w:name w:val="Heading 6"/>
    <w:basedOn w:val="882"/>
    <w:next w:val="882"/>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7">
    <w:name w:val="Heading 7"/>
    <w:basedOn w:val="882"/>
    <w:next w:val="882"/>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8">
    <w:name w:val="Heading 8"/>
    <w:basedOn w:val="882"/>
    <w:next w:val="882"/>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9">
    <w:name w:val="Heading 9"/>
    <w:basedOn w:val="882"/>
    <w:next w:val="882"/>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0">
    <w:name w:val="Heading 4 Char"/>
    <w:basedOn w:val="886"/>
    <w:link w:val="834"/>
    <w:uiPriority w:val="9"/>
    <w:pPr>
      <w:pBdr/>
      <w:spacing/>
      <w:ind/>
    </w:pPr>
    <w:rPr>
      <w:rFonts w:ascii="Arial" w:hAnsi="Arial" w:eastAsia="Arial" w:cs="Arial"/>
      <w:i/>
      <w:iCs/>
      <w:color w:val="0f4761" w:themeColor="accent1" w:themeShade="BF"/>
    </w:rPr>
  </w:style>
  <w:style w:type="character" w:styleId="841">
    <w:name w:val="Heading 5 Char"/>
    <w:basedOn w:val="886"/>
    <w:link w:val="835"/>
    <w:uiPriority w:val="9"/>
    <w:pPr>
      <w:pBdr/>
      <w:spacing/>
      <w:ind/>
    </w:pPr>
    <w:rPr>
      <w:rFonts w:ascii="Arial" w:hAnsi="Arial" w:eastAsia="Arial" w:cs="Arial"/>
      <w:color w:val="0f4761" w:themeColor="accent1" w:themeShade="BF"/>
    </w:rPr>
  </w:style>
  <w:style w:type="character" w:styleId="842">
    <w:name w:val="Heading 6 Char"/>
    <w:basedOn w:val="886"/>
    <w:link w:val="836"/>
    <w:uiPriority w:val="9"/>
    <w:pPr>
      <w:pBdr/>
      <w:spacing/>
      <w:ind/>
    </w:pPr>
    <w:rPr>
      <w:rFonts w:ascii="Arial" w:hAnsi="Arial" w:eastAsia="Arial" w:cs="Arial"/>
      <w:i/>
      <w:iCs/>
      <w:color w:val="595959" w:themeColor="text1" w:themeTint="A6"/>
    </w:rPr>
  </w:style>
  <w:style w:type="character" w:styleId="843">
    <w:name w:val="Heading 7 Char"/>
    <w:basedOn w:val="886"/>
    <w:link w:val="837"/>
    <w:uiPriority w:val="9"/>
    <w:pPr>
      <w:pBdr/>
      <w:spacing/>
      <w:ind/>
    </w:pPr>
    <w:rPr>
      <w:rFonts w:ascii="Arial" w:hAnsi="Arial" w:eastAsia="Arial" w:cs="Arial"/>
      <w:color w:val="595959" w:themeColor="text1" w:themeTint="A6"/>
    </w:rPr>
  </w:style>
  <w:style w:type="character" w:styleId="844">
    <w:name w:val="Heading 8 Char"/>
    <w:basedOn w:val="886"/>
    <w:link w:val="838"/>
    <w:uiPriority w:val="9"/>
    <w:pPr>
      <w:pBdr/>
      <w:spacing/>
      <w:ind/>
    </w:pPr>
    <w:rPr>
      <w:rFonts w:ascii="Arial" w:hAnsi="Arial" w:eastAsia="Arial" w:cs="Arial"/>
      <w:i/>
      <w:iCs/>
      <w:color w:val="272727" w:themeColor="text1" w:themeTint="D8"/>
    </w:rPr>
  </w:style>
  <w:style w:type="character" w:styleId="845">
    <w:name w:val="Heading 9 Char"/>
    <w:basedOn w:val="886"/>
    <w:link w:val="839"/>
    <w:uiPriority w:val="9"/>
    <w:pPr>
      <w:pBdr/>
      <w:spacing/>
      <w:ind/>
    </w:pPr>
    <w:rPr>
      <w:rFonts w:ascii="Arial" w:hAnsi="Arial" w:eastAsia="Arial" w:cs="Arial"/>
      <w:i/>
      <w:iCs/>
      <w:color w:val="272727" w:themeColor="text1" w:themeTint="D8"/>
    </w:rPr>
  </w:style>
  <w:style w:type="paragraph" w:styleId="846">
    <w:name w:val="Title"/>
    <w:basedOn w:val="882"/>
    <w:next w:val="882"/>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86"/>
    <w:link w:val="846"/>
    <w:uiPriority w:val="10"/>
    <w:pPr>
      <w:pBdr/>
      <w:spacing/>
      <w:ind/>
    </w:pPr>
    <w:rPr>
      <w:rFonts w:ascii="Arial" w:hAnsi="Arial" w:eastAsia="Arial" w:cs="Arial"/>
      <w:spacing w:val="-10"/>
      <w:sz w:val="56"/>
      <w:szCs w:val="56"/>
    </w:rPr>
  </w:style>
  <w:style w:type="paragraph" w:styleId="848">
    <w:name w:val="Subtitle"/>
    <w:basedOn w:val="882"/>
    <w:next w:val="882"/>
    <w:link w:val="849"/>
    <w:uiPriority w:val="11"/>
    <w:qFormat/>
    <w:pPr>
      <w:numPr>
        <w:ilvl w:val="1"/>
      </w:numPr>
      <w:pBdr/>
      <w:spacing/>
      <w:ind/>
    </w:pPr>
    <w:rPr>
      <w:color w:val="595959" w:themeColor="text1" w:themeTint="A6"/>
      <w:spacing w:val="15"/>
      <w:sz w:val="28"/>
      <w:szCs w:val="28"/>
    </w:rPr>
  </w:style>
  <w:style w:type="character" w:styleId="849">
    <w:name w:val="Subtitle Char"/>
    <w:basedOn w:val="886"/>
    <w:link w:val="848"/>
    <w:uiPriority w:val="11"/>
    <w:pPr>
      <w:pBdr/>
      <w:spacing/>
      <w:ind/>
    </w:pPr>
    <w:rPr>
      <w:color w:val="595959" w:themeColor="text1" w:themeTint="A6"/>
      <w:spacing w:val="15"/>
      <w:sz w:val="28"/>
      <w:szCs w:val="28"/>
    </w:rPr>
  </w:style>
  <w:style w:type="paragraph" w:styleId="850">
    <w:name w:val="Quote"/>
    <w:basedOn w:val="882"/>
    <w:next w:val="882"/>
    <w:link w:val="851"/>
    <w:uiPriority w:val="29"/>
    <w:qFormat/>
    <w:pPr>
      <w:pBdr/>
      <w:spacing w:before="160"/>
      <w:ind/>
      <w:jc w:val="center"/>
    </w:pPr>
    <w:rPr>
      <w:i/>
      <w:iCs/>
      <w:color w:val="404040" w:themeColor="text1" w:themeTint="BF"/>
    </w:rPr>
  </w:style>
  <w:style w:type="character" w:styleId="851">
    <w:name w:val="Quote Char"/>
    <w:basedOn w:val="886"/>
    <w:link w:val="850"/>
    <w:uiPriority w:val="29"/>
    <w:pPr>
      <w:pBdr/>
      <w:spacing/>
      <w:ind/>
    </w:pPr>
    <w:rPr>
      <w:i/>
      <w:iCs/>
      <w:color w:val="404040" w:themeColor="text1" w:themeTint="BF"/>
    </w:rPr>
  </w:style>
  <w:style w:type="character" w:styleId="852">
    <w:name w:val="Intense Emphasis"/>
    <w:basedOn w:val="886"/>
    <w:uiPriority w:val="21"/>
    <w:qFormat/>
    <w:pPr>
      <w:pBdr/>
      <w:spacing/>
      <w:ind/>
    </w:pPr>
    <w:rPr>
      <w:i/>
      <w:iCs/>
      <w:color w:val="0f4761" w:themeColor="accent1" w:themeShade="BF"/>
    </w:rPr>
  </w:style>
  <w:style w:type="paragraph" w:styleId="853">
    <w:name w:val="Intense Quote"/>
    <w:basedOn w:val="882"/>
    <w:next w:val="882"/>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86"/>
    <w:link w:val="853"/>
    <w:uiPriority w:val="30"/>
    <w:pPr>
      <w:pBdr/>
      <w:spacing/>
      <w:ind/>
    </w:pPr>
    <w:rPr>
      <w:i/>
      <w:iCs/>
      <w:color w:val="0f4761" w:themeColor="accent1" w:themeShade="BF"/>
    </w:rPr>
  </w:style>
  <w:style w:type="character" w:styleId="855">
    <w:name w:val="Intense Reference"/>
    <w:basedOn w:val="886"/>
    <w:uiPriority w:val="32"/>
    <w:qFormat/>
    <w:pPr>
      <w:pBdr/>
      <w:spacing/>
      <w:ind/>
    </w:pPr>
    <w:rPr>
      <w:b/>
      <w:bCs/>
      <w:smallCaps/>
      <w:color w:val="0f4761" w:themeColor="accent1" w:themeShade="BF"/>
      <w:spacing w:val="5"/>
    </w:rPr>
  </w:style>
  <w:style w:type="paragraph" w:styleId="856">
    <w:name w:val="No Spacing"/>
    <w:basedOn w:val="882"/>
    <w:uiPriority w:val="1"/>
    <w:qFormat/>
    <w:pPr>
      <w:pBdr/>
      <w:spacing w:after="0" w:line="240" w:lineRule="auto"/>
      <w:ind/>
    </w:pPr>
  </w:style>
  <w:style w:type="character" w:styleId="857">
    <w:name w:val="Subtle Emphasis"/>
    <w:basedOn w:val="886"/>
    <w:uiPriority w:val="19"/>
    <w:qFormat/>
    <w:pPr>
      <w:pBdr/>
      <w:spacing/>
      <w:ind/>
    </w:pPr>
    <w:rPr>
      <w:i/>
      <w:iCs/>
      <w:color w:val="404040" w:themeColor="text1" w:themeTint="BF"/>
    </w:rPr>
  </w:style>
  <w:style w:type="character" w:styleId="858">
    <w:name w:val="Emphasis"/>
    <w:basedOn w:val="886"/>
    <w:uiPriority w:val="20"/>
    <w:qFormat/>
    <w:pPr>
      <w:pBdr/>
      <w:spacing/>
      <w:ind/>
    </w:pPr>
    <w:rPr>
      <w:i/>
      <w:iCs/>
    </w:rPr>
  </w:style>
  <w:style w:type="character" w:styleId="859">
    <w:name w:val="Strong"/>
    <w:basedOn w:val="886"/>
    <w:uiPriority w:val="22"/>
    <w:qFormat/>
    <w:pPr>
      <w:pBdr/>
      <w:spacing/>
      <w:ind/>
    </w:pPr>
    <w:rPr>
      <w:b/>
      <w:bCs/>
    </w:rPr>
  </w:style>
  <w:style w:type="character" w:styleId="860">
    <w:name w:val="Subtle Reference"/>
    <w:basedOn w:val="886"/>
    <w:uiPriority w:val="31"/>
    <w:qFormat/>
    <w:pPr>
      <w:pBdr/>
      <w:spacing/>
      <w:ind/>
    </w:pPr>
    <w:rPr>
      <w:smallCaps/>
      <w:color w:val="5a5a5a" w:themeColor="text1" w:themeTint="A5"/>
    </w:rPr>
  </w:style>
  <w:style w:type="character" w:styleId="861">
    <w:name w:val="Book Title"/>
    <w:basedOn w:val="886"/>
    <w:uiPriority w:val="33"/>
    <w:qFormat/>
    <w:pPr>
      <w:pBdr/>
      <w:spacing/>
      <w:ind/>
    </w:pPr>
    <w:rPr>
      <w:b/>
      <w:bCs/>
      <w:i/>
      <w:iCs/>
      <w:spacing w:val="5"/>
    </w:rPr>
  </w:style>
  <w:style w:type="paragraph" w:styleId="862">
    <w:name w:val="Header"/>
    <w:basedOn w:val="882"/>
    <w:link w:val="863"/>
    <w:uiPriority w:val="99"/>
    <w:unhideWhenUsed/>
    <w:pPr>
      <w:pBdr/>
      <w:tabs>
        <w:tab w:val="center" w:leader="none" w:pos="4844"/>
        <w:tab w:val="right" w:leader="none" w:pos="9689"/>
      </w:tabs>
      <w:spacing w:after="0" w:line="240" w:lineRule="auto"/>
      <w:ind/>
    </w:pPr>
  </w:style>
  <w:style w:type="character" w:styleId="863">
    <w:name w:val="Header Char"/>
    <w:basedOn w:val="886"/>
    <w:link w:val="862"/>
    <w:uiPriority w:val="99"/>
    <w:pPr>
      <w:pBdr/>
      <w:spacing/>
      <w:ind/>
    </w:pPr>
  </w:style>
  <w:style w:type="paragraph" w:styleId="864">
    <w:name w:val="Footer"/>
    <w:basedOn w:val="882"/>
    <w:link w:val="865"/>
    <w:uiPriority w:val="99"/>
    <w:unhideWhenUsed/>
    <w:pPr>
      <w:pBdr/>
      <w:tabs>
        <w:tab w:val="center" w:leader="none" w:pos="4844"/>
        <w:tab w:val="right" w:leader="none" w:pos="9689"/>
      </w:tabs>
      <w:spacing w:after="0" w:line="240" w:lineRule="auto"/>
      <w:ind/>
    </w:pPr>
  </w:style>
  <w:style w:type="character" w:styleId="865">
    <w:name w:val="Footer Char"/>
    <w:basedOn w:val="886"/>
    <w:link w:val="864"/>
    <w:uiPriority w:val="99"/>
    <w:pPr>
      <w:pBdr/>
      <w:spacing/>
      <w:ind/>
    </w:pPr>
  </w:style>
  <w:style w:type="paragraph" w:styleId="866">
    <w:name w:val="Caption"/>
    <w:basedOn w:val="882"/>
    <w:next w:val="882"/>
    <w:uiPriority w:val="35"/>
    <w:unhideWhenUsed/>
    <w:qFormat/>
    <w:pPr>
      <w:pBdr/>
      <w:spacing w:after="200" w:line="240" w:lineRule="auto"/>
      <w:ind/>
    </w:pPr>
    <w:rPr>
      <w:i/>
      <w:iCs/>
      <w:color w:val="0e2841" w:themeColor="text2"/>
      <w:sz w:val="18"/>
      <w:szCs w:val="18"/>
    </w:rPr>
  </w:style>
  <w:style w:type="paragraph" w:styleId="867">
    <w:name w:val="endnote text"/>
    <w:basedOn w:val="882"/>
    <w:link w:val="868"/>
    <w:uiPriority w:val="99"/>
    <w:semiHidden/>
    <w:unhideWhenUsed/>
    <w:pPr>
      <w:pBdr/>
      <w:spacing w:after="0" w:line="240" w:lineRule="auto"/>
      <w:ind/>
    </w:pPr>
    <w:rPr>
      <w:sz w:val="20"/>
      <w:szCs w:val="20"/>
    </w:rPr>
  </w:style>
  <w:style w:type="character" w:styleId="868">
    <w:name w:val="Endnote Text Char"/>
    <w:basedOn w:val="886"/>
    <w:link w:val="867"/>
    <w:uiPriority w:val="99"/>
    <w:semiHidden/>
    <w:pPr>
      <w:pBdr/>
      <w:spacing/>
      <w:ind/>
    </w:pPr>
    <w:rPr>
      <w:sz w:val="20"/>
      <w:szCs w:val="20"/>
    </w:rPr>
  </w:style>
  <w:style w:type="character" w:styleId="869">
    <w:name w:val="endnote reference"/>
    <w:basedOn w:val="886"/>
    <w:uiPriority w:val="99"/>
    <w:semiHidden/>
    <w:unhideWhenUsed/>
    <w:pPr>
      <w:pBdr/>
      <w:spacing/>
      <w:ind/>
    </w:pPr>
    <w:rPr>
      <w:vertAlign w:val="superscript"/>
    </w:rPr>
  </w:style>
  <w:style w:type="character" w:styleId="870">
    <w:name w:val="FollowedHyperlink"/>
    <w:basedOn w:val="886"/>
    <w:uiPriority w:val="99"/>
    <w:semiHidden/>
    <w:unhideWhenUsed/>
    <w:pPr>
      <w:pBdr/>
      <w:spacing/>
      <w:ind/>
    </w:pPr>
    <w:rPr>
      <w:color w:val="954f72" w:themeColor="followedHyperlink"/>
      <w:u w:val="single"/>
    </w:rPr>
  </w:style>
  <w:style w:type="paragraph" w:styleId="871">
    <w:name w:val="toc 1"/>
    <w:basedOn w:val="882"/>
    <w:next w:val="882"/>
    <w:uiPriority w:val="39"/>
    <w:unhideWhenUsed/>
    <w:pPr>
      <w:pBdr/>
      <w:spacing w:after="100"/>
      <w:ind/>
    </w:pPr>
  </w:style>
  <w:style w:type="paragraph" w:styleId="872">
    <w:name w:val="toc 2"/>
    <w:basedOn w:val="882"/>
    <w:next w:val="882"/>
    <w:uiPriority w:val="39"/>
    <w:unhideWhenUsed/>
    <w:pPr>
      <w:pBdr/>
      <w:spacing w:after="100"/>
      <w:ind w:left="220"/>
    </w:pPr>
  </w:style>
  <w:style w:type="paragraph" w:styleId="873">
    <w:name w:val="toc 3"/>
    <w:basedOn w:val="882"/>
    <w:next w:val="882"/>
    <w:uiPriority w:val="39"/>
    <w:unhideWhenUsed/>
    <w:pPr>
      <w:pBdr/>
      <w:spacing w:after="100"/>
      <w:ind w:left="440"/>
    </w:pPr>
  </w:style>
  <w:style w:type="paragraph" w:styleId="874">
    <w:name w:val="toc 4"/>
    <w:basedOn w:val="882"/>
    <w:next w:val="882"/>
    <w:uiPriority w:val="39"/>
    <w:unhideWhenUsed/>
    <w:pPr>
      <w:pBdr/>
      <w:spacing w:after="100"/>
      <w:ind w:left="660"/>
    </w:pPr>
  </w:style>
  <w:style w:type="paragraph" w:styleId="875">
    <w:name w:val="toc 5"/>
    <w:basedOn w:val="882"/>
    <w:next w:val="882"/>
    <w:uiPriority w:val="39"/>
    <w:unhideWhenUsed/>
    <w:pPr>
      <w:pBdr/>
      <w:spacing w:after="100"/>
      <w:ind w:left="880"/>
    </w:pPr>
  </w:style>
  <w:style w:type="paragraph" w:styleId="876">
    <w:name w:val="toc 6"/>
    <w:basedOn w:val="882"/>
    <w:next w:val="882"/>
    <w:uiPriority w:val="39"/>
    <w:unhideWhenUsed/>
    <w:pPr>
      <w:pBdr/>
      <w:spacing w:after="100"/>
      <w:ind w:left="1100"/>
    </w:pPr>
  </w:style>
  <w:style w:type="paragraph" w:styleId="877">
    <w:name w:val="toc 7"/>
    <w:basedOn w:val="882"/>
    <w:next w:val="882"/>
    <w:uiPriority w:val="39"/>
    <w:unhideWhenUsed/>
    <w:pPr>
      <w:pBdr/>
      <w:spacing w:after="100"/>
      <w:ind w:left="1320"/>
    </w:pPr>
  </w:style>
  <w:style w:type="paragraph" w:styleId="878">
    <w:name w:val="toc 8"/>
    <w:basedOn w:val="882"/>
    <w:next w:val="882"/>
    <w:uiPriority w:val="39"/>
    <w:unhideWhenUsed/>
    <w:pPr>
      <w:pBdr/>
      <w:spacing w:after="100"/>
      <w:ind w:left="1540"/>
    </w:pPr>
  </w:style>
  <w:style w:type="paragraph" w:styleId="879">
    <w:name w:val="toc 9"/>
    <w:basedOn w:val="882"/>
    <w:next w:val="882"/>
    <w:uiPriority w:val="39"/>
    <w:unhideWhenUsed/>
    <w:pPr>
      <w:pBdr/>
      <w:spacing w:after="100"/>
      <w:ind w:left="1760"/>
    </w:pPr>
  </w:style>
  <w:style w:type="paragraph" w:styleId="880">
    <w:name w:val="TOC Heading"/>
    <w:uiPriority w:val="39"/>
    <w:unhideWhenUsed/>
    <w:pPr>
      <w:pBdr/>
      <w:spacing/>
      <w:ind/>
    </w:pPr>
  </w:style>
  <w:style w:type="paragraph" w:styleId="881">
    <w:name w:val="table of figures"/>
    <w:basedOn w:val="882"/>
    <w:next w:val="882"/>
    <w:uiPriority w:val="99"/>
    <w:unhideWhenUsed/>
    <w:pPr>
      <w:pBdr/>
      <w:spacing w:after="0" w:afterAutospacing="0"/>
      <w:ind/>
    </w:pPr>
  </w:style>
  <w:style w:type="paragraph" w:styleId="882" w:default="1">
    <w:name w:val="Normal"/>
    <w:qFormat/>
    <w:pPr>
      <w:pBdr/>
      <w:spacing/>
      <w:ind/>
    </w:pPr>
  </w:style>
  <w:style w:type="paragraph" w:styleId="883">
    <w:name w:val="Heading 1"/>
    <w:basedOn w:val="882"/>
    <w:next w:val="882"/>
    <w:link w:val="902"/>
    <w:uiPriority w:val="9"/>
    <w:qFormat/>
    <w:pPr>
      <w:keepNext w:val="true"/>
      <w:keepLines w:val="true"/>
      <w:pBdr/>
      <w:spacing w:after="0" w:before="480"/>
      <w:ind/>
      <w:outlineLvl w:val="0"/>
    </w:pPr>
    <w:rPr>
      <w:rFonts w:asciiTheme="majorHAnsi" w:hAnsiTheme="majorHAnsi" w:eastAsiaTheme="majorEastAsia" w:cstheme="majorBidi"/>
      <w:b/>
      <w:bCs/>
      <w:color w:val="2c6eab" w:themeColor="accent1" w:themeShade="B5"/>
      <w:sz w:val="32"/>
      <w:szCs w:val="32"/>
    </w:rPr>
  </w:style>
  <w:style w:type="paragraph" w:styleId="884">
    <w:name w:val="Heading 2"/>
    <w:basedOn w:val="882"/>
    <w:next w:val="882"/>
    <w:link w:val="903"/>
    <w:uiPriority w:val="9"/>
    <w:unhideWhenUsed/>
    <w:qFormat/>
    <w:pPr>
      <w:keepNext w:val="true"/>
      <w:keepLines w:val="true"/>
      <w:pBdr/>
      <w:spacing w:after="0" w:before="200"/>
      <w:ind/>
      <w:outlineLvl w:val="1"/>
    </w:pPr>
    <w:rPr>
      <w:rFonts w:asciiTheme="majorHAnsi" w:hAnsiTheme="majorHAnsi" w:eastAsiaTheme="majorEastAsia" w:cstheme="majorBidi"/>
      <w:b/>
      <w:bCs/>
      <w:color w:val="5b9bd5" w:themeColor="accent1"/>
      <w:sz w:val="26"/>
      <w:szCs w:val="26"/>
    </w:rPr>
  </w:style>
  <w:style w:type="paragraph" w:styleId="885">
    <w:name w:val="Heading 3"/>
    <w:basedOn w:val="882"/>
    <w:next w:val="882"/>
    <w:link w:val="904"/>
    <w:uiPriority w:val="9"/>
    <w:unhideWhenUsed/>
    <w:qFormat/>
    <w:pPr>
      <w:keepNext w:val="true"/>
      <w:keepLines w:val="true"/>
      <w:pBdr/>
      <w:spacing w:after="0" w:before="200"/>
      <w:ind/>
      <w:outlineLvl w:val="2"/>
    </w:pPr>
    <w:rPr>
      <w:rFonts w:asciiTheme="majorHAnsi" w:hAnsiTheme="majorHAnsi" w:eastAsiaTheme="majorEastAsia" w:cstheme="majorBidi"/>
      <w:b/>
      <w:bCs/>
      <w:color w:val="5b9bd5" w:themeColor="accent1"/>
    </w:rPr>
  </w:style>
  <w:style w:type="character" w:styleId="886" w:default="1">
    <w:name w:val="Default Paragraph Font"/>
    <w:uiPriority w:val="1"/>
    <w:semiHidden/>
    <w:unhideWhenUsed/>
    <w:pPr>
      <w:pBdr/>
      <w:spacing/>
      <w:ind/>
    </w:pPr>
  </w:style>
  <w:style w:type="table" w:styleId="8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character" w:styleId="889">
    <w:name w:val="Hyperlink"/>
    <w:basedOn w:val="886"/>
    <w:uiPriority w:val="99"/>
    <w:unhideWhenUsed/>
    <w:pPr>
      <w:pBdr/>
      <w:spacing/>
      <w:ind/>
    </w:pPr>
    <w:rPr>
      <w:color w:val="0563c1" w:themeColor="hyperlink"/>
      <w:u w:val="single"/>
    </w:rPr>
  </w:style>
  <w:style w:type="table" w:styleId="890">
    <w:name w:val="Table Grid"/>
    <w:basedOn w:val="88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1">
    <w:name w:val="footnote text"/>
    <w:basedOn w:val="882"/>
    <w:link w:val="892"/>
    <w:uiPriority w:val="99"/>
    <w:semiHidden/>
    <w:unhideWhenUsed/>
    <w:pPr>
      <w:pBdr/>
      <w:spacing w:after="0" w:line="240" w:lineRule="auto"/>
      <w:ind/>
    </w:pPr>
    <w:rPr>
      <w:sz w:val="20"/>
      <w:szCs w:val="20"/>
    </w:rPr>
  </w:style>
  <w:style w:type="character" w:styleId="892" w:customStyle="1">
    <w:name w:val="Footnote Text Char"/>
    <w:basedOn w:val="886"/>
    <w:link w:val="891"/>
    <w:uiPriority w:val="99"/>
    <w:semiHidden/>
    <w:pPr>
      <w:pBdr/>
      <w:spacing/>
      <w:ind/>
    </w:pPr>
    <w:rPr>
      <w:sz w:val="20"/>
      <w:szCs w:val="20"/>
    </w:rPr>
  </w:style>
  <w:style w:type="character" w:styleId="893">
    <w:name w:val="footnote reference"/>
    <w:basedOn w:val="886"/>
    <w:uiPriority w:val="99"/>
    <w:semiHidden/>
    <w:unhideWhenUsed/>
    <w:pPr>
      <w:pBdr/>
      <w:spacing/>
      <w:ind/>
    </w:pPr>
    <w:rPr>
      <w:vertAlign w:val="superscript"/>
    </w:rPr>
  </w:style>
  <w:style w:type="paragraph" w:styleId="894">
    <w:name w:val="List Paragraph"/>
    <w:basedOn w:val="882"/>
    <w:uiPriority w:val="34"/>
    <w:qFormat/>
    <w:pPr>
      <w:pBdr/>
      <w:spacing/>
      <w:ind w:left="720"/>
      <w:contextualSpacing w:val="true"/>
    </w:pPr>
  </w:style>
  <w:style w:type="paragraph" w:styleId="895">
    <w:name w:val="Balloon Text"/>
    <w:basedOn w:val="882"/>
    <w:link w:val="896"/>
    <w:uiPriority w:val="99"/>
    <w:semiHidden/>
    <w:unhideWhenUsed/>
    <w:pPr>
      <w:pBdr/>
      <w:spacing w:after="0" w:line="240" w:lineRule="auto"/>
      <w:ind/>
    </w:pPr>
    <w:rPr>
      <w:rFonts w:ascii="Lucida Grande" w:hAnsi="Lucida Grande" w:cs="Lucida Grande"/>
      <w:sz w:val="18"/>
      <w:szCs w:val="18"/>
    </w:rPr>
  </w:style>
  <w:style w:type="character" w:styleId="896" w:customStyle="1">
    <w:name w:val="Balloon Text Char"/>
    <w:basedOn w:val="886"/>
    <w:link w:val="895"/>
    <w:uiPriority w:val="99"/>
    <w:semiHidden/>
    <w:pPr>
      <w:pBdr/>
      <w:spacing/>
      <w:ind/>
    </w:pPr>
    <w:rPr>
      <w:rFonts w:ascii="Lucida Grande" w:hAnsi="Lucida Grande" w:cs="Lucida Grande"/>
      <w:sz w:val="18"/>
      <w:szCs w:val="18"/>
    </w:rPr>
  </w:style>
  <w:style w:type="character" w:styleId="897">
    <w:name w:val="annotation reference"/>
    <w:basedOn w:val="886"/>
    <w:uiPriority w:val="99"/>
    <w:semiHidden/>
    <w:unhideWhenUsed/>
    <w:pPr>
      <w:pBdr/>
      <w:spacing/>
      <w:ind/>
    </w:pPr>
    <w:rPr>
      <w:sz w:val="18"/>
      <w:szCs w:val="18"/>
    </w:rPr>
  </w:style>
  <w:style w:type="paragraph" w:styleId="898">
    <w:name w:val="annotation text"/>
    <w:basedOn w:val="882"/>
    <w:link w:val="899"/>
    <w:uiPriority w:val="99"/>
    <w:semiHidden/>
    <w:unhideWhenUsed/>
    <w:pPr>
      <w:pBdr/>
      <w:spacing w:line="240" w:lineRule="auto"/>
      <w:ind/>
    </w:pPr>
    <w:rPr>
      <w:sz w:val="24"/>
      <w:szCs w:val="24"/>
    </w:rPr>
  </w:style>
  <w:style w:type="character" w:styleId="899" w:customStyle="1">
    <w:name w:val="Comment Text Char"/>
    <w:basedOn w:val="886"/>
    <w:link w:val="898"/>
    <w:uiPriority w:val="99"/>
    <w:semiHidden/>
    <w:pPr>
      <w:pBdr/>
      <w:spacing/>
      <w:ind/>
    </w:pPr>
    <w:rPr>
      <w:sz w:val="24"/>
      <w:szCs w:val="24"/>
    </w:rPr>
  </w:style>
  <w:style w:type="paragraph" w:styleId="900">
    <w:name w:val="annotation subject"/>
    <w:basedOn w:val="898"/>
    <w:next w:val="898"/>
    <w:link w:val="901"/>
    <w:uiPriority w:val="99"/>
    <w:semiHidden/>
    <w:unhideWhenUsed/>
    <w:pPr>
      <w:pBdr/>
      <w:spacing/>
      <w:ind/>
    </w:pPr>
    <w:rPr>
      <w:b/>
      <w:bCs/>
      <w:sz w:val="20"/>
      <w:szCs w:val="20"/>
    </w:rPr>
  </w:style>
  <w:style w:type="character" w:styleId="901" w:customStyle="1">
    <w:name w:val="Comment Subject Char"/>
    <w:basedOn w:val="899"/>
    <w:link w:val="900"/>
    <w:uiPriority w:val="99"/>
    <w:semiHidden/>
    <w:pPr>
      <w:pBdr/>
      <w:spacing/>
      <w:ind/>
    </w:pPr>
    <w:rPr>
      <w:b/>
      <w:bCs/>
      <w:sz w:val="20"/>
      <w:szCs w:val="20"/>
    </w:rPr>
  </w:style>
  <w:style w:type="character" w:styleId="902" w:customStyle="1">
    <w:name w:val="Heading 1 Char"/>
    <w:basedOn w:val="886"/>
    <w:link w:val="883"/>
    <w:uiPriority w:val="9"/>
    <w:pPr>
      <w:pBdr/>
      <w:spacing/>
      <w:ind/>
    </w:pPr>
    <w:rPr>
      <w:rFonts w:asciiTheme="majorHAnsi" w:hAnsiTheme="majorHAnsi" w:eastAsiaTheme="majorEastAsia" w:cstheme="majorBidi"/>
      <w:b/>
      <w:bCs/>
      <w:color w:val="2c6eab" w:themeColor="accent1" w:themeShade="B5"/>
      <w:sz w:val="32"/>
      <w:szCs w:val="32"/>
    </w:rPr>
  </w:style>
  <w:style w:type="character" w:styleId="903" w:customStyle="1">
    <w:name w:val="Heading 2 Char"/>
    <w:basedOn w:val="886"/>
    <w:link w:val="884"/>
    <w:uiPriority w:val="9"/>
    <w:pPr>
      <w:pBdr/>
      <w:spacing/>
      <w:ind/>
    </w:pPr>
    <w:rPr>
      <w:rFonts w:asciiTheme="majorHAnsi" w:hAnsiTheme="majorHAnsi" w:eastAsiaTheme="majorEastAsia" w:cstheme="majorBidi"/>
      <w:b/>
      <w:bCs/>
      <w:color w:val="5b9bd5" w:themeColor="accent1"/>
      <w:sz w:val="26"/>
      <w:szCs w:val="26"/>
    </w:rPr>
  </w:style>
  <w:style w:type="character" w:styleId="904" w:customStyle="1">
    <w:name w:val="Heading 3 Char"/>
    <w:basedOn w:val="886"/>
    <w:link w:val="885"/>
    <w:uiPriority w:val="9"/>
    <w:pPr>
      <w:pBdr/>
      <w:spacing/>
      <w:ind/>
    </w:pPr>
    <w:rPr>
      <w:rFonts w:asciiTheme="majorHAnsi" w:hAnsiTheme="majorHAnsi" w:eastAsiaTheme="majorEastAsia" w:cstheme="majorBidi"/>
      <w:b/>
      <w:bCs/>
      <w:color w:val="5b9bd5" w:themeColor="accent1"/>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8E84A-9D52-40D2-9B90-3D9C511B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MIT Sloan School of Management</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revision>5</cp:revision>
  <dcterms:created xsi:type="dcterms:W3CDTF">2016-11-30T11:24:00Z</dcterms:created>
  <dcterms:modified xsi:type="dcterms:W3CDTF">2025-04-22T08:45:51Z</dcterms:modified>
</cp:coreProperties>
</file>