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20,427</w:t>
      </w:r>
      <w:r>
        <w:t xml:space="preserve"> </w:t>
      </w:r>
      <w:r>
        <w:t xml:space="preserve">genomes from</w:t>
      </w:r>
      <w:r>
        <w:t xml:space="preserve"> </w:t>
      </w:r>
      <w:r>
        <w:rPr>
          <w:b/>
        </w:rPr>
        <w:t xml:space="preserve">5,972</w:t>
      </w:r>
      <w:r>
        <w:t xml:space="preserve"> </w:t>
      </w:r>
      <w:r>
        <w:t xml:space="preserve">species. As the number of copies of the 16S rRNA gene increased in a genome, the number of ASVs also increased. There was an average of</w:t>
      </w:r>
      <w:r>
        <w:t xml:space="preserve"> </w:t>
      </w:r>
      <w:r>
        <w:rPr>
          <w:b/>
        </w:rPr>
        <w:t xml:space="preserve">0.58</w:t>
      </w:r>
      <w:r>
        <w:t xml:space="preserve"> </w:t>
      </w:r>
      <w:r>
        <w:t xml:space="preserve">ASVs per copy of the 16S rRNA gene for full length 16S rRNA genes. It was necessary to use a distance threshold of</w:t>
      </w:r>
      <w:r>
        <w:t xml:space="preserve"> </w:t>
      </w:r>
      <w:r>
        <w:rPr>
          <w:b/>
        </w:rPr>
        <w:t xml:space="preserve">5.2</w:t>
      </w:r>
      <w:r>
        <w:t xml:space="preserve">%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 that was developed and is now widely used was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that those copies are not identical</w:t>
      </w:r>
      <w:r>
        <w:t xml:space="preserve"> </w:t>
      </w:r>
      <w:r>
        <w:t xml:space="preserve">(12, 13)</w:t>
      </w:r>
      <w:r>
        <w:t xml:space="preserve">. Yet, ASVs and using too fine a threshold to identify OTUs could split a single genome into multiple clusters. Conversely, using too broad of a threshold to define OTUs could cluster together multiple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tradeoff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5,972</w:t>
      </w:r>
      <w:r>
        <w:t xml:space="preserve"> </w:t>
      </w:r>
      <w:r>
        <w:t xml:space="preserve">species represented in the</w:t>
      </w:r>
      <w:r>
        <w:t xml:space="preserve"> </w:t>
      </w:r>
      <w:r>
        <w:rPr>
          <w:i/>
        </w:rPr>
        <w:t xml:space="preserve">rrn</w:t>
      </w:r>
      <w:r>
        <w:t xml:space="preserve">DB there were</w:t>
      </w:r>
      <w:r>
        <w:t xml:space="preserve"> </w:t>
      </w:r>
      <w:r>
        <w:rPr>
          <w:b/>
        </w:rPr>
        <w:t xml:space="preserve">20,427</w:t>
      </w:r>
      <w:r>
        <w:t xml:space="preserve"> </w:t>
      </w:r>
      <w:r>
        <w:t xml:space="preserve">genomes. The median</w:t>
      </w:r>
      <w:r>
        <w:t xml:space="preserve"> </w:t>
      </w:r>
      <w:r>
        <w:rPr>
          <w:i/>
        </w:rPr>
        <w:t xml:space="preserve">rrn</w:t>
      </w:r>
      <w:r>
        <w:t xml:space="preserve"> </w:t>
      </w:r>
      <w:r>
        <w:t xml:space="preserve">copy number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As</w:t>
      </w:r>
      <w:r>
        <w:t xml:space="preserve"> </w:t>
      </w:r>
      <w:r>
        <w:rPr>
          <w:i/>
        </w:rPr>
        <w:t xml:space="preserve">rrn</w:t>
      </w:r>
      <w:r>
        <w:t xml:space="preserve"> </w:t>
      </w:r>
      <w:r>
        <w:t xml:space="preserve">copy number for a genome increased, the number of variants of the 16S rRNA gene in each genome also increased. On average, there were</w:t>
      </w:r>
      <w:r>
        <w:t xml:space="preserve"> </w:t>
      </w:r>
      <w:r>
        <w:rPr>
          <w:b/>
        </w:rPr>
        <w:t xml:space="preserve">0.58</w:t>
      </w:r>
      <w:r>
        <w:t xml:space="preserve"> </w:t>
      </w:r>
      <w:r>
        <w:t xml:space="preserve">variants per copy of the full length 16S rRNA gene and an average of</w:t>
      </w:r>
      <w:r>
        <w:t xml:space="preserve"> </w:t>
      </w:r>
      <w:r>
        <w:rPr>
          <w:b/>
        </w:rPr>
        <w:t xml:space="preserve">0.32</w:t>
      </w:r>
      <w:r>
        <w:t xml:space="preserve">,</w:t>
      </w:r>
      <w:r>
        <w:t xml:space="preserve"> </w:t>
      </w:r>
      <w:r>
        <w:rPr>
          <w:b/>
        </w:rPr>
        <w:t xml:space="preserve">0.25</w:t>
      </w:r>
      <w:r>
        <w:t xml:space="preserve">, and</w:t>
      </w:r>
      <w:r>
        <w:t xml:space="preserve"> </w:t>
      </w:r>
      <w:r>
        <w:rPr>
          <w:b/>
        </w:rPr>
        <w:t xml:space="preserve">0.27</w:t>
      </w:r>
      <w:r>
        <w:t xml:space="preserve"> </w:t>
      </w:r>
      <w:r>
        <w:t xml:space="preserve">variants when considering the V3-V4, 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 the</w:t>
      </w:r>
      <w:r>
        <w:t xml:space="preserve"> </w:t>
      </w:r>
      <w:r>
        <w:rPr>
          <w:b/>
        </w:rPr>
        <w:t xml:space="preserve">271</w:t>
      </w:r>
      <w:r>
        <w:t xml:space="preserve"> </w:t>
      </w:r>
      <w:r>
        <w:t xml:space="preserve">genome accessions of</w:t>
      </w:r>
      <w:r>
        <w:t xml:space="preserve"> </w:t>
      </w:r>
      <w:r>
        <w:rPr>
          <w:i/>
          <w:b/>
        </w:rPr>
        <w:t xml:space="preserve">Mycobacterium tuberculosis</w:t>
      </w:r>
      <w:r>
        <w:t xml:space="preserve"> </w:t>
      </w:r>
      <w:r>
        <w:t xml:space="preserve">in the</w:t>
      </w:r>
      <w:r>
        <w:t xml:space="preserve"> </w:t>
      </w:r>
      <w:r>
        <w:rPr>
          <w:i/>
        </w:rPr>
        <w:t xml:space="preserve">rrn</w:t>
      </w:r>
      <w:r>
        <w:t xml:space="preserve">DB each had</w:t>
      </w:r>
      <w:r>
        <w:t xml:space="preserve"> </w:t>
      </w:r>
      <w:r>
        <w:rPr>
          <w:b/>
        </w:rPr>
        <w:t xml:space="preserve">1</w:t>
      </w:r>
      <w:r>
        <w:t xml:space="preserve"> </w:t>
      </w:r>
      <w:r>
        <w:t xml:space="preserve">copy of the gene per genome. However, across those accessions, there were</w:t>
      </w:r>
      <w:r>
        <w:t xml:space="preserve"> </w:t>
      </w:r>
      <w:r>
        <w:rPr>
          <w:b/>
        </w:rPr>
        <w:t xml:space="preserve">17</w:t>
      </w:r>
      <w:r>
        <w:t xml:space="preserve"> </w:t>
      </w:r>
      <w:r>
        <w:t xml:space="preserve">versions of the gene. An</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a median of</w:t>
      </w:r>
      <w:r>
        <w:t xml:space="preserve"> </w:t>
      </w:r>
      <w:r>
        <w:rPr>
          <w:b/>
        </w:rPr>
        <w:t xml:space="preserve">5</w:t>
      </w:r>
      <w:r>
        <w:t xml:space="preserve"> </w:t>
      </w:r>
      <w:r>
        <w:t xml:space="preserve">distinct full length ASVs per genome (intraquartile range between</w:t>
      </w:r>
      <w:r>
        <w:t xml:space="preserve"> </w:t>
      </w:r>
      <w:r>
        <w:rPr>
          <w:b/>
        </w:rPr>
        <w:t xml:space="preserve">3</w:t>
      </w:r>
      <w:r>
        <w:t xml:space="preserve"> </w:t>
      </w:r>
      <w:r>
        <w:t xml:space="preserve">and</w:t>
      </w:r>
      <w:r>
        <w:t xml:space="preserve"> </w:t>
      </w:r>
      <w:r>
        <w:rPr>
          <w:b/>
        </w:rPr>
        <w:t xml:space="preserve">6</w:t>
      </w:r>
      <w:r>
        <w:t xml:space="preserve">). Across the</w:t>
      </w:r>
      <w:r>
        <w:t xml:space="preserve"> </w:t>
      </w:r>
      <w:r>
        <w:rPr>
          <w:b/>
        </w:rPr>
        <w:t xml:space="preserve">1,390</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1,402</w:t>
      </w:r>
      <w:r>
        <w:t xml:space="preserve"> </w:t>
      </w:r>
      <w:r>
        <w:t xml:space="preserve">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w:t>
      </w:r>
      <w:r>
        <w:t xml:space="preserve"> </w:t>
      </w:r>
      <w:r>
        <w:rPr>
          <w:b/>
        </w:rPr>
        <w:t xml:space="preserve">5.25</w:t>
      </w:r>
      <w:r>
        <w:t xml:space="preserve">% was required to reduce full length ASVs into a single OTU for 95% of the species (Figure 1). Similarly, thresholds of</w:t>
      </w:r>
      <w:r>
        <w:t xml:space="preserve"> </w:t>
      </w:r>
      <w:r>
        <w:rPr>
          <w:b/>
        </w:rPr>
        <w:t xml:space="preserve">5.25</w:t>
      </w:r>
      <w:r>
        <w:t xml:space="preserve">,</w:t>
      </w:r>
      <w:r>
        <w:t xml:space="preserve"> </w:t>
      </w:r>
      <w:r>
        <w:rPr>
          <w:b/>
        </w:rPr>
        <w:t xml:space="preserve">2.50</w:t>
      </w:r>
      <w:r>
        <w:t xml:space="preserve">, and</w:t>
      </w:r>
      <w:r>
        <w:t xml:space="preserve"> </w:t>
      </w:r>
      <w:r>
        <w:rPr>
          <w:b/>
        </w:rPr>
        <w:t xml:space="preserve">3.75</w:t>
      </w:r>
      <w:r>
        <w:t xml:space="preserve">% were required for the V3-V4, V4, and V4-V5 regions, respectively. But, if a 3% distance threshold was used, then ASVs from genomes containing fewer than</w:t>
      </w:r>
      <w:r>
        <w:t xml:space="preserve"> </w:t>
      </w:r>
      <w:r>
        <w:rPr>
          <w:b/>
        </w:rPr>
        <w:t xml:space="preserve">10</w:t>
      </w:r>
      <w:r>
        <w:t xml:space="preserve">,</w:t>
      </w:r>
      <w:r>
        <w:t xml:space="preserve"> </w:t>
      </w:r>
      <w:r>
        <w:rPr>
          <w:b/>
        </w:rPr>
        <w:t xml:space="preserve">10</w:t>
      </w:r>
      <w:r>
        <w:t xml:space="preserve">,</w:t>
      </w:r>
      <w:r>
        <w:t xml:space="preserve"> </w:t>
      </w:r>
      <w:r>
        <w:rPr>
          <w:b/>
        </w:rPr>
        <w:t xml:space="preserve">8</w:t>
      </w:r>
      <w:r>
        <w:t xml:space="preserve">, and</w:t>
      </w:r>
      <w:r>
        <w:t xml:space="preserve"> </w:t>
      </w:r>
      <w:r>
        <w:rPr>
          <w:b/>
        </w:rPr>
        <w:t xml:space="preserve">10</w:t>
      </w:r>
      <w:r>
        <w:t xml:space="preserve"> </w:t>
      </w:r>
      <w:r>
        <w:t xml:space="preserve">copies of the</w:t>
      </w:r>
      <w:r>
        <w:t xml:space="preserve"> </w:t>
      </w:r>
      <w:r>
        <w:rPr>
          <w:i/>
        </w:rPr>
        <w:t xml:space="preserve">rrn</w:t>
      </w:r>
      <w:r>
        <w:t xml:space="preserve"> </w:t>
      </w:r>
      <w:r>
        <w:t xml:space="preserve">operon would reliably be clustered into a single OTU for ASVs from the V1-V9, V3-V4, V4, and V4-V5 regions, respectively (Figure 1). Consequently, these results demonstrate that broad thresholds must be used to avoid splitting different operons from the same genome into separate clusters.</w:t>
      </w:r>
    </w:p>
    <w:p>
      <w:pPr>
        <w:pStyle w:val="BodyText"/>
      </w:pPr>
      <w:r>
        <w:t xml:space="preserve">At broad thresholds, 16S rRNA gene sequences from multiple species could be clustered into the same ASV or OTU (Figure 2). For this analysis, I again randomly selected one genome from each species to control for uneven representation of genomes across species and repeated each randomization 100 times. Without using distance-based thresholds,</w:t>
      </w:r>
      <w:r>
        <w:t xml:space="preserve"> </w:t>
      </w:r>
      <w:r>
        <w:rPr>
          <w:b/>
        </w:rPr>
        <w:t xml:space="preserve">4.1</w:t>
      </w:r>
      <w:r>
        <w:t xml:space="preserve">% of the ASVs contained sequences from multiple species when considering full length sequences and</w:t>
      </w:r>
      <w:r>
        <w:t xml:space="preserve"> </w:t>
      </w:r>
      <w:r>
        <w:rPr>
          <w:b/>
        </w:rPr>
        <w:t xml:space="preserve">10.9</w:t>
      </w:r>
      <w:r>
        <w:t xml:space="preserve">,</w:t>
      </w:r>
      <w:r>
        <w:t xml:space="preserve"> </w:t>
      </w:r>
      <w:r>
        <w:rPr>
          <w:b/>
        </w:rPr>
        <w:t xml:space="preserve">16.2</w:t>
      </w:r>
      <w:r>
        <w:t xml:space="preserve">, and</w:t>
      </w:r>
      <w:r>
        <w:t xml:space="preserve"> </w:t>
      </w:r>
      <w:r>
        <w:rPr>
          <w:b/>
        </w:rPr>
        <w:t xml:space="preserve">13.1</w:t>
      </w:r>
      <w:r>
        <w:t xml:space="preserve">% when considering the V3-V4, V4, and V4-V5 regions, respectively. At the commonly used 3% threshold for defining OTUs,</w:t>
      </w:r>
      <w:r>
        <w:t xml:space="preserve"> </w:t>
      </w:r>
      <w:r>
        <w:rPr>
          <w:b/>
        </w:rPr>
        <w:t xml:space="preserve">27.4</w:t>
      </w:r>
      <w:r>
        <w:t xml:space="preserve">% of the OTUs contained 16S rRNA gene sequences from multiple species when considering full length sequences and</w:t>
      </w:r>
      <w:r>
        <w:t xml:space="preserve"> </w:t>
      </w:r>
      <w:r>
        <w:rPr>
          <w:b/>
        </w:rPr>
        <w:t xml:space="preserve">31.7</w:t>
      </w:r>
      <w:r>
        <w:t xml:space="preserve">,</w:t>
      </w:r>
      <w:r>
        <w:t xml:space="preserve"> </w:t>
      </w:r>
      <w:r>
        <w:rPr>
          <w:b/>
        </w:rPr>
        <w:t xml:space="preserve">34.3</w:t>
      </w:r>
      <w:r>
        <w:t xml:space="preserve">, and</w:t>
      </w:r>
      <w:r>
        <w:t xml:space="preserve"> </w:t>
      </w:r>
      <w:r>
        <w:rPr>
          <w:b/>
        </w:rPr>
        <w:t xml:space="preserve">34.8</w:t>
      </w:r>
      <w:r>
        <w:t xml:space="preserve">% when considering the V3-V4, V4, and V4-V5 regions, respectively. Considering that species designations are unevenly applied and reflect multiple human-imposed biases, the risk of splitting a genome into multiple OTUs is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threshold that would split a single genome into multiple taxonomic units. It is not biologically plausible to entertain the possibility that different</w:t>
      </w:r>
      <w:r>
        <w:t xml:space="preserve"> </w:t>
      </w:r>
      <w:r>
        <w:rPr>
          <w:i/>
        </w:rPr>
        <w:t xml:space="preserve">rrn</w:t>
      </w:r>
      <w:r>
        <w:t xml:space="preserve"> </w:t>
      </w:r>
      <w:r>
        <w:t xml:space="preserve">operons from the same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5.7, released January 18, 2021)</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0.25 and 10.00% in 0.25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for the analysis of splitting genomes and clustering ASVs from different species (Figures 1 and 2), I randomly selected one genome from each species. The random selection was repeated 100 times. Analyses based on this randomization reported the median of the 100 randomizations. The intraquartile range between randomizations was less than</w:t>
      </w:r>
      <w:r>
        <w:t xml:space="preserve"> </w:t>
      </w:r>
      <w:r>
        <w:rPr>
          <w:b/>
        </w:rPr>
        <w:t xml:space="preserve">0.0024</w:t>
      </w:r>
      <w:r>
        <w:t xml:space="preserve">.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4.0.4</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w:t>
      </w:r>
      <w:r>
        <w:t xml:space="preserve"> </w:t>
      </w:r>
      <w:r>
        <w:rPr>
          <w:b/>
        </w:rPr>
        <w:t xml:space="preserve">1.0.5</w:t>
      </w:r>
      <w:r>
        <w:t xml:space="preserve">), furrr (v.</w:t>
      </w:r>
      <w:r>
        <w:t xml:space="preserve"> </w:t>
      </w:r>
      <w:r>
        <w:rPr>
          <w:b/>
        </w:rPr>
        <w:t xml:space="preserve">0.2.1</w:t>
      </w:r>
      <w:r>
        <w:t xml:space="preserve">), and rmarkdown (v.</w:t>
      </w:r>
      <w:r>
        <w:t xml:space="preserve"> </w:t>
      </w:r>
      <w:r>
        <w:rPr>
          <w:b/>
        </w:rPr>
        <w:t xml:space="preserve">2.5</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2021-02-26). For this reason, when an ASV split a genome into different units, those units were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percentage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Both axes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2021-02-26T14:06:13Z</dcterms:created>
  <dcterms:modified xsi:type="dcterms:W3CDTF">2021-02-26T14:06:13Z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