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7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ASVs are a unit of microbial community inference that do not cluster sequences based on a distance-based threshold</w:t>
      </w:r>
      <w:r>
        <w:t xml:space="preserve"> </w:t>
      </w:r>
      <w:r>
        <w:t xml:space="preserve">(11)</w:t>
      </w:r>
      <w:r>
        <w:t xml:space="preserve">. However, most bacterial genomes have more than 1 copy of the rrn operon and those copies are not identical</w:t>
      </w:r>
      <w:r>
        <w:t xml:space="preserve"> </w:t>
      </w:r>
      <w:r>
        <w:t xml:space="preserve">(12, 13)</w:t>
      </w:r>
      <w:r>
        <w:t xml:space="preserve">.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w:t>
      </w:r>
      <w:r>
        <w:t xml:space="preserve">(14)</w:t>
      </w:r>
      <w:r>
        <w:t xml:space="preserve">.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together similar 16S rRNA gene sequences. Therefore, I assessed the impact of the distance threshold used to define clusters of 16S rRNA genes on the propensity to split a genome into separate clusters. I observed that as the number of copies of the</w:t>
      </w:r>
      <w:r>
        <w:t xml:space="preserve"> </w:t>
      </w:r>
      <w:r>
        <w:rPr>
          <w:i/>
        </w:rPr>
        <w:t xml:space="preserve">rrn</w:t>
      </w:r>
      <w:r>
        <w:t xml:space="preserve"> </w:t>
      </w:r>
      <w:r>
        <w:t xml:space="preserve">operon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I found that a threshold of</w:t>
      </w:r>
      <w:r>
        <w:t xml:space="preserve"> </w:t>
      </w:r>
      <w:r>
        <w:rPr>
          <w:b/>
        </w:rPr>
        <w:t xml:space="preserve">5.5</w:t>
      </w:r>
      <w:r>
        <w:t xml:space="preserve">% was required to reduce full length ASVs to a single OTU in 95% of the species.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required for the V4, V3-V4,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8</w:t>
      </w:r>
      <w:r>
        <w:t xml:space="preserve">,</w:t>
      </w:r>
      <w:r>
        <w:t xml:space="preserve"> </w:t>
      </w:r>
      <w:r>
        <w:rPr>
          <w:b/>
        </w:rPr>
        <w:t xml:space="preserve">6</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V4, V3-V4, and V4-V5 regions, respectively. Consequently, these results demonstrate that broad thresholds must be used to avoid splitting different operons from the same genome into separate clusters.</w:t>
      </w:r>
    </w:p>
    <w:p>
      <w:pPr>
        <w:pStyle w:val="BodyText"/>
      </w:pPr>
      <w:r>
        <w:t xml:space="preserve">At broad thresholds multiple species could be represented by the same OTU (</w:t>
      </w:r>
      <w:r>
        <w:rPr>
          <w:b/>
        </w:rPr>
        <w:t xml:space="preserve">Figure 2</w:t>
      </w:r>
      <w:r>
        <w:t xml:space="preserve">). Using ASVs,</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Considering that species designations are unevenly applied and reflect multiple biases, the risk of splitting a genome into multiple OTUs more problematic than clustering species together. Therefore, larger thresholds are advisable.</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w:t>
      </w:r>
      <w:r>
        <w:t xml:space="preserve"> </w:t>
      </w:r>
      <w:r>
        <w:t xml:space="preserve">(11, 15, 16)</w:t>
      </w:r>
      <w:r>
        <w:t xml:space="preserve">. Since there is no consensus definition for a biological species concept</w:t>
      </w:r>
      <w:r>
        <w:t xml:space="preserve"> </w:t>
      </w:r>
      <w:r>
        <w:t xml:space="preserve">(17, 18)</w:t>
      </w:r>
      <w:r>
        <w:t xml:space="preserve">, microbiologists must accept that how we have named bacterial species is biased and that taxonomic rules are not applied in a consistent manner (e.g.,</w:t>
      </w:r>
      <w:r>
        <w:t xml:space="preserve"> </w:t>
      </w:r>
      <w:r>
        <w:t xml:space="preserve">(19)</w:t>
      </w:r>
      <w:r>
        <w:t xml:space="preserve">). This makes it more challenging to attempt to fit a distance threshold to define an OTU definition that matches a set of species names</w:t>
      </w:r>
      <w:r>
        <w:t xml:space="preserve"> </w:t>
      </w:r>
      <w:r>
        <w:t xml:space="preserve">(20)</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21–23)</w:t>
      </w:r>
      <w:r>
        <w:t xml:space="preserve">. There is general agreement in bacterial systematics that to classify something to a bacterial species, you need phenotypic and genome sequence data</w:t>
      </w:r>
      <w:r>
        <w:t xml:space="preserve"> </w:t>
      </w:r>
      <w:r>
        <w:t xml:space="preserve">(17–19)</w:t>
      </w:r>
      <w:r>
        <w:t xml:space="preserve">. We are asking too much of a short section of a bacterial genome to be able to differentiate between species. It is difficult to defend a unit of inference that would split a single genome into multiple taxonomic units. It is not biologically plausible to entertain the possibility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w:t>
      </w:r>
      <w:r>
        <w:t xml:space="preserve"> </w:t>
      </w:r>
      <w:r>
        <w:t xml:space="preserve">(14)</w:t>
      </w:r>
      <w:r>
        <w:t xml:space="preserve">.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w:t>
      </w:r>
      <w:r>
        <w:t xml:space="preserve"> </w:t>
      </w:r>
      <w:r>
        <w:t xml:space="preserve">(24, 25)</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75" w:name="references"/>
    <w:p>
      <w:pPr>
        <w:pStyle w:val="Heading2"/>
      </w:pPr>
      <w:r>
        <w:t xml:space="preserve">References</w:t>
      </w:r>
    </w:p>
    <w:p>
      <w:pPr>
        <w:pStyle w:val="FirstParagraph"/>
      </w:pPr>
    </w:p>
    <w:bookmarkStart w:id="74" w:name="refs"/>
    <w:bookmarkStart w:id="26" w:name="ref-Lane1985"/>
    <w:p>
      <w:pPr>
        <w:pStyle w:val="Bibliography"/>
      </w:pPr>
      <w:r>
        <w:t xml:space="preserve">1. Lane DJ, Pace B, Olsen GJ, Stahl DA, Sogin ML, Pace NR. 1985. Rapid determination of 16S ribosomal RNA sequences for phylogenetic analyses. Proceedings of the National Academy of Sciences 82:6955–6959</w:t>
      </w:r>
      <w:r>
        <w:t xml:space="preserve"> </w:t>
      </w:r>
      <w:hyperlink r:id="rId25">
        <w:r>
          <w:rPr>
            <w:rStyle w:val="Hyperlink"/>
          </w:rPr>
          <w:t xml:space="preserve">https://doi.org/10.1073/pnas.82.20.6955</w:t>
        </w:r>
      </w:hyperlink>
      <w:r>
        <w:t xml:space="preserve">.</w:t>
      </w:r>
    </w:p>
    <w:bookmarkEnd w:id="26"/>
    <w:bookmarkStart w:id="28" w:name="ref-Stackebrandt1994"/>
    <w:p>
      <w:pPr>
        <w:pStyle w:val="Bibliography"/>
      </w:pPr>
      <w:r>
        <w:t xml:space="preserve">2. Stackebrandt E, Goebel BM. 1994. Taxonomic note: A place for DNA-DNA reassociation and 16S rRNA sequence analysis in the present species definition in bacteriology. International Journal of Systematic and Evolutionary Microbiology 44:846–849</w:t>
      </w:r>
      <w:r>
        <w:t xml:space="preserve"> </w:t>
      </w:r>
      <w:hyperlink r:id="rId27">
        <w:r>
          <w:rPr>
            <w:rStyle w:val="Hyperlink"/>
          </w:rPr>
          <w:t xml:space="preserve">https://doi.org/10.1099/00207713-44-4-846</w:t>
        </w:r>
      </w:hyperlink>
      <w:r>
        <w:t xml:space="preserve">.</w:t>
      </w:r>
    </w:p>
    <w:bookmarkEnd w:id="28"/>
    <w:bookmarkStart w:id="30" w:name="ref-Goris2007"/>
    <w:p>
      <w:pPr>
        <w:pStyle w:val="Bibliography"/>
      </w:pPr>
      <w:r>
        <w:t xml:space="preserve">3. Goris J, Konstantinidis KT, Klappenbach JA, Coenye T, Vandamme P, Tiedje JM. 2007. DNA-DNA hybridization values and their relationship to whole-genome sequence similarities. International Journal of Systematic and Evolutionary Microbiology 57:81–91</w:t>
      </w:r>
      <w:r>
        <w:t xml:space="preserve"> </w:t>
      </w:r>
      <w:hyperlink r:id="rId29">
        <w:r>
          <w:rPr>
            <w:rStyle w:val="Hyperlink"/>
          </w:rPr>
          <w:t xml:space="preserve">https://doi.org/10.1099/ijs.0.64483-0</w:t>
        </w:r>
      </w:hyperlink>
      <w:r>
        <w:t xml:space="preserve">.</w:t>
      </w:r>
    </w:p>
    <w:bookmarkEnd w:id="30"/>
    <w:bookmarkStart w:id="32" w:name="ref-RodriguezR2018"/>
    <w:p>
      <w:pPr>
        <w:pStyle w:val="Bibliography"/>
      </w:pPr>
      <w:r>
        <w:t xml:space="preserve">4. Rodriguez-R LM, Castro JC, Kyrpides NC, Cole JR, Tiedje JM, Konstantinidis KT. 2018. How much do rRNA gene surveys underestimate extant bacterial diversity? Applied and Environmental Microbiology 84:e00014–18</w:t>
      </w:r>
      <w:r>
        <w:t xml:space="preserve"> </w:t>
      </w:r>
      <w:hyperlink r:id="rId31">
        <w:r>
          <w:rPr>
            <w:rStyle w:val="Hyperlink"/>
          </w:rPr>
          <w:t xml:space="preserve">https://doi.org/10.1128/aem.00014-18</w:t>
        </w:r>
      </w:hyperlink>
      <w:r>
        <w:t xml:space="preserve">.</w:t>
      </w:r>
    </w:p>
    <w:bookmarkEnd w:id="32"/>
    <w:bookmarkStart w:id="33" w:name="ref-Stackebrandt2006"/>
    <w:p>
      <w:pPr>
        <w:pStyle w:val="Bibliography"/>
      </w:pPr>
      <w:r>
        <w:t xml:space="preserve">5. Stackebrandt E, Ebers J. 2006. Taxonomic parameters revisited: Tarnished gold standards. Microbiol Today 33:152–155.</w:t>
      </w:r>
    </w:p>
    <w:bookmarkEnd w:id="33"/>
    <w:bookmarkStart w:id="35" w:name="ref-Edgar2018"/>
    <w:p>
      <w:pPr>
        <w:pStyle w:val="Bibliography"/>
      </w:pPr>
      <w:r>
        <w:t xml:space="preserve">6. Edgar RC. 2018. Updating the 97% identity threshold for 16S ribosomal RNA OTUs. Bioinformatics 34:2371–2375</w:t>
      </w:r>
      <w:r>
        <w:t xml:space="preserve"> </w:t>
      </w:r>
      <w:hyperlink r:id="rId34">
        <w:r>
          <w:rPr>
            <w:rStyle w:val="Hyperlink"/>
          </w:rPr>
          <w:t xml:space="preserve">https://doi.org/10.1093/bioinformatics/bty113</w:t>
        </w:r>
      </w:hyperlink>
      <w:r>
        <w:t xml:space="preserve">.</w:t>
      </w:r>
    </w:p>
    <w:bookmarkEnd w:id="35"/>
    <w:bookmarkStart w:id="37" w:name="ref-Edgar2016"/>
    <w:p>
      <w:pPr>
        <w:pStyle w:val="Bibliography"/>
      </w:pPr>
      <w:r>
        <w:t xml:space="preserve">7. Edgar RC. 2016. UNOISE2: Improved error-correction for illumina 16S and its amplicon sequencing. bioRxiv</w:t>
      </w:r>
      <w:r>
        <w:t xml:space="preserve"> </w:t>
      </w:r>
      <w:hyperlink r:id="rId36">
        <w:r>
          <w:rPr>
            <w:rStyle w:val="Hyperlink"/>
          </w:rPr>
          <w:t xml:space="preserve">https://doi.org/10.1101/081257</w:t>
        </w:r>
      </w:hyperlink>
      <w:r>
        <w:t xml:space="preserve">.</w:t>
      </w:r>
    </w:p>
    <w:bookmarkEnd w:id="37"/>
    <w:bookmarkStart w:id="39" w:name="ref-Amir2017"/>
    <w:p>
      <w:pPr>
        <w:pStyle w:val="Bibliography"/>
      </w:pPr>
      <w:r>
        <w:t xml:space="preserve">8. Amir A, McDonald D, Navas-Molina JA, Kopylova E, Morton JT, Zech Xu Z, Kightley EP, Thompson LR, Hyde ER, Gonzalez A, Knight R. 2017. Deblur rapidly resolves single-nucleotide community sequence patterns. mSystems 2:e00191–16</w:t>
      </w:r>
      <w:r>
        <w:t xml:space="preserve"> </w:t>
      </w:r>
      <w:hyperlink r:id="rId38">
        <w:r>
          <w:rPr>
            <w:rStyle w:val="Hyperlink"/>
          </w:rPr>
          <w:t xml:space="preserve">https://doi.org/10.1128/mSystems.00191-16</w:t>
        </w:r>
      </w:hyperlink>
      <w:r>
        <w:t xml:space="preserve">.</w:t>
      </w:r>
    </w:p>
    <w:bookmarkEnd w:id="39"/>
    <w:bookmarkStart w:id="41" w:name="ref-Callahan2016"/>
    <w:p>
      <w:pPr>
        <w:pStyle w:val="Bibliography"/>
      </w:pPr>
      <w:r>
        <w:t xml:space="preserve">9. Callahan BJ, McMurdie PJ, Rosen MJ, Han AW, Johnson AJA, Holmes SP. 2016. DADA2: High-resolution sample inference from illumina amplicon data. Nature Methods 13:581–583</w:t>
      </w:r>
      <w:r>
        <w:t xml:space="preserve"> </w:t>
      </w:r>
      <w:hyperlink r:id="rId40">
        <w:r>
          <w:rPr>
            <w:rStyle w:val="Hyperlink"/>
          </w:rPr>
          <w:t xml:space="preserve">https://doi.org/10.1038/nmeth.3869</w:t>
        </w:r>
      </w:hyperlink>
      <w:r>
        <w:t xml:space="preserve">.</w:t>
      </w:r>
    </w:p>
    <w:bookmarkEnd w:id="41"/>
    <w:bookmarkStart w:id="43" w:name="ref-Eren2014"/>
    <w:p>
      <w:pPr>
        <w:pStyle w:val="Bibliography"/>
      </w:pPr>
      <w:r>
        <w:t xml:space="preserve">10. Eren AM, Morrison HG, Lescault PJ, Reveillaud J, Vineis JH, Sogin ML. 2014. Minimum entropy decomposition: Unsupervised oligotyping for sensitive partitioning of high-throughput marker gene sequences. The ISME Journal 9:968–979</w:t>
      </w:r>
      <w:r>
        <w:t xml:space="preserve"> </w:t>
      </w:r>
      <w:hyperlink r:id="rId42">
        <w:r>
          <w:rPr>
            <w:rStyle w:val="Hyperlink"/>
          </w:rPr>
          <w:t xml:space="preserve">https://doi.org/10.1038/ismej.2014.195</w:t>
        </w:r>
      </w:hyperlink>
      <w:r>
        <w:t xml:space="preserve">.</w:t>
      </w:r>
    </w:p>
    <w:bookmarkEnd w:id="43"/>
    <w:bookmarkStart w:id="45" w:name="ref-Callahan2017"/>
    <w:p>
      <w:pPr>
        <w:pStyle w:val="Bibliography"/>
      </w:pPr>
      <w:r>
        <w:t xml:space="preserve">11. Callahan BJ, McMurdie PJ, Holmes SP. 2017. Exact sequence variants should replace operational taxonomic units in marker-gene data analysis. The ISME Journal 11:2639–2643</w:t>
      </w:r>
      <w:r>
        <w:t xml:space="preserve"> </w:t>
      </w:r>
      <w:hyperlink r:id="rId44">
        <w:r>
          <w:rPr>
            <w:rStyle w:val="Hyperlink"/>
          </w:rPr>
          <w:t xml:space="preserve">https://doi.org/10.1038/ismej.2017.119</w:t>
        </w:r>
      </w:hyperlink>
      <w:r>
        <w:t xml:space="preserve">.</w:t>
      </w:r>
    </w:p>
    <w:bookmarkEnd w:id="45"/>
    <w:bookmarkStart w:id="47"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 Applied and Environmental Microbiology 76:3886–3897</w:t>
      </w:r>
      <w:r>
        <w:t xml:space="preserve"> </w:t>
      </w:r>
      <w:hyperlink r:id="rId46">
        <w:r>
          <w:rPr>
            <w:rStyle w:val="Hyperlink"/>
          </w:rPr>
          <w:t xml:space="preserve">https://doi.org/10.1128/aem.02953-09</w:t>
        </w:r>
      </w:hyperlink>
      <w:r>
        <w:t xml:space="preserve">.</w:t>
      </w:r>
    </w:p>
    <w:bookmarkEnd w:id="47"/>
    <w:bookmarkStart w:id="49" w:name="ref-Sun2013"/>
    <w:p>
      <w:pPr>
        <w:pStyle w:val="Bibliography"/>
      </w:pPr>
      <w:r>
        <w:t xml:space="preserve">13. Sun D-L, Jiang X, Wu QL, Zhou N-Y. 2013. Intragenomic heterogeneity of 16S rRNA genes causes overestimation of prokaryotic diversity. Applied and Environmental Microbiology 79:5962–5969</w:t>
      </w:r>
      <w:r>
        <w:t xml:space="preserve"> </w:t>
      </w:r>
      <w:hyperlink r:id="rId48">
        <w:r>
          <w:rPr>
            <w:rStyle w:val="Hyperlink"/>
          </w:rPr>
          <w:t xml:space="preserve">https://doi.org/10.1128/aem.01282-13</w:t>
        </w:r>
      </w:hyperlink>
      <w:r>
        <w:t xml:space="preserve">.</w:t>
      </w:r>
    </w:p>
    <w:bookmarkEnd w:id="49"/>
    <w:bookmarkStart w:id="51" w:name="ref-Stoddard2014"/>
    <w:p>
      <w:pPr>
        <w:pStyle w:val="Bibliography"/>
      </w:pPr>
      <w:r>
        <w:t xml:space="preserve">14. Stoddard SF, Smith BJ, Hein R, Roller BRK, Schmidt TM. 2014. rrnDB: Improved tools for interpreting rRNA gene abundance in bacteria and archaea and a new foundation for future development. Nucleic Acids Research 43:D593–D598</w:t>
      </w:r>
      <w:r>
        <w:t xml:space="preserve"> </w:t>
      </w:r>
      <w:hyperlink r:id="rId50">
        <w:r>
          <w:rPr>
            <w:rStyle w:val="Hyperlink"/>
          </w:rPr>
          <w:t xml:space="preserve">https://doi.org/10.1093/nar/gku1201</w:t>
        </w:r>
      </w:hyperlink>
      <w:r>
        <w:t xml:space="preserve">.</w:t>
      </w:r>
    </w:p>
    <w:bookmarkEnd w:id="51"/>
    <w:bookmarkStart w:id="53" w:name="ref-Schloss2011"/>
    <w:p>
      <w:pPr>
        <w:pStyle w:val="Bibliography"/>
      </w:pPr>
      <w:r>
        <w:t xml:space="preserve">15. Schloss PD, Westcott SL. 2011. Assessing and improving methods used in operational taxonomic unit-based approaches for 16S rRNA gene sequence analysis. Applied and Environmental Microbiology 77:3219–3226</w:t>
      </w:r>
      <w:r>
        <w:t xml:space="preserve"> </w:t>
      </w:r>
      <w:hyperlink r:id="rId52">
        <w:r>
          <w:rPr>
            <w:rStyle w:val="Hyperlink"/>
          </w:rPr>
          <w:t xml:space="preserve">https://doi.org/10.1128/aem.02810-10</w:t>
        </w:r>
      </w:hyperlink>
      <w:r>
        <w:t xml:space="preserve">.</w:t>
      </w:r>
    </w:p>
    <w:bookmarkEnd w:id="53"/>
    <w:bookmarkStart w:id="55"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 Nature Communications 10:5029</w:t>
      </w:r>
      <w:r>
        <w:t xml:space="preserve"> </w:t>
      </w:r>
      <w:hyperlink r:id="rId54">
        <w:r>
          <w:rPr>
            <w:rStyle w:val="Hyperlink"/>
          </w:rPr>
          <w:t xml:space="preserve">https://doi.org/10.1038/s41467-019-13036-1</w:t>
        </w:r>
      </w:hyperlink>
      <w:r>
        <w:t xml:space="preserve">.</w:t>
      </w:r>
    </w:p>
    <w:bookmarkEnd w:id="55"/>
    <w:bookmarkStart w:id="57" w:name="ref-Staley2006"/>
    <w:p>
      <w:pPr>
        <w:pStyle w:val="Bibliography"/>
      </w:pPr>
      <w:r>
        <w:t xml:space="preserve">17. Staley JT. 2006. The bacterial species dilemma and the genomicphylogenetic species concept. Philosophical Transactions of the Royal Society B: Biological Sciences 361:1899–1909</w:t>
      </w:r>
      <w:r>
        <w:t xml:space="preserve"> </w:t>
      </w:r>
      <w:hyperlink r:id="rId56">
        <w:r>
          <w:rPr>
            <w:rStyle w:val="Hyperlink"/>
          </w:rPr>
          <w:t xml:space="preserve">https://doi.org/10.1098/rstb.2006.1914</w:t>
        </w:r>
      </w:hyperlink>
      <w:r>
        <w:t xml:space="preserve">.</w:t>
      </w:r>
    </w:p>
    <w:bookmarkEnd w:id="57"/>
    <w:bookmarkStart w:id="59" w:name="ref-Oren2013"/>
    <w:p>
      <w:pPr>
        <w:pStyle w:val="Bibliography"/>
      </w:pPr>
      <w:r>
        <w:t xml:space="preserve">18. Oren A, Garrity GM. 2013. Then and now: A systematic review of the systematics of prokaryotes in the last 80 years. Antonie van Leeuwenhoek 106:43–56</w:t>
      </w:r>
      <w:r>
        <w:t xml:space="preserve"> </w:t>
      </w:r>
      <w:hyperlink r:id="rId58">
        <w:r>
          <w:rPr>
            <w:rStyle w:val="Hyperlink"/>
          </w:rPr>
          <w:t xml:space="preserve">https://doi.org/10.1007/s10482-013-0084-1</w:t>
        </w:r>
      </w:hyperlink>
      <w:r>
        <w:t xml:space="preserve">.</w:t>
      </w:r>
    </w:p>
    <w:bookmarkEnd w:id="59"/>
    <w:bookmarkStart w:id="61" w:name="ref-Baltrus2016"/>
    <w:p>
      <w:pPr>
        <w:pStyle w:val="Bibliography"/>
      </w:pPr>
      <w:r>
        <w:t xml:space="preserve">19. Baltrus DA, McCann HC, Guttman DS. 2016. Evolution, genomics and epidemiology ofPseudomonas syringae. Molecular Plant Pathology 18:152–168</w:t>
      </w:r>
      <w:r>
        <w:t xml:space="preserve"> </w:t>
      </w:r>
      <w:hyperlink r:id="rId60">
        <w:r>
          <w:rPr>
            <w:rStyle w:val="Hyperlink"/>
          </w:rPr>
          <w:t xml:space="preserve">https://doi.org/10.1111/mpp.12506</w:t>
        </w:r>
      </w:hyperlink>
      <w:r>
        <w:t xml:space="preserve">.</w:t>
      </w:r>
    </w:p>
    <w:bookmarkEnd w:id="61"/>
    <w:bookmarkStart w:id="63" w:name="ref-Konstantinidis2005"/>
    <w:p>
      <w:pPr>
        <w:pStyle w:val="Bibliography"/>
      </w:pPr>
      <w:r>
        <w:t xml:space="preserve">20. Konstantinidis KT, Tiedje JM. 2005. Towards a genome-based taxonomy for prokaryotes. Journal of Bacteriology 187:6258–6264</w:t>
      </w:r>
      <w:r>
        <w:t xml:space="preserve"> </w:t>
      </w:r>
      <w:hyperlink r:id="rId62">
        <w:r>
          <w:rPr>
            <w:rStyle w:val="Hyperlink"/>
          </w:rPr>
          <w:t xml:space="preserve">https://doi.org/10.1128/jb.187.18.6258-6264.2005</w:t>
        </w:r>
      </w:hyperlink>
      <w:r>
        <w:t xml:space="preserve">.</w:t>
      </w:r>
    </w:p>
    <w:bookmarkEnd w:id="63"/>
    <w:bookmarkStart w:id="65" w:name="ref-Barco2020"/>
    <w:p>
      <w:pPr>
        <w:pStyle w:val="Bibliography"/>
      </w:pPr>
      <w:r>
        <w:t xml:space="preserve">21. Barco RA, Garrity GM, Scott JJ, Amend JP, Nealson KH, Emerson D. 2020. A genus definition for bacteria and archaea based on a standard genome relatedness index. mBio 11:02475–19</w:t>
      </w:r>
      <w:r>
        <w:t xml:space="preserve"> </w:t>
      </w:r>
      <w:hyperlink r:id="rId64">
        <w:r>
          <w:rPr>
            <w:rStyle w:val="Hyperlink"/>
          </w:rPr>
          <w:t xml:space="preserve">https://doi.org/10.1128/mbio.02475-19</w:t>
        </w:r>
      </w:hyperlink>
      <w:r>
        <w:t xml:space="preserve">.</w:t>
      </w:r>
    </w:p>
    <w:bookmarkEnd w:id="65"/>
    <w:bookmarkStart w:id="67" w:name="ref-Parks2020"/>
    <w:p>
      <w:pPr>
        <w:pStyle w:val="Bibliography"/>
      </w:pPr>
      <w:r>
        <w:t xml:space="preserve">22. Parks DH, Chuvochina M, Chaumeil P-A, Rinke C, Mussig AJ, Hugenholtz P. 2020. A complete domain-to-species taxonomy for bacteria and archaea. Nature Biotechnology 38:1079–1086</w:t>
      </w:r>
      <w:r>
        <w:t xml:space="preserve"> </w:t>
      </w:r>
      <w:hyperlink r:id="rId66">
        <w:r>
          <w:rPr>
            <w:rStyle w:val="Hyperlink"/>
          </w:rPr>
          <w:t xml:space="preserve">https://doi.org/10.1038/s41587-020-0501-8</w:t>
        </w:r>
      </w:hyperlink>
      <w:r>
        <w:t xml:space="preserve">.</w:t>
      </w:r>
    </w:p>
    <w:bookmarkEnd w:id="67"/>
    <w:bookmarkStart w:id="69" w:name="ref-Yarza2014"/>
    <w:p>
      <w:pPr>
        <w:pStyle w:val="Bibliography"/>
      </w:pPr>
      <w:r>
        <w:t xml:space="preserve">23. Yarza P, Yilmaz P, Pruesse E, Glöckner FO, Ludwig W, Schleifer K-H, Whitman WB, Euzéby J, Amann R, Rosselló-Móra R. 2014. Uniting the classification of cultured and uncultured bacteria and archaea using 16S rRNA gene sequences. Nature Reviews Microbiology 12:635–645</w:t>
      </w:r>
      <w:r>
        <w:t xml:space="preserve"> </w:t>
      </w:r>
      <w:hyperlink r:id="rId68">
        <w:r>
          <w:rPr>
            <w:rStyle w:val="Hyperlink"/>
          </w:rPr>
          <w:t xml:space="preserve">https://doi.org/10.1038/nrmicro3330</w:t>
        </w:r>
      </w:hyperlink>
      <w:r>
        <w:t xml:space="preserve">.</w:t>
      </w:r>
    </w:p>
    <w:bookmarkEnd w:id="69"/>
    <w:bookmarkStart w:id="71" w:name="ref-Schloss2009"/>
    <w:p>
      <w:pPr>
        <w:pStyle w:val="Bibliography"/>
      </w:pPr>
      <w:r>
        <w:t xml:space="preserve">24.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r>
        <w:t xml:space="preserve"> </w:t>
      </w:r>
      <w:hyperlink r:id="rId70">
        <w:r>
          <w:rPr>
            <w:rStyle w:val="Hyperlink"/>
          </w:rPr>
          <w:t xml:space="preserve">https://doi.org/10.1128/aem.01541-09</w:t>
        </w:r>
      </w:hyperlink>
      <w:r>
        <w:t xml:space="preserve">.</w:t>
      </w:r>
    </w:p>
    <w:bookmarkEnd w:id="71"/>
    <w:bookmarkStart w:id="73" w:name="ref-Quast2012"/>
    <w:p>
      <w:pPr>
        <w:pStyle w:val="Bibliography"/>
      </w:pPr>
      <w:r>
        <w:t xml:space="preserve">25. Quast C, Pruesse E, Yilmaz P, Gerken J, Schweer T, Yarza P, Peplies J, Glöckner FO. 2012. The SILVA ribosomal RNA gene database project: Improved data processing and web-based tools. Nucleic Acids Research 41:D590–D596</w:t>
      </w:r>
      <w:r>
        <w:t xml:space="preserve"> </w:t>
      </w:r>
      <w:hyperlink r:id="rId72">
        <w:r>
          <w:rPr>
            <w:rStyle w:val="Hyperlink"/>
          </w:rPr>
          <w:t xml:space="preserve">https://doi.org/10.1093/nar/gks1219</w:t>
        </w:r>
      </w:hyperlink>
      <w:r>
        <w:t xml:space="preserve">.</w:t>
      </w:r>
    </w:p>
    <w:bookmarkEnd w:id="73"/>
    <w:bookmarkEnd w:id="74"/>
    <w:p>
      <w:r>
        <w:br w:type="page"/>
      </w:r>
    </w:p>
    <w:p>
      <w:pPr>
        <w:pStyle w:val="BodyText"/>
      </w:pPr>
    </w:p>
    <w:p>
      <w:pPr>
        <w:pStyle w:val="BodyText"/>
      </w:pPr>
      <w:r>
        <w:rPr>
          <w:b/>
        </w:rPr>
        <w:t xml:space="preserve">Figure 1. The distance threshold required to prevent the splitting of genomes into multiple OTUs increases as the number of</w:t>
      </w:r>
      <w:r>
        <w:rPr>
          <w:b/>
        </w:rPr>
        <w:t xml:space="preserve"> </w:t>
      </w:r>
      <w:r>
        <w:rPr>
          <w:i/>
          <w:b/>
        </w:rPr>
        <w:t xml:space="preserve">rrn</w:t>
      </w:r>
      <w:r>
        <w:rPr>
          <w:b/>
        </w:rPr>
        <w:t xml:space="preserve"> </w:t>
      </w:r>
      <w:r>
        <w:rPr>
          <w:b/>
        </w:rPr>
        <w:t xml:space="preserve">operons in the genome increases.</w:t>
      </w:r>
      <w:r>
        <w:t xml:space="preserve"> </w:t>
      </w:r>
      <w:r>
        <w:t xml:space="preserve">Each line represents the median distance threshold for each region of the 16S rRNA gene that is required for 95% of the species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increases, the fraction of genomes split into separate OTUs decreases while the fraction of species that are merged into the same OTU increases.</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increases for a species as the number of genomes sampled increases.</w:t>
      </w:r>
      <w:r>
        <w:t xml:space="preserve"> </w:t>
      </w:r>
      <w:r>
        <w:t xml:space="preserve">Each point represents a different species and is shaded to be 80% transparent so that when points overlap they become darker. The blue line represents a smoothed fit through the data.</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7/s10482-013-0084-1" TargetMode="External" /><Relationship Type="http://schemas.openxmlformats.org/officeDocument/2006/relationships/hyperlink" Id="rId42" Target="https://doi.org/10.1038/ismej.2014.195" TargetMode="External" /><Relationship Type="http://schemas.openxmlformats.org/officeDocument/2006/relationships/hyperlink" Id="rId44" Target="https://doi.org/10.1038/ismej.2017.119" TargetMode="External" /><Relationship Type="http://schemas.openxmlformats.org/officeDocument/2006/relationships/hyperlink" Id="rId40" Target="https://doi.org/10.1038/nmeth.3869" TargetMode="External" /><Relationship Type="http://schemas.openxmlformats.org/officeDocument/2006/relationships/hyperlink" Id="rId68" Target="https://doi.org/10.1038/nrmicro3330" TargetMode="External" /><Relationship Type="http://schemas.openxmlformats.org/officeDocument/2006/relationships/hyperlink" Id="rId54" Target="https://doi.org/10.1038/s41467-019-13036-1" TargetMode="External" /><Relationship Type="http://schemas.openxmlformats.org/officeDocument/2006/relationships/hyperlink" Id="rId66" Target="https://doi.org/10.1038/s41587-020-0501-8" TargetMode="External" /><Relationship Type="http://schemas.openxmlformats.org/officeDocument/2006/relationships/hyperlink" Id="rId25" Target="https://doi.org/10.1073/pnas.82.20.6955" TargetMode="External" /><Relationship Type="http://schemas.openxmlformats.org/officeDocument/2006/relationships/hyperlink" Id="rId34" Target="https://doi.org/10.1093/bioinformatics/bty113" TargetMode="External" /><Relationship Type="http://schemas.openxmlformats.org/officeDocument/2006/relationships/hyperlink" Id="rId72" Target="https://doi.org/10.1093/nar/gks1219" TargetMode="External" /><Relationship Type="http://schemas.openxmlformats.org/officeDocument/2006/relationships/hyperlink" Id="rId50" Target="https://doi.org/10.1093/nar/gku1201" TargetMode="External" /><Relationship Type="http://schemas.openxmlformats.org/officeDocument/2006/relationships/hyperlink" Id="rId56" Target="https://doi.org/10.1098/rstb.2006.1914" TargetMode="External" /><Relationship Type="http://schemas.openxmlformats.org/officeDocument/2006/relationships/hyperlink" Id="rId27" Target="https://doi.org/10.1099/00207713-44-4-846" TargetMode="External" /><Relationship Type="http://schemas.openxmlformats.org/officeDocument/2006/relationships/hyperlink" Id="rId29" Target="https://doi.org/10.1099/ijs.0.64483-0" TargetMode="External" /><Relationship Type="http://schemas.openxmlformats.org/officeDocument/2006/relationships/hyperlink" Id="rId36" Target="https://doi.org/10.1101/081257" TargetMode="External" /><Relationship Type="http://schemas.openxmlformats.org/officeDocument/2006/relationships/hyperlink" Id="rId60" Target="https://doi.org/10.1111/mpp.12506" TargetMode="External" /><Relationship Type="http://schemas.openxmlformats.org/officeDocument/2006/relationships/hyperlink" Id="rId31" Target="https://doi.org/10.1128/aem.00014-18" TargetMode="External" /><Relationship Type="http://schemas.openxmlformats.org/officeDocument/2006/relationships/hyperlink" Id="rId48" Target="https://doi.org/10.1128/aem.01282-13" TargetMode="External" /><Relationship Type="http://schemas.openxmlformats.org/officeDocument/2006/relationships/hyperlink" Id="rId70" Target="https://doi.org/10.1128/aem.01541-09" TargetMode="External" /><Relationship Type="http://schemas.openxmlformats.org/officeDocument/2006/relationships/hyperlink" Id="rId52" Target="https://doi.org/10.1128/aem.02810-10" TargetMode="External" /><Relationship Type="http://schemas.openxmlformats.org/officeDocument/2006/relationships/hyperlink" Id="rId46" Target="https://doi.org/10.1128/aem.02953-09" TargetMode="External" /><Relationship Type="http://schemas.openxmlformats.org/officeDocument/2006/relationships/hyperlink" Id="rId62" Target="https://doi.org/10.1128/jb.187.18.6258-6264.2005" TargetMode="External" /><Relationship Type="http://schemas.openxmlformats.org/officeDocument/2006/relationships/hyperlink" Id="rId38" Target="https://doi.org/10.1128/mSystems.00191-16" TargetMode="External" /><Relationship Type="http://schemas.openxmlformats.org/officeDocument/2006/relationships/hyperlink" Id="rId64" Target="https://doi.org/10.1128/mbio.02475-19" TargetMode="Externa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7/s10482-013-0084-1" TargetMode="External" /><Relationship Type="http://schemas.openxmlformats.org/officeDocument/2006/relationships/hyperlink" Id="rId42" Target="https://doi.org/10.1038/ismej.2014.195" TargetMode="External" /><Relationship Type="http://schemas.openxmlformats.org/officeDocument/2006/relationships/hyperlink" Id="rId44" Target="https://doi.org/10.1038/ismej.2017.119" TargetMode="External" /><Relationship Type="http://schemas.openxmlformats.org/officeDocument/2006/relationships/hyperlink" Id="rId40" Target="https://doi.org/10.1038/nmeth.3869" TargetMode="External" /><Relationship Type="http://schemas.openxmlformats.org/officeDocument/2006/relationships/hyperlink" Id="rId68" Target="https://doi.org/10.1038/nrmicro3330" TargetMode="External" /><Relationship Type="http://schemas.openxmlformats.org/officeDocument/2006/relationships/hyperlink" Id="rId54" Target="https://doi.org/10.1038/s41467-019-13036-1" TargetMode="External" /><Relationship Type="http://schemas.openxmlformats.org/officeDocument/2006/relationships/hyperlink" Id="rId66" Target="https://doi.org/10.1038/s41587-020-0501-8" TargetMode="External" /><Relationship Type="http://schemas.openxmlformats.org/officeDocument/2006/relationships/hyperlink" Id="rId25" Target="https://doi.org/10.1073/pnas.82.20.6955" TargetMode="External" /><Relationship Type="http://schemas.openxmlformats.org/officeDocument/2006/relationships/hyperlink" Id="rId34" Target="https://doi.org/10.1093/bioinformatics/bty113" TargetMode="External" /><Relationship Type="http://schemas.openxmlformats.org/officeDocument/2006/relationships/hyperlink" Id="rId72" Target="https://doi.org/10.1093/nar/gks1219" TargetMode="External" /><Relationship Type="http://schemas.openxmlformats.org/officeDocument/2006/relationships/hyperlink" Id="rId50" Target="https://doi.org/10.1093/nar/gku1201" TargetMode="External" /><Relationship Type="http://schemas.openxmlformats.org/officeDocument/2006/relationships/hyperlink" Id="rId56" Target="https://doi.org/10.1098/rstb.2006.1914" TargetMode="External" /><Relationship Type="http://schemas.openxmlformats.org/officeDocument/2006/relationships/hyperlink" Id="rId27" Target="https://doi.org/10.1099/00207713-44-4-846" TargetMode="External" /><Relationship Type="http://schemas.openxmlformats.org/officeDocument/2006/relationships/hyperlink" Id="rId29" Target="https://doi.org/10.1099/ijs.0.64483-0" TargetMode="External" /><Relationship Type="http://schemas.openxmlformats.org/officeDocument/2006/relationships/hyperlink" Id="rId36" Target="https://doi.org/10.1101/081257" TargetMode="External" /><Relationship Type="http://schemas.openxmlformats.org/officeDocument/2006/relationships/hyperlink" Id="rId60" Target="https://doi.org/10.1111/mpp.12506" TargetMode="External" /><Relationship Type="http://schemas.openxmlformats.org/officeDocument/2006/relationships/hyperlink" Id="rId31" Target="https://doi.org/10.1128/aem.00014-18" TargetMode="External" /><Relationship Type="http://schemas.openxmlformats.org/officeDocument/2006/relationships/hyperlink" Id="rId48" Target="https://doi.org/10.1128/aem.01282-13" TargetMode="External" /><Relationship Type="http://schemas.openxmlformats.org/officeDocument/2006/relationships/hyperlink" Id="rId70" Target="https://doi.org/10.1128/aem.01541-09" TargetMode="External" /><Relationship Type="http://schemas.openxmlformats.org/officeDocument/2006/relationships/hyperlink" Id="rId52" Target="https://doi.org/10.1128/aem.02810-10" TargetMode="External" /><Relationship Type="http://schemas.openxmlformats.org/officeDocument/2006/relationships/hyperlink" Id="rId46" Target="https://doi.org/10.1128/aem.02953-09" TargetMode="External" /><Relationship Type="http://schemas.openxmlformats.org/officeDocument/2006/relationships/hyperlink" Id="rId62" Target="https://doi.org/10.1128/jb.187.18.6258-6264.2005" TargetMode="External" /><Relationship Type="http://schemas.openxmlformats.org/officeDocument/2006/relationships/hyperlink" Id="rId38" Target="https://doi.org/10.1128/mSystems.00191-16" TargetMode="External" /><Relationship Type="http://schemas.openxmlformats.org/officeDocument/2006/relationships/hyperlink" Id="rId64" Target="https://doi.org/10.1128/mbio.02475-19" TargetMode="Externa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2021-02-05T20:23:30Z</dcterms:created>
  <dcterms:modified xsi:type="dcterms:W3CDTF">2021-02-05T20:23:30Z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