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6"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propensity to split a genome apart or to lump species together. For full length 16S rRNA gene sequences, I found that at a threshold of</w:t>
      </w:r>
      <w:r>
        <w:t xml:space="preserve"> </w:t>
      </w:r>
      <w:r>
        <w:rPr>
          <w:b/>
        </w:rPr>
        <w:t xml:space="preserve">5.5</w:t>
      </w:r>
      <w:r>
        <w:t xml:space="preserve">%, 95% of the species with 7 copies of the rrn operon would be represented by a single OTU.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observed for the V4, V3-V4, and V4-V5 regions, respectively. However, at these thresholds, multiple species could be represented by the same OTU (</w:t>
      </w:r>
      <w:r>
        <w:rPr>
          <w:b/>
        </w:rPr>
        <w:t xml:space="preserve">Figure 2</w:t>
      </w:r>
      <w:r>
        <w:t xml:space="preserve">). At the highest level of resolution,</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w:t>
      </w:r>
      <w:r>
        <w:t xml:space="preserve"> </w:t>
      </w:r>
      <w:r>
        <w:rPr>
          <w:b/>
        </w:rPr>
        <w:t xml:space="preserve">Figure S1</w:t>
      </w:r>
      <w:r>
        <w:t xml:space="preserve">).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p>
      <w:pPr>
        <w:pStyle w:val="FirstParagraph"/>
      </w:pPr>
    </w:p>
    <w:p>
      <w:pPr>
        <w:pStyle w:val="BodyText"/>
      </w:pPr>
      <w:r>
        <w:rPr>
          <w:b/>
        </w:rPr>
        <w:t xml:space="preserve">Figure 1. The ratio of number of distinct ASVs per copy of the</w:t>
      </w:r>
      <w:r>
        <w:rPr>
          <w:b/>
        </w:rPr>
        <w:t xml:space="preserve"> </w:t>
      </w:r>
      <w:r>
        <w:rPr>
          <w:i/>
          <w:b/>
        </w:rPr>
        <w:t xml:space="preserve">rrn</w:t>
      </w:r>
      <w:r>
        <w:rPr>
          <w:b/>
        </w:rPr>
        <w:t xml:space="preserve"> </w:t>
      </w:r>
      <w:r>
        <w:rPr>
          <w:b/>
        </w:rPr>
        <w:t xml:space="preserve">operon increases for a species as the number of genomes sampled increases.</w:t>
      </w:r>
      <w:r>
        <w:t xml:space="preserve"> </w:t>
      </w:r>
      <w:r>
        <w:t xml:space="preserve">Each point represents a different species and is shaded to be 80% transparent so that when points overlap they become darker. The blue line represents a smoothed fit through the data.</w:t>
      </w:r>
    </w:p>
    <w:p>
      <w:r>
        <w:br w:type="page"/>
      </w:r>
    </w:p>
    <w:p>
      <w:pPr>
        <w:pStyle w:val="BodyText"/>
      </w:pPr>
    </w:p>
    <w:p>
      <w:pPr>
        <w:pStyle w:val="BodyText"/>
      </w:pPr>
      <w:r>
        <w:rPr>
          <w:b/>
        </w:rPr>
        <w:t xml:space="preserve">Figure 2. As the distance threshold used to define an OTU increases, the fraction of genomes split into separate OTUs decreases while the fraction of species that are merged into the same OTU increases.</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Distance thresholds larger than 3% provide better sensitivity and specificity when assigning ASVs to OTUs when trying to represent species-level classifications.</w:t>
      </w:r>
      <w:r>
        <w:t xml:space="preserve"> </w:t>
      </w:r>
      <w:r>
        <w:t xml:space="preserve">The sensitivities and specificities for ASVs were</w:t>
      </w:r>
      <w:r>
        <w:t xml:space="preserve"> </w:t>
      </w:r>
      <w:r>
        <w:rPr>
          <w:b/>
        </w:rPr>
        <w:t xml:space="preserve">0.435/1.000</w:t>
      </w:r>
      <w:r>
        <w:t xml:space="preserve">,</w:t>
      </w:r>
      <w:r>
        <w:t xml:space="preserve"> </w:t>
      </w:r>
      <w:r>
        <w:rPr>
          <w:b/>
        </w:rPr>
        <w:t xml:space="preserve">0.748/1.000</w:t>
      </w:r>
      <w:r>
        <w:t xml:space="preserve">,</w:t>
      </w:r>
      <w:r>
        <w:t xml:space="preserve"> </w:t>
      </w:r>
      <w:r>
        <w:rPr>
          <w:b/>
        </w:rPr>
        <w:t xml:space="preserve">0.887/0.999</w:t>
      </w:r>
      <w:r>
        <w:t xml:space="preserve">, and</w:t>
      </w:r>
      <w:r>
        <w:t xml:space="preserve"> </w:t>
      </w:r>
      <w:r>
        <w:rPr>
          <w:b/>
        </w:rPr>
        <w:t xml:space="preserve">0.853/0.999</w:t>
      </w:r>
      <w:r>
        <w:t xml:space="preserve"> </w:t>
      </w:r>
      <w:r>
        <w:t xml:space="preserve">for the V1-V9, V3-V4, V4, V4-V5 regions, respectively. The gray diagonal line represents the position of where the sensitivity and specificity were equal. These data represent the median fractions for sensitivity and specificity across 100 randomizations. In each randomization, one genome was sampled from each species.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2021-01-20T19:02:00Z</dcterms:created>
  <dcterms:modified xsi:type="dcterms:W3CDTF">2021-01-20T19:02:00Z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