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7"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 Staphylococcus aureus (NCTC 8325) and S. epidermidis (ATCC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b/>
        </w:rPr>
        <w:t xml:space="preserve">Mycobacterium tuberculosis</w:t>
      </w:r>
      <w:r>
        <w:t xml:space="preserve">) and</w:t>
      </w:r>
      <w:r>
        <w:t xml:space="preserve"> </w:t>
      </w:r>
      <w:r>
        <w:rPr>
          <w:b/>
        </w:rPr>
        <w:t xml:space="preserve">19</w:t>
      </w:r>
      <w:r>
        <w:t xml:space="preserve"> </w:t>
      </w:r>
      <w:r>
        <w:t xml:space="preserve">(e.g. </w:t>
      </w:r>
      <w:r>
        <w:rPr>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w:t>
      </w:r>
      <w:r>
        <w:t xml:space="preserve">). For example,</w:t>
      </w:r>
      <w:r>
        <w:t xml:space="preserve"> </w:t>
      </w:r>
      <w:r>
        <w:rPr>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 E. coli 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t xml:space="preserve">E. coli 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propopensity to lump species together and split genome apart. I identified the threshold where 90% of bacterial species would be represented by a single OTU. For full length 16S rRNA gene sequences, I found that at a threshold of XX%, 90% of the species would be represented by a single OTU. Similarly, thresholds of XX, XX, and XX% were observed for the V4, V3-V4, and V4-V5 regions. However, at these thresholds, multiple species could be represented by the same OTU. At the highest level of resolution, XX% of the species shared a 16S rRNA gene sequence variant with another species.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bookmarkEnd w:id="25"/>
    <w:bookmarkStart w:id="26" w:name="figures"/>
    <w:p>
      <w:pPr>
        <w:pStyle w:val="Heading2"/>
      </w:pPr>
      <w:r>
        <w:t xml:space="preserve">Figures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2021-01-12T20:07:36Z</dcterms:created>
  <dcterms:modified xsi:type="dcterms:W3CDTF">2021-01-12T20:07:36Z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