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ESV rate increases as the number of genomes sampled per species increases</w:t>
      </w:r>
    </w:p>
    <w:p>
      <w:r>
        <w:br w:type="page"/>
      </w:r>
    </w:p>
    <w:p>
      <w:pPr>
        <w:pStyle w:val="BodyText"/>
      </w:pPr>
    </w:p>
    <w:p>
      <w:pPr>
        <w:pStyle w:val="BodyText"/>
      </w:pPr>
      <w:r>
        <w:rPr>
          <w:b/>
        </w:rPr>
        <w:t xml:space="preserve">Figure 2. Rate of lumping and splitting by distance threshold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2021-01-20T15:12:09Z</dcterms:created>
  <dcterms:modified xsi:type="dcterms:W3CDTF">2021-01-20T15:12:09Z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