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7"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 Staphylococcus aureus (NCTC 8325) and S. epidermidis (ATCC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 4774 species represented in the rrnDB there were 15614 genomes. The median number of rrn operson per species ranged between 1 (e.g. Mycobacterium tuberculosis) and 19 (e.g. Metabacillus litoralis) copies of the rrn operon. As the number of copies of the operon in a genome increased, the number of variants of the 16S rRNA gene in each genome also increased (</w:t>
      </w:r>
      <w:r>
        <w:rPr>
          <w:b/>
        </w:rPr>
        <w:t xml:space="preserve">FIGURE</w:t>
      </w:r>
      <w:r>
        <w:t xml:space="preserve">). On average, there were 0.5970303 variants per copy of the full length 16S rRNA gene and an average of 0.2551013, 0.3265188, and 0.2744228 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w:t>
      </w:r>
      <w:r>
        <w:t xml:space="preserve">). For example, Mycobacterium tuberculosis generally only had 1 copy of the gene per genome, but across the 180 genomes that have been sequenced there were 11 versions of the gene. Similarly, a E. coli genome typically had 7 copies of the 16S rRNA gene with between 6 and 10 distinct full length sequences per genome. Across the 958 E. coli genomes that have been sequenced, there were 1013 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propopensity to lump species together and split genome apart. I identified the threshold where 90% of bacterial species would be represented by a single OTU. For full length 16S rRNA gene sequences, I found that at a threshold of XX%, 90% of the species would be represented by a single OTU. Similarly, thresholds of XX, XX, and XX% were observed for the V4, V3-V4, and V4-V5 regions. However, at these thresholds, multiple species could be represented by the same OTU. At the highest level of resolution, XX% of the species shared a 16S rRNA gene sequence variant with another species.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thresholds were XX (V1-V9), XX (V4), XX (V3V4), and XX (V4V5). Second, I identified the threshold that resulted in the point on the ROC curve that was closest to perfect classification. For this criterion, the best thresholds were XX (V1-V9), XX (V4), XX (V3V4), and XX (V4V5). Surprisingly, these analyses revealed that thresholds near 3%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bookmarkEnd w:id="25"/>
    <w:bookmarkStart w:id="26" w:name="figures"/>
    <w:p>
      <w:pPr>
        <w:pStyle w:val="Heading2"/>
      </w:pPr>
      <w:r>
        <w:t xml:space="preserve">Figures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2021-01-11T14:58:29Z</dcterms:created>
  <dcterms:modified xsi:type="dcterms:W3CDTF">2021-01-11T14:58:29Z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