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994a8e9a9a60f87e0f176b19df16a7da73b6367"/>
    <w:p>
      <w:pPr>
        <w:pStyle w:val="Heading1"/>
      </w:pPr>
      <w:r>
        <w:t xml:space="preserve">Amplicon sequence variants should not replace operational taxonomic units in marker-gene data analysis</w:t>
      </w:r>
    </w:p>
    <w:p>
      <w:pPr>
        <w:pStyle w:val="FirstParagraph"/>
      </w:pPr>
      <w:r>
        <w:rPr>
          <w:b/>
        </w:rPr>
        <w:t xml:space="preserve">Running title:</w:t>
      </w:r>
      <w:r>
        <w:t xml:space="preserve"> </w:t>
      </w:r>
      <w:r>
        <w:t xml:space="preserve">ASVs vs. OTUs</w:t>
      </w:r>
    </w:p>
    <w:p>
      <w:pPr>
        <w:pStyle w:val="BodyText"/>
      </w:pPr>
      <w:r>
        <w:t xml:space="preserve">Patrick D. Schloss</w:t>
      </w:r>
      <m:oMath>
        <m:sSup>
          <m:e>
            <m:r>
              <m:t>​</m:t>
            </m:r>
          </m:e>
          <m:sup>
            <m:r>
              <m:t>†</m:t>
            </m:r>
          </m:sup>
        </m:sSup>
      </m:oMath>
    </w:p>
    <w:p>
      <w:pPr>
        <w:pStyle w:val="BodyText"/>
      </w:pPr>
      <m:oMath>
        <m:r>
          <m:t>†</m:t>
        </m:r>
      </m:oMath>
      <w:r>
        <w:t xml:space="preserve"> </w:t>
      </w:r>
      <w:r>
        <w:t xml:space="preserve">To whom corresponsdence should be addressed:</w:t>
      </w:r>
    </w:p>
    <w:p>
      <w:pPr>
        <w:pStyle w:val="BodyText"/>
      </w:pPr>
    </w:p>
    <w:p>
      <w:pPr>
        <w:pStyle w:val="BodyText"/>
      </w:pPr>
      <w:r>
        <w:t xml:space="preserve">Department of Microbiology &amp; Immunology</w:t>
      </w:r>
    </w:p>
    <w:p>
      <w:pPr>
        <w:pStyle w:val="BodyText"/>
      </w:pPr>
      <w:r>
        <w:t xml:space="preserve">University of Michigan</w:t>
      </w:r>
    </w:p>
    <w:p>
      <w:pPr>
        <w:pStyle w:val="BodyText"/>
      </w:pPr>
      <w:r>
        <w:t xml:space="preserve">Ann Arbor, MI 48109</w:t>
      </w:r>
    </w:p>
    <w:p>
      <w:pPr>
        <w:pStyle w:val="BodyText"/>
      </w:pPr>
      <w:r>
        <w:rPr>
          <w:b/>
        </w:rPr>
        <w:t xml:space="preserve">Observation Format</w:t>
      </w:r>
    </w:p>
    <w:p>
      <w:r>
        <w:br w:type="page"/>
      </w:r>
    </w:p>
    <w:bookmarkStart w:id="20" w:name="abstract-250-words"/>
    <w:p>
      <w:pPr>
        <w:pStyle w:val="Heading2"/>
      </w:pPr>
      <w:r>
        <w:t xml:space="preserve">Abstract (250 words)</w:t>
      </w:r>
    </w:p>
    <w:bookmarkEnd w:id="20"/>
    <w:bookmarkStart w:id="21" w:name="importance-150-words"/>
    <w:p>
      <w:pPr>
        <w:pStyle w:val="Heading2"/>
      </w:pPr>
      <w:r>
        <w:t xml:space="preserve">Importance (150 words)</w:t>
      </w:r>
    </w:p>
    <w:p>
      <w:r>
        <w:br w:type="page"/>
      </w:r>
    </w:p>
    <w:bookmarkEnd w:id="21"/>
    <w:bookmarkStart w:id="22" w:name="introduction"/>
    <w:p>
      <w:pPr>
        <w:pStyle w:val="Heading2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16S rRNA gene sequencing is a very powerful technique for describing and comparing microbial communities</w:t>
      </w:r>
    </w:p>
    <w:p>
      <w:pPr>
        <w:numPr>
          <w:ilvl w:val="0"/>
          <w:numId w:val="1001"/>
        </w:numPr>
      </w:pPr>
      <w:r>
        <w:t xml:space="preserve">How do we analyze them (classification, clustering)?</w:t>
      </w:r>
    </w:p>
    <w:p>
      <w:pPr>
        <w:numPr>
          <w:ilvl w:val="0"/>
          <w:numId w:val="1001"/>
        </w:numPr>
      </w:pPr>
      <w:r>
        <w:t xml:space="preserve">What has changed in recent years? ASVs</w:t>
      </w:r>
    </w:p>
    <w:p>
      <w:pPr>
        <w:numPr>
          <w:ilvl w:val="0"/>
          <w:numId w:val="1001"/>
        </w:numPr>
      </w:pPr>
      <w:r>
        <w:t xml:space="preserve">Efforts to link 16S rRNA gene sequences to taxonomic levels based on distance thresholds go back a long way</w:t>
      </w:r>
    </w:p>
    <w:p>
      <w:pPr>
        <w:numPr>
          <w:ilvl w:val="0"/>
          <w:numId w:val="1001"/>
        </w:numPr>
      </w:pPr>
      <w:r>
        <w:t xml:space="preserve">ESVs/ASVs have been an attempt to adopt the thresholds suggested by genome sequencing to microbial community analysis using 16S rRNA gene sequences</w:t>
      </w:r>
    </w:p>
    <w:p>
      <w:pPr>
        <w:numPr>
          <w:ilvl w:val="0"/>
          <w:numId w:val="1001"/>
        </w:numPr>
      </w:pPr>
      <w:r>
        <w:t xml:space="preserve">Most bacterial genomes have more than 1 copy of the rrn operon and those copies are not identical</w:t>
      </w:r>
    </w:p>
    <w:p>
      <w:pPr>
        <w:numPr>
          <w:ilvl w:val="0"/>
          <w:numId w:val="1001"/>
        </w:numPr>
      </w:pPr>
      <w:r>
        <w:t xml:space="preserve">Using too fine a threshold to create taxonomic groups runs risk of splitting single genome into multiple bins</w:t>
      </w:r>
    </w:p>
    <w:p>
      <w:pPr>
        <w:numPr>
          <w:ilvl w:val="0"/>
          <w:numId w:val="1001"/>
        </w:numPr>
      </w:pPr>
      <w:r>
        <w:t xml:space="preserve">For example, E. coli K-12 has 7 copies of the 16S rRNA gene with 5 variants</w:t>
      </w:r>
    </w:p>
    <w:p>
      <w:pPr>
        <w:numPr>
          <w:ilvl w:val="0"/>
          <w:numId w:val="1001"/>
        </w:numPr>
      </w:pPr>
      <w:r>
        <w:t xml:space="preserve">Using too broad a threshold to define ASVs or OTUs risks lumping together bacterial species into the same grouping</w:t>
      </w:r>
    </w:p>
    <w:p>
      <w:pPr>
        <w:numPr>
          <w:ilvl w:val="0"/>
          <w:numId w:val="1001"/>
        </w:numPr>
      </w:pPr>
      <w:r>
        <w:t xml:space="preserve">For example, B. cereus, thuringiensis, anthracis share the same 16S rRNA gene sequences</w:t>
      </w:r>
    </w:p>
    <w:p>
      <w:pPr>
        <w:numPr>
          <w:ilvl w:val="0"/>
          <w:numId w:val="1001"/>
        </w:numPr>
      </w:pPr>
      <w:r>
        <w:t xml:space="preserve">Goal of this study</w:t>
      </w:r>
    </w:p>
    <w:p>
      <w:r>
        <w:br w:type="page"/>
      </w:r>
    </w:p>
    <w:bookmarkEnd w:id="22"/>
    <w:bookmarkStart w:id="23" w:name="results"/>
    <w:p>
      <w:pPr>
        <w:pStyle w:val="Heading2"/>
      </w:pPr>
      <w:r>
        <w:t xml:space="preserve">Results</w:t>
      </w:r>
    </w:p>
    <w:p>
      <w:pPr>
        <w:numPr>
          <w:ilvl w:val="0"/>
          <w:numId w:val="1002"/>
        </w:numPr>
        <w:pStyle w:val="Compact"/>
      </w:pPr>
      <w:r>
        <w:t xml:space="preserve">ESVs/ASVs</w:t>
      </w:r>
    </w:p>
    <w:p>
      <w:pPr>
        <w:numPr>
          <w:ilvl w:val="1"/>
          <w:numId w:val="1003"/>
        </w:numPr>
        <w:pStyle w:val="Compact"/>
      </w:pPr>
      <w:r>
        <w:t xml:space="preserve">copy number varies by taxonomy</w:t>
      </w:r>
    </w:p>
    <w:p>
      <w:pPr>
        <w:numPr>
          <w:ilvl w:val="1"/>
          <w:numId w:val="1003"/>
        </w:numPr>
        <w:pStyle w:val="Compact"/>
      </w:pPr>
      <w:r>
        <w:t xml:space="preserve">more copies, more variants per genome</w:t>
      </w:r>
    </w:p>
    <w:p>
      <w:pPr>
        <w:numPr>
          <w:ilvl w:val="1"/>
          <w:numId w:val="1003"/>
        </w:numPr>
        <w:pStyle w:val="Compact"/>
      </w:pPr>
      <w:r>
        <w:t xml:space="preserve">full length sequences have more variants than sub-regions</w:t>
      </w:r>
    </w:p>
    <w:p>
      <w:pPr>
        <w:numPr>
          <w:ilvl w:val="1"/>
          <w:numId w:val="1003"/>
        </w:numPr>
        <w:pStyle w:val="Compact"/>
      </w:pPr>
      <w:r>
        <w:t xml:space="preserve">as more sequences are added to a species, the number of variants increases</w:t>
      </w:r>
    </w:p>
    <w:p>
      <w:pPr>
        <w:numPr>
          <w:ilvl w:val="0"/>
          <w:numId w:val="1002"/>
        </w:numPr>
        <w:pStyle w:val="Compact"/>
      </w:pPr>
      <w:r>
        <w:t xml:space="preserve">OTUs</w:t>
      </w:r>
    </w:p>
    <w:p>
      <w:pPr>
        <w:numPr>
          <w:ilvl w:val="1"/>
          <w:numId w:val="1004"/>
        </w:numPr>
        <w:pStyle w:val="Compact"/>
      </w:pPr>
      <w:r>
        <w:t xml:space="preserve">increasing a threshold decreases the number of variants</w:t>
      </w:r>
    </w:p>
    <w:p>
      <w:pPr>
        <w:numPr>
          <w:ilvl w:val="1"/>
          <w:numId w:val="1004"/>
        </w:numPr>
        <w:pStyle w:val="Compact"/>
      </w:pPr>
      <w:r>
        <w:t xml:space="preserve">this limits the splitting of a single genome into multiple bins</w:t>
      </w:r>
    </w:p>
    <w:p>
      <w:pPr>
        <w:numPr>
          <w:ilvl w:val="1"/>
          <w:numId w:val="1004"/>
        </w:numPr>
        <w:pStyle w:val="Compact"/>
      </w:pPr>
      <w:r>
        <w:t xml:space="preserve">this increases the lumping of species into single bin</w:t>
      </w:r>
    </w:p>
    <w:p>
      <w:r>
        <w:br w:type="page"/>
      </w:r>
    </w:p>
    <w:bookmarkEnd w:id="23"/>
    <w:bookmarkStart w:id="24" w:name="conclusions"/>
    <w:p>
      <w:pPr>
        <w:pStyle w:val="Heading2"/>
      </w:pPr>
      <w:r>
        <w:t xml:space="preserve">Conclusions</w:t>
      </w:r>
    </w:p>
    <w:p>
      <w:pPr>
        <w:numPr>
          <w:ilvl w:val="0"/>
          <w:numId w:val="1005"/>
        </w:numPr>
      </w:pPr>
      <w:r>
        <w:t xml:space="preserve">Briefly synthesize results</w:t>
      </w:r>
    </w:p>
    <w:p>
      <w:pPr>
        <w:numPr>
          <w:ilvl w:val="1"/>
          <w:numId w:val="1006"/>
        </w:numPr>
        <w:pStyle w:val="Compact"/>
      </w:pPr>
      <w:r>
        <w:t xml:space="preserve">Unlikely that the unit of inference should be an ASV</w:t>
      </w:r>
    </w:p>
    <w:p>
      <w:pPr>
        <w:numPr>
          <w:ilvl w:val="0"/>
          <w:numId w:val="1005"/>
        </w:numPr>
      </w:pPr>
      <w:r>
        <w:t xml:space="preserve">No biological argument to split a genome into multiple bins</w:t>
      </w:r>
    </w:p>
    <w:p>
      <w:pPr>
        <w:numPr>
          <w:ilvl w:val="0"/>
          <w:numId w:val="1005"/>
        </w:numPr>
      </w:pPr>
      <w:r>
        <w:t xml:space="preserve">This analysis has allowed some splitting to balance with lumping</w:t>
      </w:r>
    </w:p>
    <w:p>
      <w:pPr>
        <w:numPr>
          <w:ilvl w:val="0"/>
          <w:numId w:val="1005"/>
        </w:numPr>
      </w:pPr>
      <w:r>
        <w:t xml:space="preserve">To reduce splitting further, you would need larger thresholds</w:t>
      </w:r>
    </w:p>
    <w:p>
      <w:pPr>
        <w:numPr>
          <w:ilvl w:val="0"/>
          <w:numId w:val="1005"/>
        </w:numPr>
      </w:pPr>
      <w:r>
        <w:t xml:space="preserve">There is general agreement in the field that if you want to classify something to a bacterial species, you need more than the 16S rRNA gene</w:t>
      </w:r>
    </w:p>
    <w:p>
      <w:pPr>
        <w:numPr>
          <w:ilvl w:val="0"/>
          <w:numId w:val="1005"/>
        </w:numPr>
      </w:pPr>
      <w:r>
        <w:t xml:space="preserve">Furthermore, using only a few hundred bases of that gene are even more limited.</w:t>
      </w:r>
    </w:p>
    <w:p>
      <w:pPr>
        <w:numPr>
          <w:ilvl w:val="0"/>
          <w:numId w:val="1005"/>
        </w:numPr>
      </w:pPr>
      <w:r>
        <w:t xml:space="preserve">We are asking too much of a short section of sequence</w:t>
      </w:r>
    </w:p>
    <w:p>
      <w:pPr>
        <w:numPr>
          <w:ilvl w:val="0"/>
          <w:numId w:val="1005"/>
        </w:numPr>
      </w:pPr>
      <w:r>
        <w:t xml:space="preserve">Surprisingly, 3% performs pretty well for an operational definition that limits splitting of bacterial genomes and avoiding the lumping of bacterial species</w:t>
      </w:r>
    </w:p>
    <w:p>
      <w:r>
        <w:br w:type="page"/>
      </w:r>
    </w:p>
    <w:bookmarkEnd w:id="24"/>
    <w:bookmarkStart w:id="25" w:name="materials-and-methods"/>
    <w:p>
      <w:pPr>
        <w:pStyle w:val="Heading2"/>
      </w:pPr>
      <w:r>
        <w:t xml:space="preserve">Materials and Methods</w:t>
      </w:r>
    </w:p>
    <w:p>
      <w:pPr>
        <w:numPr>
          <w:ilvl w:val="0"/>
          <w:numId w:val="1007"/>
        </w:numPr>
        <w:pStyle w:val="Compact"/>
      </w:pPr>
      <w:r>
        <w:t xml:space="preserve">rrnDB</w:t>
      </w:r>
    </w:p>
    <w:p>
      <w:pPr>
        <w:numPr>
          <w:ilvl w:val="0"/>
          <w:numId w:val="1007"/>
        </w:numPr>
        <w:pStyle w:val="Compact"/>
      </w:pPr>
      <w:r>
        <w:t xml:space="preserve">NCBI taxonomy</w:t>
      </w:r>
    </w:p>
    <w:p>
      <w:pPr>
        <w:numPr>
          <w:ilvl w:val="0"/>
          <w:numId w:val="1007"/>
        </w:numPr>
        <w:pStyle w:val="Compact"/>
      </w:pPr>
      <w:r>
        <w:t xml:space="preserve">R and R packages</w:t>
      </w:r>
    </w:p>
    <w:p>
      <w:pPr>
        <w:numPr>
          <w:ilvl w:val="0"/>
          <w:numId w:val="1007"/>
        </w:numPr>
        <w:pStyle w:val="Compact"/>
      </w:pPr>
      <w:r>
        <w:t xml:space="preserve">GitHub / YouTube</w:t>
      </w:r>
    </w:p>
    <w:p>
      <w:r>
        <w:br w:type="page"/>
      </w:r>
    </w:p>
    <w:bookmarkEnd w:id="25"/>
    <w:bookmarkStart w:id="26" w:name="acknowledgements"/>
    <w:p>
      <w:pPr>
        <w:pStyle w:val="Heading2"/>
      </w:pPr>
      <w:r>
        <w:t xml:space="preserve">Acknowledgements</w:t>
      </w:r>
    </w:p>
    <w:p>
      <w:r>
        <w:br w:type="page"/>
      </w:r>
    </w:p>
    <w:bookmarkEnd w:id="26"/>
    <w:bookmarkStart w:id="27" w:name="figures"/>
    <w:p>
      <w:pPr>
        <w:pStyle w:val="Heading2"/>
      </w:pPr>
      <w:r>
        <w:t xml:space="preserve">Figures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2020-12-22T16:35:18Z</dcterms:created>
  <dcterms:modified xsi:type="dcterms:W3CDTF">2020-12-22T16:35:18Z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-size">
    <vt:lpwstr>11pt</vt:lpwstr>
  </property>
  <property fmtid="{D5CDD505-2E9C-101B-9397-08002B2CF9AE}" pid="3" name="geometry">
    <vt:lpwstr>margin=1.0in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