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microbial communities. ASVs have grown in popularity, in part, because of a desire to reflect a more refined level of taxonomy since they do not cluster sequences based on a distance-based threshold. However, ASVs and the use of overly narrow thresholds to identify OTUs increase the risk of splitting a single genome into separate clusters. To assess this risk, I analyzed the intragenomic variation of 16S rRNA genes from the bacterial genomes represented in a</w:t>
      </w:r>
      <w:r>
        <w:t xml:space="preserve"> </w:t>
      </w:r>
      <w:r>
        <w:rPr>
          <w:i/>
        </w:rPr>
        <w:t xml:space="preserve">rrn</w:t>
      </w:r>
      <w:r>
        <w:t xml:space="preserve"> </w:t>
      </w:r>
      <w:r>
        <w:t xml:space="preserve">copy number database, which contained</w:t>
      </w:r>
      <w:r>
        <w:t xml:space="preserve"> </w:t>
      </w:r>
      <w:r>
        <w:rPr>
          <w:b/>
        </w:rPr>
        <w:t xml:space="preserve">15,614</w:t>
      </w:r>
      <w:r>
        <w:t xml:space="preserve"> </w:t>
      </w:r>
      <w:r>
        <w:t xml:space="preserve">genomes from</w:t>
      </w:r>
      <w:r>
        <w:t xml:space="preserve"> </w:t>
      </w:r>
      <w:r>
        <w:rPr>
          <w:b/>
        </w:rPr>
        <w:t xml:space="preserve">4,774</w:t>
      </w:r>
      <w:r>
        <w:t xml:space="preserve"> </w:t>
      </w:r>
      <w:r>
        <w:t xml:space="preserve">species. As the number of copies of the 16S rRNA gene increased in a genome, the number of ASVs also increased. There was an average of</w:t>
      </w:r>
      <w:r>
        <w:t xml:space="preserve"> </w:t>
      </w:r>
      <w:r>
        <w:rPr>
          <w:b/>
        </w:rPr>
        <w:t xml:space="preserve">0.60</w:t>
      </w:r>
      <w:r>
        <w:t xml:space="preserve"> </w:t>
      </w:r>
      <w:r>
        <w:t xml:space="preserve">ASVs per copy of the 16S rRNA gene for full length 16S rRNA genes. It was necessary to use a distance threshold of</w:t>
      </w:r>
      <w:r>
        <w:t xml:space="preserve"> </w:t>
      </w:r>
      <w:r>
        <w:rPr>
          <w:b/>
        </w:rPr>
        <w:t xml:space="preserve">5.5</w:t>
      </w:r>
      <w:r>
        <w:t xml:space="preserve">% to cluster full length ASVs from the same genome into a single OTU with 95% confidence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ASVs from different species into the same OTU when using broad distance thresholds, those risks are of less concern than artificially splitting a genome into separate ASVs and OTUs.</w:t>
      </w:r>
    </w:p>
    <w:bookmarkEnd w:id="20"/>
    <w:bookmarkStart w:id="25" w:name="importance"/>
    <w:p>
      <w:pPr>
        <w:pStyle w:val="Heading2"/>
      </w:pPr>
      <w:r>
        <w:t xml:space="preserve">Importance</w:t>
      </w:r>
    </w:p>
    <w:p>
      <w:pPr>
        <w:pStyle w:val="FirstParagraph"/>
      </w:pPr>
      <w:r>
        <w:t xml:space="preserve">16S rRNA gene sequencing has engendered significant interest in studying microbial communities. There has been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microbial community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bacterial taxonomy and biology, the ASV approach can lead to conflicting inferences about the ecology of different ASVs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date to at least the 1990s. The distance-based threshold that was developed and is now widely used was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Approaches for identifying ASVs do not cluster sequences based on a distance-based threshold</w:t>
      </w:r>
      <w:r>
        <w:t xml:space="preserve"> </w:t>
      </w:r>
      <w:r>
        <w:t xml:space="preserve">(11)</w:t>
      </w:r>
      <w:r>
        <w:t xml:space="preserve">. Proponents of ASVs are largely dissmissive of concerns that most bacterial genomes have more than one copy of the</w:t>
      </w:r>
      <w:r>
        <w:t xml:space="preserve"> </w:t>
      </w:r>
      <w:r>
        <w:rPr>
          <w:i/>
        </w:rPr>
        <w:t xml:space="preserve">rrn</w:t>
      </w:r>
      <w:r>
        <w:t xml:space="preserve"> </w:t>
      </w:r>
      <w:r>
        <w:t xml:space="preserve">operon and that those copies are not identical</w:t>
      </w:r>
      <w:r>
        <w:t xml:space="preserve"> </w:t>
      </w:r>
      <w:r>
        <w:t xml:space="preserve">(12, 13)</w:t>
      </w:r>
      <w:r>
        <w:t xml:space="preserve">. Yet, using too fine a threshold to identify OTUs creates the risk of splitting a single genome into multiple clusters. Conversely, using too broad of a threshold to define OTUs creates the risk of clustering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is distinct and represent 10 ASVs. Conversely, if the copies were clustered using a 3% distance threshold, then all 10 ASVs would cluster into the same OTU. The goal of this study was to quantify the tradeoff of splitting a single genome into multiple clusters and the risk of clustering different bacterial species into the same cluster when using ASVs and various OTU definitions.</w:t>
      </w:r>
    </w:p>
    <w:p>
      <w:pPr>
        <w:pStyle w:val="BodyText"/>
      </w:pPr>
      <w:r>
        <w:t xml:space="preserve">To investigate the variation in the number of copies of the 16S rRNA gene per genome and the intragenomic variation among copies of the 16S rRNA gene, I obtained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w:t>
      </w:r>
      <w:r>
        <w:t xml:space="preserve"> </w:t>
      </w:r>
      <w:r>
        <w:rPr>
          <w:b/>
        </w:rPr>
        <w:t xml:space="preserve">4,774</w:t>
      </w:r>
      <w:r>
        <w:t xml:space="preserve"> </w:t>
      </w:r>
      <w:r>
        <w:t xml:space="preserve">species represented in the</w:t>
      </w:r>
      <w:r>
        <w:t xml:space="preserve"> </w:t>
      </w:r>
      <w:r>
        <w:rPr>
          <w:i/>
        </w:rPr>
        <w:t xml:space="preserve">rrn</w:t>
      </w:r>
      <w:r>
        <w:t xml:space="preserve">DB there were</w:t>
      </w:r>
      <w:r>
        <w:t xml:space="preserve"> </w:t>
      </w:r>
      <w:r>
        <w:rPr>
          <w:b/>
        </w:rPr>
        <w:t xml:space="preserve">15,614</w:t>
      </w:r>
      <w:r>
        <w:t xml:space="preserve"> </w:t>
      </w:r>
      <w:r>
        <w:t xml:space="preserve">genomes. The median</w:t>
      </w:r>
      <w:r>
        <w:t xml:space="preserve"> </w:t>
      </w:r>
      <w:r>
        <w:rPr>
          <w:i/>
        </w:rPr>
        <w:t xml:space="preserve">rrn</w:t>
      </w:r>
      <w:r>
        <w:t xml:space="preserve"> </w:t>
      </w:r>
      <w:r>
        <w:t xml:space="preserve">copy number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As</w:t>
      </w:r>
      <w:r>
        <w:t xml:space="preserve"> </w:t>
      </w:r>
      <w:r>
        <w:rPr>
          <w:b/>
        </w:rPr>
        <w:t xml:space="preserve">rrn</w:t>
      </w:r>
      <w:r>
        <w:t xml:space="preserve"> </w:t>
      </w:r>
      <w:r>
        <w:t xml:space="preserve">copy number for a genome increased, the number of variants of the 16S rRNA gene in each genome also increased. On average, there were</w:t>
      </w:r>
      <w:r>
        <w:t xml:space="preserve"> </w:t>
      </w:r>
      <w:r>
        <w:rPr>
          <w:b/>
        </w:rPr>
        <w:t xml:space="preserve">0.60</w:t>
      </w:r>
      <w:r>
        <w:t xml:space="preserve"> </w:t>
      </w:r>
      <w:r>
        <w:t xml:space="preserve">variants per copy of the full length 16S rRNA gene and an average of</w:t>
      </w:r>
      <w:r>
        <w:t xml:space="preserve"> </w:t>
      </w:r>
      <w:r>
        <w:rPr>
          <w:b/>
        </w:rPr>
        <w:t xml:space="preserve">0.33</w:t>
      </w:r>
      <w:r>
        <w:t xml:space="preserve">,</w:t>
      </w:r>
      <w:r>
        <w:t xml:space="preserve"> </w:t>
      </w:r>
      <w:r>
        <w:rPr>
          <w:b/>
        </w:rPr>
        <w:t xml:space="preserve">0.26</w:t>
      </w:r>
      <w:r>
        <w:t xml:space="preserve">, and</w:t>
      </w:r>
      <w:r>
        <w:t xml:space="preserve"> </w:t>
      </w:r>
      <w:r>
        <w:rPr>
          <w:b/>
        </w:rPr>
        <w:t xml:space="preserve">0.27</w:t>
      </w:r>
      <w:r>
        <w:t xml:space="preserve"> </w:t>
      </w:r>
      <w:r>
        <w:t xml:space="preserve">variants when considering the V3-V4, 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 the</w:t>
      </w:r>
      <w:r>
        <w:t xml:space="preserve"> </w:t>
      </w:r>
      <w:r>
        <w:rPr>
          <w:b/>
        </w:rPr>
        <w:t xml:space="preserve">180</w:t>
      </w:r>
      <w:r>
        <w:t xml:space="preserve"> </w:t>
      </w:r>
      <w:r>
        <w:t xml:space="preserve">genome accessions of</w:t>
      </w:r>
      <w:r>
        <w:t xml:space="preserve"> </w:t>
      </w:r>
      <w:r>
        <w:rPr>
          <w:i/>
          <w:b/>
        </w:rPr>
        <w:t xml:space="preserve">Mycobacterium tuberculosis</w:t>
      </w:r>
      <w:r>
        <w:t xml:space="preserve"> </w:t>
      </w:r>
      <w:r>
        <w:t xml:space="preserve">in the</w:t>
      </w:r>
      <w:r>
        <w:t xml:space="preserve"> </w:t>
      </w:r>
      <w:r>
        <w:rPr>
          <w:i/>
        </w:rPr>
        <w:t xml:space="preserve">rrn</w:t>
      </w:r>
      <w:r>
        <w:t xml:space="preserve">DB each had</w:t>
      </w:r>
      <w:r>
        <w:t xml:space="preserve"> </w:t>
      </w:r>
      <w:r>
        <w:rPr>
          <w:b/>
        </w:rPr>
        <w:t xml:space="preserve">1</w:t>
      </w:r>
      <w:r>
        <w:t xml:space="preserve"> </w:t>
      </w:r>
      <w:r>
        <w:t xml:space="preserve">copy of the gene per genome. However, across those accessions, there were</w:t>
      </w:r>
      <w:r>
        <w:t xml:space="preserve"> </w:t>
      </w:r>
      <w:r>
        <w:rPr>
          <w:b/>
        </w:rPr>
        <w:t xml:space="preserve">11</w:t>
      </w:r>
      <w:r>
        <w:t xml:space="preserve"> </w:t>
      </w:r>
      <w:r>
        <w:t xml:space="preserve">versions of the gene. An</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a median of</w:t>
      </w:r>
      <w:r>
        <w:t xml:space="preserve"> </w:t>
      </w:r>
      <w:r>
        <w:rPr>
          <w:b/>
        </w:rPr>
        <w:t xml:space="preserve">5</w:t>
      </w:r>
      <w:r>
        <w:t xml:space="preserve"> </w:t>
      </w:r>
      <w:r>
        <w:t xml:space="preserve">distinct full length ASVs per genome (intraquartile range between</w:t>
      </w:r>
      <w:r>
        <w:t xml:space="preserve"> </w:t>
      </w:r>
      <w:r>
        <w:rPr>
          <w:b/>
        </w:rPr>
        <w:t xml:space="preserve">4</w:t>
      </w:r>
      <w:r>
        <w:t xml:space="preserve"> </w:t>
      </w:r>
      <w:r>
        <w:t xml:space="preserve">and</w:t>
      </w:r>
      <w:r>
        <w:t xml:space="preserve"> </w:t>
      </w:r>
      <w:r>
        <w:rPr>
          <w:b/>
        </w:rPr>
        <w:t xml:space="preserve">6</w:t>
      </w:r>
      <w:r>
        <w:t xml:space="preserve">). Across the</w:t>
      </w:r>
      <w:r>
        <w:t xml:space="preserve"> </w:t>
      </w:r>
      <w:r>
        <w:rPr>
          <w:b/>
        </w:rPr>
        <w:t xml:space="preserve">958</w:t>
      </w:r>
      <w:r>
        <w:t xml:space="preserve"> </w:t>
      </w:r>
      <w:r>
        <w:rPr>
          <w:i/>
        </w:rPr>
        <w:t xml:space="preserve">E. coli</w:t>
      </w:r>
      <w:r>
        <w:t xml:space="preserve"> </w:t>
      </w:r>
      <w:r>
        <w:t xml:space="preserve">genomes in the</w:t>
      </w:r>
      <w:r>
        <w:t xml:space="preserve"> </w:t>
      </w:r>
      <w:r>
        <w:rPr>
          <w:i/>
        </w:rPr>
        <w:t xml:space="preserve">rrn</w:t>
      </w:r>
      <w:r>
        <w:t xml:space="preserve">DB, there were</w:t>
      </w:r>
      <w:r>
        <w:t xml:space="preserve"> </w:t>
      </w:r>
      <w:r>
        <w:rPr>
          <w:b/>
        </w:rPr>
        <w:t xml:space="preserve">1,013</w:t>
      </w:r>
      <w:r>
        <w:t xml:space="preserve"> </w:t>
      </w:r>
      <w:r>
        <w:t xml:space="preserve">versions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distances between each other. Therefore, I assessed the impact of the distance threshold used to define clusters of 16S rRNA genes on the propensity to split a genome into separate clusters. To control for uneven representation of genomes across species, I randomly selected one genome from each species for the following analyses and repeated each randomization 100 times. I observed that as the</w:t>
      </w:r>
      <w:r>
        <w:t xml:space="preserve"> </w:t>
      </w:r>
      <w:r>
        <w:rPr>
          <w:i/>
        </w:rPr>
        <w:t xml:space="preserve">rrn</w:t>
      </w:r>
      <w:r>
        <w:t xml:space="preserve"> </w:t>
      </w:r>
      <w:r>
        <w:t xml:space="preserve">copy number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a distance threshold of</w:t>
      </w:r>
      <w:r>
        <w:t xml:space="preserve"> </w:t>
      </w:r>
      <w:r>
        <w:rPr>
          <w:b/>
        </w:rPr>
        <w:t xml:space="preserve">5.5</w:t>
      </w:r>
      <w:r>
        <w:t xml:space="preserve">% was required to reduce full length ASVs into a single OTU for 95% of the species (Figure 2). Similarly, thresholds of</w:t>
      </w:r>
      <w:r>
        <w:t xml:space="preserve"> </w:t>
      </w:r>
      <w:r>
        <w:rPr>
          <w:b/>
        </w:rPr>
        <w:t xml:space="preserve">4.0</w:t>
      </w:r>
      <w:r>
        <w:t xml:space="preserve">,</w:t>
      </w:r>
      <w:r>
        <w:t xml:space="preserve"> </w:t>
      </w:r>
      <w:r>
        <w:rPr>
          <w:b/>
        </w:rPr>
        <w:t xml:space="preserve">2.5</w:t>
      </w:r>
      <w:r>
        <w:t xml:space="preserve">, and</w:t>
      </w:r>
      <w:r>
        <w:t xml:space="preserve"> </w:t>
      </w:r>
      <w:r>
        <w:rPr>
          <w:b/>
        </w:rPr>
        <w:t xml:space="preserve">3.5</w:t>
      </w:r>
      <w:r>
        <w:t xml:space="preserve">% were required for the V3-V4, V4, and V4-V5 regions, respectively. But, if a 3% distance threshold was used, then ASVs from genomes containing fewer than</w:t>
      </w:r>
      <w:r>
        <w:t xml:space="preserve"> </w:t>
      </w:r>
      <w:r>
        <w:rPr>
          <w:b/>
        </w:rPr>
        <w:t xml:space="preserve">5</w:t>
      </w:r>
      <w:r>
        <w:t xml:space="preserve">,</w:t>
      </w:r>
      <w:r>
        <w:t xml:space="preserve"> </w:t>
      </w:r>
      <w:r>
        <w:rPr>
          <w:b/>
        </w:rPr>
        <w:t xml:space="preserve">6</w:t>
      </w:r>
      <w:r>
        <w:t xml:space="preserve">,</w:t>
      </w:r>
      <w:r>
        <w:t xml:space="preserve"> </w:t>
      </w:r>
      <w:r>
        <w:rPr>
          <w:b/>
        </w:rPr>
        <w:t xml:space="preserve">8</w:t>
      </w:r>
      <w:r>
        <w:t xml:space="preserve">, and</w:t>
      </w:r>
      <w:r>
        <w:t xml:space="preserve"> </w:t>
      </w:r>
      <w:r>
        <w:rPr>
          <w:b/>
        </w:rPr>
        <w:t xml:space="preserve">6</w:t>
      </w:r>
      <w:r>
        <w:t xml:space="preserve"> </w:t>
      </w:r>
      <w:r>
        <w:t xml:space="preserve">copies of the</w:t>
      </w:r>
      <w:r>
        <w:t xml:space="preserve"> </w:t>
      </w:r>
      <w:r>
        <w:rPr>
          <w:i/>
        </w:rPr>
        <w:t xml:space="preserve">rrn</w:t>
      </w:r>
      <w:r>
        <w:t xml:space="preserve"> </w:t>
      </w:r>
      <w:r>
        <w:t xml:space="preserve">operon would reliably be clustered into a single OTU for ASVs from the V1-V9, V3-V4, V4, and V4-V5 regions, respectively (Figure 2). Consequently, these results demonstrate that broad thresholds must be used to avoid splitting different operons from the same genome into separate clusters. At broad thresholds, 16S rRNA gene sequences from multiple species could be clustered into the same ASV or OTU (</w:t>
      </w:r>
      <w:r>
        <w:rPr>
          <w:b/>
        </w:rPr>
        <w:t xml:space="preserve">Figure 2</w:t>
      </w:r>
      <w:r>
        <w:t xml:space="preserve">). Using ASVs,</w:t>
      </w:r>
      <w:r>
        <w:t xml:space="preserve"> </w:t>
      </w:r>
      <w:r>
        <w:rPr>
          <w:b/>
        </w:rPr>
        <w:t xml:space="preserve">3.6</w:t>
      </w:r>
      <w:r>
        <w:t xml:space="preserve">% of the ASVs contained sequences from multiple species when considering full length sequences and</w:t>
      </w:r>
      <w:r>
        <w:t xml:space="preserve"> </w:t>
      </w:r>
      <w:r>
        <w:rPr>
          <w:b/>
        </w:rPr>
        <w:t xml:space="preserve">10.2</w:t>
      </w:r>
      <w:r>
        <w:t xml:space="preserve">,</w:t>
      </w:r>
      <w:r>
        <w:t xml:space="preserve"> </w:t>
      </w:r>
      <w:r>
        <w:rPr>
          <w:b/>
        </w:rPr>
        <w:t xml:space="preserve">14.9</w:t>
      </w:r>
      <w:r>
        <w:t xml:space="preserve">, and</w:t>
      </w:r>
      <w:r>
        <w:t xml:space="preserve"> </w:t>
      </w:r>
      <w:r>
        <w:rPr>
          <w:b/>
        </w:rPr>
        <w:t xml:space="preserve">12.0</w:t>
      </w:r>
      <w:r>
        <w:t xml:space="preserve">% when considering the V3-V4, V4, and V4-V5 regions, respectively. At the commonly used 3% threshold for defining OTUs,</w:t>
      </w:r>
      <w:r>
        <w:t xml:space="preserve"> </w:t>
      </w:r>
      <w:r>
        <w:rPr>
          <w:b/>
        </w:rPr>
        <w:t xml:space="preserve">25.2</w:t>
      </w:r>
      <w:r>
        <w:t xml:space="preserve">% of the OTUs contained 16S rRNA gene sequences from multiple species when considering full length sequences and</w:t>
      </w:r>
      <w:r>
        <w:t xml:space="preserve"> </w:t>
      </w:r>
      <w:r>
        <w:rPr>
          <w:b/>
        </w:rPr>
        <w:t xml:space="preserve">29.4</w:t>
      </w:r>
      <w:r>
        <w:t xml:space="preserve">,</w:t>
      </w:r>
      <w:r>
        <w:t xml:space="preserve"> </w:t>
      </w:r>
      <w:r>
        <w:rPr>
          <w:b/>
        </w:rPr>
        <w:t xml:space="preserve">33.0</w:t>
      </w:r>
      <w:r>
        <w:t xml:space="preserve">, and</w:t>
      </w:r>
      <w:r>
        <w:t xml:space="preserve"> </w:t>
      </w:r>
      <w:r>
        <w:rPr>
          <w:b/>
        </w:rPr>
        <w:t xml:space="preserve">32.2</w:t>
      </w:r>
      <w:r>
        <w:t xml:space="preserve">% when considering the V3-V4, V4, and V4-V5 regions, respectively. Considering that species designations are unevenly applied and reflect multiple human-imposed biases, the risk of splitting a genome into multiple OTUs is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using ASVs or too fine of a threshold to define OTUs. An ongoing problem for amplicon-based studies is defining a meaningful taxonomic unit</w:t>
      </w:r>
      <w:r>
        <w:t xml:space="preserve"> </w:t>
      </w:r>
      <w:r>
        <w:t xml:space="preserve">(11, 15, 16)</w:t>
      </w:r>
      <w:r>
        <w:t xml:space="preserve">. Since there is no consensus for a biologicaly definition of a bacterial species</w:t>
      </w:r>
      <w:r>
        <w:t xml:space="preserve"> </w:t>
      </w:r>
      <w:r>
        <w:t xml:space="preserve">(17–19)</w:t>
      </w:r>
      <w:r>
        <w:t xml:space="preserve">, microbiologists must accept that how bacterial species are named is biased and that taxonomic rules are not applied in a consistent manner (e.g.,</w:t>
      </w:r>
      <w:r>
        <w:t xml:space="preserve"> </w:t>
      </w:r>
      <w:r>
        <w:t xml:space="preserve">(19, 20)</w:t>
      </w:r>
      <w:r>
        <w:t xml:space="preserve">). This makes it impossible to fit a distance threshold to define an OTU definition that matches a set of species names</w:t>
      </w:r>
      <w:r>
        <w:t xml:space="preserve"> </w:t>
      </w:r>
      <w:r>
        <w:t xml:space="preserve">(21)</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22–24)</w:t>
      </w:r>
      <w:r>
        <w:t xml:space="preserve">. There is general agreement in bacterial systematics that to classify an organism to a bacterial species, phenotypic and genome sequence data are needed</w:t>
      </w:r>
      <w:r>
        <w:t xml:space="preserve"> </w:t>
      </w:r>
      <w:r>
        <w:t xml:space="preserve">(17–20)</w:t>
      </w:r>
      <w:r>
        <w:t xml:space="preserve">. A short sequence from a bacterial genome simply cannot differentiate between species. Moreover, it is difficult to defend a clustering approach that would split a single genome into multiple taxonomic units. It is not biologically plausible to entertain the possibility that parts of a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I disregarded the strain level designations.</w:t>
      </w:r>
    </w:p>
    <w:p>
      <w:pPr>
        <w:pStyle w:val="BodyText"/>
      </w:pPr>
      <w:r>
        <w:rPr>
          <w:b/>
        </w:rPr>
        <w:t xml:space="preserve">(ii) Definition of regions within the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(25, 26)</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 The positions between these coordinates reflect the fragments that would be amplified using commonly used PCR primers.</w:t>
      </w:r>
    </w:p>
    <w:p>
      <w:pPr>
        <w:pStyle w:val="BodyText"/>
      </w:pPr>
      <w:r>
        <w:rPr>
          <w:b/>
        </w:rPr>
        <w:t xml:space="preserve">(iii) Clustering sequences into OTUs.</w:t>
      </w:r>
      <w:r>
        <w:t xml:space="preserve"> </w:t>
      </w:r>
      <w:r>
        <w:t xml:space="preserve">Pairwise distances between sequences were calculated using the dist.seqs command from mothur. The OptiClust algorithm as implemented in mothur was used to assign 16S rRNA gene sequences to OTUs</w:t>
      </w:r>
      <w:r>
        <w:t xml:space="preserve"> </w:t>
      </w:r>
      <w:r>
        <w:t xml:space="preserve">(27)</w:t>
      </w:r>
      <w:r>
        <w:t xml:space="preserve">. Distance thresholds between 0.5 and 10.0% in 0.5 percentage point increments were used to assign sequences to OTUs.</w:t>
      </w:r>
    </w:p>
    <w:p>
      <w:pPr>
        <w:pStyle w:val="BodyText"/>
      </w:pPr>
      <w:r>
        <w:rPr>
          <w:b/>
        </w:rPr>
        <w:t xml:space="preserve">(iv) Controlling for uneven sampling of genomes by species.</w:t>
      </w:r>
      <w:r>
        <w:t xml:space="preserve"> </w:t>
      </w:r>
      <w:r>
        <w:t xml:space="preserve">Because of the uneven distribution of genome sequences across species, for the analysis of splitting genomes and clustering ASVs from different species, I randomly selected one genome from each species. The random selection was repeated 100 times. Analyses based on this randomization reported the median of the 100 randomizations. The intraquartile range between randomizations was less than</w:t>
      </w:r>
      <w:r>
        <w:t xml:space="preserve"> </w:t>
      </w:r>
      <w:r>
        <w:rPr>
          <w:b/>
        </w:rPr>
        <w:t xml:space="preserve">0.0029</w:t>
      </w:r>
      <w:r>
        <w:t xml:space="preserve">. Because the range was so small, the confidence intervals were more narrow than the thickness of the lines in Figures 1 and 2 and were not included.</w:t>
      </w:r>
    </w:p>
    <w:p>
      <w:pPr>
        <w:pStyle w:val="BodyText"/>
      </w:pPr>
      <w:r>
        <w:rPr>
          <w:b/>
        </w:rPr>
        <w:t xml:space="preserve">(v)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w:t>
      </w:r>
      <w:r>
        <w:t xml:space="preserve"> </w:t>
      </w:r>
      <w:r>
        <w:rPr>
          <w:b/>
        </w:rPr>
        <w:t xml:space="preserve">4.0.4</w:t>
      </w:r>
      <w:r>
        <w:t xml:space="preserve">). Within R, I used the tidyverse (v.</w:t>
      </w:r>
      <w:r>
        <w:t xml:space="preserve"> </w:t>
      </w:r>
      <w:r>
        <w:rPr>
          <w:b/>
        </w:rPr>
        <w:t xml:space="preserve">1.3.0</w:t>
      </w:r>
      <w:r>
        <w:t xml:space="preserve">), data.table (v.</w:t>
      </w:r>
      <w:r>
        <w:t xml:space="preserve"> </w:t>
      </w:r>
      <w:r>
        <w:rPr>
          <w:b/>
        </w:rPr>
        <w:t xml:space="preserve">1.13.2</w:t>
      </w:r>
      <w:r>
        <w:t xml:space="preserve">), Rcpp (v.</w:t>
      </w:r>
      <w:r>
        <w:t xml:space="preserve"> </w:t>
      </w:r>
      <w:r>
        <w:rPr>
          <w:b/>
        </w:rPr>
        <w:t xml:space="preserve">1.0.5</w:t>
      </w:r>
      <w:r>
        <w:t xml:space="preserve">), furrr (v.</w:t>
      </w:r>
      <w:r>
        <w:t xml:space="preserve"> </w:t>
      </w:r>
      <w:r>
        <w:rPr>
          <w:b/>
        </w:rPr>
        <w:t xml:space="preserve">0.2.1</w:t>
      </w:r>
      <w:r>
        <w:t xml:space="preserve">), and rmarkdown (v.</w:t>
      </w:r>
      <w:r>
        <w:t xml:space="preserve"> </w:t>
      </w:r>
      <w:r>
        <w:rPr>
          <w:b/>
        </w:rPr>
        <w:t xml:space="preserve">2.5</w:t>
      </w:r>
      <w:r>
        <w:t xml:space="preserve">)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(vi) Note on usage of ASV, OTU, and cluster.</w:t>
      </w:r>
      <w:r>
        <w:t xml:space="preserve"> </w:t>
      </w:r>
      <w:r>
        <w:t xml:space="preserve">I used</w:t>
      </w:r>
      <w:r>
        <w:t xml:space="preserve"> </w:t>
      </w:r>
      <w:r>
        <w:t xml:space="preserve">“</w:t>
      </w:r>
      <w:r>
        <w:t xml:space="preserve">ASV</w:t>
      </w:r>
      <w:r>
        <w:t xml:space="preserve">”</w:t>
      </w:r>
      <w:r>
        <w:t xml:space="preserve"> </w:t>
      </w:r>
      <w:r>
        <w:t xml:space="preserve">to denote the cluster of true 16S rRNA gene sequences that were identical to each other and</w:t>
      </w:r>
      <w:r>
        <w:t xml:space="preserve"> </w:t>
      </w:r>
      <w:r>
        <w:t xml:space="preserve">“</w:t>
      </w:r>
      <w:r>
        <w:t xml:space="preserve">OTU</w:t>
      </w:r>
      <w:r>
        <w:t xml:space="preserve">”</w:t>
      </w:r>
      <w:r>
        <w:t xml:space="preserve"> </w:t>
      </w:r>
      <w:r>
        <w:t xml:space="preserve">to denote the product of distance-based clustering of sequences. Although ASVs do represent a type of operational defition of a taxonomic unit and can be thought of as an OTU formed using a distance of zero, proponents of the ASV approach prefer to avoid the term OTU given the long history of OTUs being formed by distance-based clustering (</w:t>
      </w:r>
      <w:hyperlink r:id="rId24">
        <w:r>
          <w:rPr>
            <w:rStyle w:val="Hyperlink"/>
          </w:rPr>
          <w:t xml:space="preserve">https://github.com/benjjneb/dada2/issues/62</w:t>
        </w:r>
      </w:hyperlink>
      <w:r>
        <w:t xml:space="preserve">; accessed 2021-02-19). For this reason, when an ASV splits a genome into different units, those units were called clusters rather than OTUs.</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 This work was supported, in part, through grants from the NIH (P30DK034933, U01AI124255, and R01CA215574).</w:t>
      </w:r>
    </w:p>
    <w:p>
      <w:r>
        <w:br w:type="page"/>
      </w:r>
    </w:p>
    <w:bookmarkEnd w:id="25"/>
    <w:bookmarkStart w:id="80" w:name="references"/>
    <w:p>
      <w:pPr>
        <w:pStyle w:val="Heading2"/>
      </w:pPr>
      <w:r>
        <w:t xml:space="preserve">References</w:t>
      </w:r>
    </w:p>
    <w:p>
      <w:pPr>
        <w:pStyle w:val="FirstParagraph"/>
      </w:pPr>
    </w:p>
    <w:bookmarkStart w:id="79" w:name="refs"/>
    <w:bookmarkStart w:id="27" w:name="ref-Lane1985"/>
    <w:p>
      <w:pPr>
        <w:pStyle w:val="Bibliography"/>
      </w:pPr>
      <w:r>
        <w:t xml:space="preserve">1. Lane DJ, Pace B, Olsen GJ, Stahl DA, Sogin ML, Pace NR. 1985. Rapid determination of 16S ribosomal RNA sequences for phylogenetic analyses.</w:t>
      </w:r>
      <w:r>
        <w:t xml:space="preserve"> </w:t>
      </w:r>
      <w:r>
        <w:rPr>
          <w:i/>
        </w:rPr>
        <w:t xml:space="preserve">Proceedings of the National Academy of Sciences</w:t>
      </w:r>
      <w:r>
        <w:t xml:space="preserve"> </w:t>
      </w:r>
      <w:r>
        <w:t xml:space="preserve">82:6955–6959. doi:</w:t>
      </w:r>
      <w:r>
        <w:t xml:space="preserve"> </w:t>
      </w:r>
      <w:hyperlink r:id="rId26">
        <w:r>
          <w:rPr>
            <w:rStyle w:val="Hyperlink"/>
          </w:rPr>
          <w:t xml:space="preserve">10.1073/pnas.82.20.6955</w:t>
        </w:r>
      </w:hyperlink>
      <w:r>
        <w:t xml:space="preserve">.</w:t>
      </w:r>
    </w:p>
    <w:bookmarkEnd w:id="27"/>
    <w:bookmarkStart w:id="29" w:name="ref-Stackebrandt1994"/>
    <w:p>
      <w:pPr>
        <w:pStyle w:val="Bibliography"/>
      </w:pPr>
      <w:r>
        <w:t xml:space="preserve">2. Stackebrandt E, Goebel BM. 1994. Taxonomic note: A place for DNA-DNA reassociation and 16S rRNA sequence analysis in the present species definition in bacteriology.</w:t>
      </w:r>
      <w:r>
        <w:t xml:space="preserve"> </w:t>
      </w:r>
      <w:r>
        <w:rPr>
          <w:i/>
        </w:rPr>
        <w:t xml:space="preserve">International Journal of Systematic and Evolutionary Microbiology</w:t>
      </w:r>
      <w:r>
        <w:t xml:space="preserve"> </w:t>
      </w:r>
      <w:r>
        <w:t xml:space="preserve">44:846–849. doi:</w:t>
      </w:r>
      <w:r>
        <w:t xml:space="preserve"> </w:t>
      </w:r>
      <w:hyperlink r:id="rId28">
        <w:r>
          <w:rPr>
            <w:rStyle w:val="Hyperlink"/>
          </w:rPr>
          <w:t xml:space="preserve">10.1099/00207713-44-4-846</w:t>
        </w:r>
      </w:hyperlink>
      <w:r>
        <w:t xml:space="preserve">.</w:t>
      </w:r>
    </w:p>
    <w:bookmarkEnd w:id="29"/>
    <w:bookmarkStart w:id="31" w:name="ref-Goris2007"/>
    <w:p>
      <w:pPr>
        <w:pStyle w:val="Bibliography"/>
      </w:pPr>
      <w:r>
        <w:t xml:space="preserve">3. Goris J, Konstantinidis KT, Klappenbach JA, Coenye T, Vandamme P, Tiedje JM. 2007. DNA-DNA hybridization values and their relationship to whole-genome sequence similarities.</w:t>
      </w:r>
      <w:r>
        <w:t xml:space="preserve"> </w:t>
      </w:r>
      <w:r>
        <w:rPr>
          <w:i/>
        </w:rPr>
        <w:t xml:space="preserve">International Journal of Systematic and Evolutionary Microbiology</w:t>
      </w:r>
      <w:r>
        <w:t xml:space="preserve"> </w:t>
      </w:r>
      <w:r>
        <w:t xml:space="preserve">57:81–91. doi:</w:t>
      </w:r>
      <w:r>
        <w:t xml:space="preserve"> </w:t>
      </w:r>
      <w:hyperlink r:id="rId30">
        <w:r>
          <w:rPr>
            <w:rStyle w:val="Hyperlink"/>
          </w:rPr>
          <w:t xml:space="preserve">10.1099/ijs.0.64483-0</w:t>
        </w:r>
      </w:hyperlink>
      <w:r>
        <w:t xml:space="preserve">.</w:t>
      </w:r>
    </w:p>
    <w:bookmarkEnd w:id="31"/>
    <w:bookmarkStart w:id="33" w:name="ref-RodriguezR2018"/>
    <w:p>
      <w:pPr>
        <w:pStyle w:val="Bibliography"/>
      </w:pPr>
      <w:r>
        <w:t xml:space="preserve">4. Rodriguez-R LM, Castro JC, Kyrpides NC, Cole JR, Tiedje JM, Konstantinidis KT. 2018. How much do rRNA gene surveys underestimate extant bacterial diversity?</w:t>
      </w:r>
      <w:r>
        <w:t xml:space="preserve"> </w:t>
      </w:r>
      <w:r>
        <w:rPr>
          <w:i/>
        </w:rPr>
        <w:t xml:space="preserve">Applied and Environmental Microbiology</w:t>
      </w:r>
      <w:r>
        <w:t xml:space="preserve"> </w:t>
      </w:r>
      <w:r>
        <w:t xml:space="preserve">84:e00014–18. doi:</w:t>
      </w:r>
      <w:r>
        <w:t xml:space="preserve"> </w:t>
      </w:r>
      <w:hyperlink r:id="rId32">
        <w:r>
          <w:rPr>
            <w:rStyle w:val="Hyperlink"/>
          </w:rPr>
          <w:t xml:space="preserve">10.1128/aem.00014-18</w:t>
        </w:r>
      </w:hyperlink>
      <w:r>
        <w:t xml:space="preserve">.</w:t>
      </w:r>
    </w:p>
    <w:bookmarkEnd w:id="33"/>
    <w:bookmarkStart w:id="34" w:name="ref-Stackebrandt2006"/>
    <w:p>
      <w:pPr>
        <w:pStyle w:val="Bibliography"/>
      </w:pPr>
      <w:r>
        <w:t xml:space="preserve">5. Stackebrandt E, Ebers J. 2006. Taxonomic parameters revisited: Tarnished gold standards.</w:t>
      </w:r>
      <w:r>
        <w:t xml:space="preserve"> </w:t>
      </w:r>
      <w:r>
        <w:rPr>
          <w:i/>
        </w:rPr>
        <w:t xml:space="preserve">Microbiol Today</w:t>
      </w:r>
      <w:r>
        <w:t xml:space="preserve"> </w:t>
      </w:r>
      <w:r>
        <w:t xml:space="preserve">33:152–155.</w:t>
      </w:r>
    </w:p>
    <w:bookmarkEnd w:id="34"/>
    <w:bookmarkStart w:id="36" w:name="ref-Edgar2018"/>
    <w:p>
      <w:pPr>
        <w:pStyle w:val="Bibliography"/>
      </w:pPr>
      <w:r>
        <w:t xml:space="preserve">6. Edgar RC. 2018. Updating the 97% identity threshold for 16S ribosomal RNA OTUs.</w:t>
      </w:r>
      <w:r>
        <w:t xml:space="preserve"> </w:t>
      </w:r>
      <w:r>
        <w:rPr>
          <w:i/>
        </w:rPr>
        <w:t xml:space="preserve">Bioinformatics</w:t>
      </w:r>
      <w:r>
        <w:t xml:space="preserve"> </w:t>
      </w:r>
      <w:r>
        <w:t xml:space="preserve">34:2371–2375. doi:</w:t>
      </w:r>
      <w:r>
        <w:t xml:space="preserve"> </w:t>
      </w:r>
      <w:hyperlink r:id="rId35">
        <w:r>
          <w:rPr>
            <w:rStyle w:val="Hyperlink"/>
          </w:rPr>
          <w:t xml:space="preserve">10.1093/bioinformatics/bty113</w:t>
        </w:r>
      </w:hyperlink>
      <w:r>
        <w:t xml:space="preserve">.</w:t>
      </w:r>
    </w:p>
    <w:bookmarkEnd w:id="36"/>
    <w:bookmarkStart w:id="38" w:name="ref-Edgar2016"/>
    <w:p>
      <w:pPr>
        <w:pStyle w:val="Bibliography"/>
      </w:pPr>
      <w:r>
        <w:t xml:space="preserve">7. Edgar RC. 2016. UNOISE2: Improved error-correction for illumina 16S and its amplicon sequencing.</w:t>
      </w:r>
      <w:r>
        <w:t xml:space="preserve"> </w:t>
      </w:r>
      <w:r>
        <w:rPr>
          <w:i/>
        </w:rPr>
        <w:t xml:space="preserve">bioRxiv</w:t>
      </w:r>
      <w:r>
        <w:t xml:space="preserve">. doi:</w:t>
      </w:r>
      <w:r>
        <w:t xml:space="preserve"> </w:t>
      </w:r>
      <w:hyperlink r:id="rId37">
        <w:r>
          <w:rPr>
            <w:rStyle w:val="Hyperlink"/>
          </w:rPr>
          <w:t xml:space="preserve">10.1101/081257</w:t>
        </w:r>
      </w:hyperlink>
      <w:r>
        <w:t xml:space="preserve">.</w:t>
      </w:r>
    </w:p>
    <w:bookmarkEnd w:id="38"/>
    <w:bookmarkStart w:id="40" w:name="ref-Amir2017"/>
    <w:p>
      <w:pPr>
        <w:pStyle w:val="Bibliography"/>
      </w:pPr>
      <w:r>
        <w:t xml:space="preserve">8. Amir A, McDonald D, Navas-Molina JA, Kopylova E, Morton JT, Zech Xu Z, Kightley EP, Thompson LR, Hyde ER, Gonzalez A, Knight R. 2017. Deblur rapidly resolves single-nucleotide community sequence patterns.</w:t>
      </w:r>
      <w:r>
        <w:t xml:space="preserve"> </w:t>
      </w:r>
      <w:r>
        <w:rPr>
          <w:i/>
        </w:rPr>
        <w:t xml:space="preserve">mSystems</w:t>
      </w:r>
      <w:r>
        <w:t xml:space="preserve"> </w:t>
      </w:r>
      <w:r>
        <w:t xml:space="preserve">2:e00191–16. doi:</w:t>
      </w:r>
      <w:r>
        <w:t xml:space="preserve"> </w:t>
      </w:r>
      <w:hyperlink r:id="rId39">
        <w:r>
          <w:rPr>
            <w:rStyle w:val="Hyperlink"/>
          </w:rPr>
          <w:t xml:space="preserve">10.1128/mSystems.00191-16</w:t>
        </w:r>
      </w:hyperlink>
      <w:r>
        <w:t xml:space="preserve">.</w:t>
      </w:r>
    </w:p>
    <w:bookmarkEnd w:id="40"/>
    <w:bookmarkStart w:id="42" w:name="ref-Callahan2016"/>
    <w:p>
      <w:pPr>
        <w:pStyle w:val="Bibliography"/>
      </w:pPr>
      <w:r>
        <w:t xml:space="preserve">9. Callahan BJ, McMurdie PJ, Rosen MJ, Han AW, Johnson AJA, Holmes SP. 2016. DADA2: High-resolution sample inference from illumina amplicon data.</w:t>
      </w:r>
      <w:r>
        <w:t xml:space="preserve"> </w:t>
      </w:r>
      <w:r>
        <w:rPr>
          <w:i/>
        </w:rPr>
        <w:t xml:space="preserve">Nature Methods</w:t>
      </w:r>
      <w:r>
        <w:t xml:space="preserve"> </w:t>
      </w:r>
      <w:r>
        <w:t xml:space="preserve">13:581–583. doi:</w:t>
      </w:r>
      <w:r>
        <w:t xml:space="preserve"> </w:t>
      </w:r>
      <w:hyperlink r:id="rId41">
        <w:r>
          <w:rPr>
            <w:rStyle w:val="Hyperlink"/>
          </w:rPr>
          <w:t xml:space="preserve">10.1038/nmeth.3869</w:t>
        </w:r>
      </w:hyperlink>
      <w:r>
        <w:t xml:space="preserve">.</w:t>
      </w:r>
    </w:p>
    <w:bookmarkEnd w:id="42"/>
    <w:bookmarkStart w:id="44" w:name="ref-Eren2014"/>
    <w:p>
      <w:pPr>
        <w:pStyle w:val="Bibliography"/>
      </w:pPr>
      <w:r>
        <w:t xml:space="preserve">10. Eren AM, Morrison HG, Lescault PJ, Reveillaud J, Vineis JH, Sogin ML. 2014. Minimum entropy decomposition: Unsupervised oligotyping for sensitive partitioning of high-throughput marker gene sequences.</w:t>
      </w:r>
      <w:r>
        <w:t xml:space="preserve"> </w:t>
      </w:r>
      <w:r>
        <w:rPr>
          <w:i/>
        </w:rPr>
        <w:t xml:space="preserve">The ISME Journal</w:t>
      </w:r>
      <w:r>
        <w:t xml:space="preserve"> </w:t>
      </w:r>
      <w:r>
        <w:t xml:space="preserve">9:968–979. doi:</w:t>
      </w:r>
      <w:r>
        <w:t xml:space="preserve"> </w:t>
      </w:r>
      <w:hyperlink r:id="rId43">
        <w:r>
          <w:rPr>
            <w:rStyle w:val="Hyperlink"/>
          </w:rPr>
          <w:t xml:space="preserve">10.1038/ismej.2014.195</w:t>
        </w:r>
      </w:hyperlink>
      <w:r>
        <w:t xml:space="preserve">.</w:t>
      </w:r>
    </w:p>
    <w:bookmarkEnd w:id="44"/>
    <w:bookmarkStart w:id="46" w:name="ref-Callahan2017"/>
    <w:p>
      <w:pPr>
        <w:pStyle w:val="Bibliography"/>
      </w:pPr>
      <w:r>
        <w:t xml:space="preserve">11. Callahan BJ, McMurdie PJ, Holmes SP. 2017. Exact sequence variants should replace operational taxonomic units in marker-gene data analysis.</w:t>
      </w:r>
      <w:r>
        <w:t xml:space="preserve"> </w:t>
      </w:r>
      <w:r>
        <w:rPr>
          <w:i/>
        </w:rPr>
        <w:t xml:space="preserve">The ISME Journal</w:t>
      </w:r>
      <w:r>
        <w:t xml:space="preserve"> </w:t>
      </w:r>
      <w:r>
        <w:t xml:space="preserve">11:2639–2643. doi:</w:t>
      </w:r>
      <w:r>
        <w:t xml:space="preserve"> </w:t>
      </w:r>
      <w:hyperlink r:id="rId45">
        <w:r>
          <w:rPr>
            <w:rStyle w:val="Hyperlink"/>
          </w:rPr>
          <w:t xml:space="preserve">10.1038/ismej.2017.119</w:t>
        </w:r>
      </w:hyperlink>
      <w:r>
        <w:t xml:space="preserve">.</w:t>
      </w:r>
    </w:p>
    <w:bookmarkEnd w:id="46"/>
    <w:bookmarkStart w:id="48"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w:t>
      </w:r>
      <w:r>
        <w:t xml:space="preserve"> </w:t>
      </w:r>
      <w:r>
        <w:rPr>
          <w:i/>
        </w:rPr>
        <w:t xml:space="preserve">Applied and Environmental Microbiology</w:t>
      </w:r>
      <w:r>
        <w:t xml:space="preserve"> </w:t>
      </w:r>
      <w:r>
        <w:t xml:space="preserve">76:3886–3897. doi:</w:t>
      </w:r>
      <w:r>
        <w:t xml:space="preserve"> </w:t>
      </w:r>
      <w:hyperlink r:id="rId47">
        <w:r>
          <w:rPr>
            <w:rStyle w:val="Hyperlink"/>
          </w:rPr>
          <w:t xml:space="preserve">10.1128/aem.02953-09</w:t>
        </w:r>
      </w:hyperlink>
      <w:r>
        <w:t xml:space="preserve">.</w:t>
      </w:r>
    </w:p>
    <w:bookmarkEnd w:id="48"/>
    <w:bookmarkStart w:id="50" w:name="ref-Sun2013"/>
    <w:p>
      <w:pPr>
        <w:pStyle w:val="Bibliography"/>
      </w:pPr>
      <w:r>
        <w:t xml:space="preserve">13. Sun D-L, Jiang X, Wu QL, Zhou N-Y. 2013. Intragenomic heterogeneity of 16S rRNA genes causes overestimation of prokaryotic diversity.</w:t>
      </w:r>
      <w:r>
        <w:t xml:space="preserve"> </w:t>
      </w:r>
      <w:r>
        <w:rPr>
          <w:i/>
        </w:rPr>
        <w:t xml:space="preserve">Applied and Environmental Microbiology</w:t>
      </w:r>
      <w:r>
        <w:t xml:space="preserve"> </w:t>
      </w:r>
      <w:r>
        <w:t xml:space="preserve">79:5962–5969. doi:</w:t>
      </w:r>
      <w:r>
        <w:t xml:space="preserve"> </w:t>
      </w:r>
      <w:hyperlink r:id="rId49">
        <w:r>
          <w:rPr>
            <w:rStyle w:val="Hyperlink"/>
          </w:rPr>
          <w:t xml:space="preserve">10.1128/aem.01282-13</w:t>
        </w:r>
      </w:hyperlink>
      <w:r>
        <w:t xml:space="preserve">.</w:t>
      </w:r>
    </w:p>
    <w:bookmarkEnd w:id="50"/>
    <w:bookmarkStart w:id="52" w:name="ref-Stoddard2014"/>
    <w:p>
      <w:pPr>
        <w:pStyle w:val="Bibliography"/>
      </w:pPr>
      <w:r>
        <w:t xml:space="preserve">14. Stoddard SF, Smith BJ, Hein R, Roller BRK, Schmidt TM. 2014.</w:t>
      </w:r>
      <w:r>
        <w:t xml:space="preserve"> </w:t>
      </w:r>
      <w:r>
        <w:rPr>
          <w:i/>
        </w:rPr>
        <w:t xml:space="preserve">rrn</w:t>
      </w:r>
      <w:r>
        <w:t xml:space="preserve">DB: Improved tools for interpreting rRNA gene abundance in bacteria and archaea and a new foundation for future development.</w:t>
      </w:r>
      <w:r>
        <w:t xml:space="preserve"> </w:t>
      </w:r>
      <w:r>
        <w:rPr>
          <w:i/>
        </w:rPr>
        <w:t xml:space="preserve">Nucleic Acids Research</w:t>
      </w:r>
      <w:r>
        <w:t xml:space="preserve"> </w:t>
      </w:r>
      <w:r>
        <w:t xml:space="preserve">43:D593–D598. doi:</w:t>
      </w:r>
      <w:r>
        <w:t xml:space="preserve"> </w:t>
      </w:r>
      <w:hyperlink r:id="rId51">
        <w:r>
          <w:rPr>
            <w:rStyle w:val="Hyperlink"/>
          </w:rPr>
          <w:t xml:space="preserve">10.1093/nar/gku1201</w:t>
        </w:r>
      </w:hyperlink>
      <w:r>
        <w:t xml:space="preserve">.</w:t>
      </w:r>
    </w:p>
    <w:bookmarkEnd w:id="52"/>
    <w:bookmarkStart w:id="54" w:name="ref-Schloss2011"/>
    <w:p>
      <w:pPr>
        <w:pStyle w:val="Bibliography"/>
      </w:pPr>
      <w:r>
        <w:t xml:space="preserve">15. Schloss PD, Westcott SL. 2011. Assessing and improving methods used in operational taxonomic unit-based approaches for 16S rRNA gene sequence analysis.</w:t>
      </w:r>
      <w:r>
        <w:t xml:space="preserve"> </w:t>
      </w:r>
      <w:r>
        <w:rPr>
          <w:i/>
        </w:rPr>
        <w:t xml:space="preserve">Applied and Environmental Microbiology</w:t>
      </w:r>
      <w:r>
        <w:t xml:space="preserve"> </w:t>
      </w:r>
      <w:r>
        <w:t xml:space="preserve">77:3219–3226. doi:</w:t>
      </w:r>
      <w:r>
        <w:t xml:space="preserve"> </w:t>
      </w:r>
      <w:hyperlink r:id="rId53">
        <w:r>
          <w:rPr>
            <w:rStyle w:val="Hyperlink"/>
          </w:rPr>
          <w:t xml:space="preserve">10.1128/aem.02810-10</w:t>
        </w:r>
      </w:hyperlink>
      <w:r>
        <w:t xml:space="preserve">.</w:t>
      </w:r>
    </w:p>
    <w:bookmarkEnd w:id="54"/>
    <w:bookmarkStart w:id="56"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w:t>
      </w:r>
      <w:r>
        <w:t xml:space="preserve"> </w:t>
      </w:r>
      <w:r>
        <w:rPr>
          <w:i/>
        </w:rPr>
        <w:t xml:space="preserve">Nature Communications</w:t>
      </w:r>
      <w:r>
        <w:t xml:space="preserve"> </w:t>
      </w:r>
      <w:r>
        <w:t xml:space="preserve">10:5029. doi:</w:t>
      </w:r>
      <w:r>
        <w:t xml:space="preserve"> </w:t>
      </w:r>
      <w:hyperlink r:id="rId55">
        <w:r>
          <w:rPr>
            <w:rStyle w:val="Hyperlink"/>
          </w:rPr>
          <w:t xml:space="preserve">10.1038/s41467-019-13036-1</w:t>
        </w:r>
      </w:hyperlink>
      <w:r>
        <w:t xml:space="preserve">.</w:t>
      </w:r>
    </w:p>
    <w:bookmarkEnd w:id="56"/>
    <w:bookmarkStart w:id="58" w:name="ref-Staley2006"/>
    <w:p>
      <w:pPr>
        <w:pStyle w:val="Bibliography"/>
      </w:pPr>
      <w:r>
        <w:t xml:space="preserve">17. Staley JT. 2006. The bacterial species dilemma and the genomicphylogenetic species concept.</w:t>
      </w:r>
      <w:r>
        <w:t xml:space="preserve"> </w:t>
      </w:r>
      <w:r>
        <w:rPr>
          <w:i/>
        </w:rPr>
        <w:t xml:space="preserve">Philosophical Transactions of the Royal Society B: Biological Sciences</w:t>
      </w:r>
      <w:r>
        <w:t xml:space="preserve"> </w:t>
      </w:r>
      <w:r>
        <w:t xml:space="preserve">361:1899–1909. doi:</w:t>
      </w:r>
      <w:r>
        <w:t xml:space="preserve"> </w:t>
      </w:r>
      <w:hyperlink r:id="rId57">
        <w:r>
          <w:rPr>
            <w:rStyle w:val="Hyperlink"/>
          </w:rPr>
          <w:t xml:space="preserve">10.1098/rstb.2006.1914</w:t>
        </w:r>
      </w:hyperlink>
      <w:r>
        <w:t xml:space="preserve">.</w:t>
      </w:r>
    </w:p>
    <w:bookmarkEnd w:id="58"/>
    <w:bookmarkStart w:id="60" w:name="ref-Oren2013"/>
    <w:p>
      <w:pPr>
        <w:pStyle w:val="Bibliography"/>
      </w:pPr>
      <w:r>
        <w:t xml:space="preserve">18. Oren A, Garrity GM. 2013. Then and now: A systematic review of the systematics of prokaryotes in the last 80 years.</w:t>
      </w:r>
      <w:r>
        <w:t xml:space="preserve"> </w:t>
      </w:r>
      <w:r>
        <w:rPr>
          <w:i/>
        </w:rPr>
        <w:t xml:space="preserve">Antonie van Leeuwenhoek</w:t>
      </w:r>
      <w:r>
        <w:t xml:space="preserve"> </w:t>
      </w:r>
      <w:r>
        <w:t xml:space="preserve">106:43–56. doi:</w:t>
      </w:r>
      <w:r>
        <w:t xml:space="preserve"> </w:t>
      </w:r>
      <w:hyperlink r:id="rId59">
        <w:r>
          <w:rPr>
            <w:rStyle w:val="Hyperlink"/>
          </w:rPr>
          <w:t xml:space="preserve">10.1007/s10482-013-0084-1</w:t>
        </w:r>
      </w:hyperlink>
      <w:r>
        <w:t xml:space="preserve">.</w:t>
      </w:r>
    </w:p>
    <w:bookmarkEnd w:id="60"/>
    <w:bookmarkStart w:id="62" w:name="ref-Sanford2021"/>
    <w:p>
      <w:pPr>
        <w:pStyle w:val="Bibliography"/>
      </w:pPr>
      <w:r>
        <w:t xml:space="preserve">19. Sanford RA, Lloyd KG, Konstantinidis KT, Löffler FE. 2021. Microbial taxonomy run amok.</w:t>
      </w:r>
      <w:r>
        <w:t xml:space="preserve"> </w:t>
      </w:r>
      <w:r>
        <w:rPr>
          <w:i/>
        </w:rPr>
        <w:t xml:space="preserve">Trends in Microbiology</w:t>
      </w:r>
      <w:r>
        <w:t xml:space="preserve">. doi:</w:t>
      </w:r>
      <w:r>
        <w:t xml:space="preserve"> </w:t>
      </w:r>
      <w:hyperlink r:id="rId61">
        <w:r>
          <w:rPr>
            <w:rStyle w:val="Hyperlink"/>
          </w:rPr>
          <w:t xml:space="preserve">10.1016/j.tim.2020.12.010</w:t>
        </w:r>
      </w:hyperlink>
      <w:r>
        <w:t xml:space="preserve">.</w:t>
      </w:r>
    </w:p>
    <w:bookmarkEnd w:id="62"/>
    <w:bookmarkStart w:id="64" w:name="ref-Baltrus2016"/>
    <w:p>
      <w:pPr>
        <w:pStyle w:val="Bibliography"/>
      </w:pPr>
      <w:r>
        <w:t xml:space="preserve">20. Baltrus DA, McCann HC, Guttman DS. 2016. Evolution, genomics and epidemiology of</w:t>
      </w:r>
      <w:r>
        <w:t xml:space="preserve"> </w:t>
      </w:r>
      <w:r>
        <w:rPr>
          <w:i/>
        </w:rPr>
        <w:t xml:space="preserve">Pseudomonas syringae</w:t>
      </w:r>
      <w:r>
        <w:t xml:space="preserve">.</w:t>
      </w:r>
      <w:r>
        <w:t xml:space="preserve"> </w:t>
      </w:r>
      <w:r>
        <w:rPr>
          <w:i/>
        </w:rPr>
        <w:t xml:space="preserve">Molecular Plant Pathology</w:t>
      </w:r>
      <w:r>
        <w:t xml:space="preserve"> </w:t>
      </w:r>
      <w:r>
        <w:t xml:space="preserve">18:152–168. doi:</w:t>
      </w:r>
      <w:r>
        <w:t xml:space="preserve"> </w:t>
      </w:r>
      <w:hyperlink r:id="rId63">
        <w:r>
          <w:rPr>
            <w:rStyle w:val="Hyperlink"/>
          </w:rPr>
          <w:t xml:space="preserve">10.1111/mpp.12506</w:t>
        </w:r>
      </w:hyperlink>
      <w:r>
        <w:t xml:space="preserve">.</w:t>
      </w:r>
    </w:p>
    <w:bookmarkEnd w:id="64"/>
    <w:bookmarkStart w:id="66" w:name="ref-Konstantinidis2005"/>
    <w:p>
      <w:pPr>
        <w:pStyle w:val="Bibliography"/>
      </w:pPr>
      <w:r>
        <w:t xml:space="preserve">21. Konstantinidis KT, Tiedje JM. 2005. Towards a genome-based taxonomy for prokaryotes.</w:t>
      </w:r>
      <w:r>
        <w:t xml:space="preserve"> </w:t>
      </w:r>
      <w:r>
        <w:rPr>
          <w:i/>
        </w:rPr>
        <w:t xml:space="preserve">Journal of Bacteriology</w:t>
      </w:r>
      <w:r>
        <w:t xml:space="preserve"> </w:t>
      </w:r>
      <w:r>
        <w:t xml:space="preserve">187:6258–6264. doi:</w:t>
      </w:r>
      <w:r>
        <w:t xml:space="preserve"> </w:t>
      </w:r>
      <w:hyperlink r:id="rId65">
        <w:r>
          <w:rPr>
            <w:rStyle w:val="Hyperlink"/>
          </w:rPr>
          <w:t xml:space="preserve">10.1128/jb.187.18.6258-6264.2005</w:t>
        </w:r>
      </w:hyperlink>
      <w:r>
        <w:t xml:space="preserve">.</w:t>
      </w:r>
    </w:p>
    <w:bookmarkEnd w:id="66"/>
    <w:bookmarkStart w:id="68" w:name="ref-Barco2020"/>
    <w:p>
      <w:pPr>
        <w:pStyle w:val="Bibliography"/>
      </w:pPr>
      <w:r>
        <w:t xml:space="preserve">22. Barco RA, Garrity GM, Scott JJ, Amend JP, Nealson KH, Emerson D. 2020. A genus definition for bacteria and archaea based on a standard genome relatedness index.</w:t>
      </w:r>
      <w:r>
        <w:t xml:space="preserve"> </w:t>
      </w:r>
      <w:r>
        <w:rPr>
          <w:i/>
        </w:rPr>
        <w:t xml:space="preserve">mBio</w:t>
      </w:r>
      <w:r>
        <w:t xml:space="preserve"> </w:t>
      </w:r>
      <w:r>
        <w:t xml:space="preserve">11:02475–19. doi:</w:t>
      </w:r>
      <w:r>
        <w:t xml:space="preserve"> </w:t>
      </w:r>
      <w:hyperlink r:id="rId67">
        <w:r>
          <w:rPr>
            <w:rStyle w:val="Hyperlink"/>
          </w:rPr>
          <w:t xml:space="preserve">10.1128/mbio.02475-19</w:t>
        </w:r>
      </w:hyperlink>
      <w:r>
        <w:t xml:space="preserve">.</w:t>
      </w:r>
    </w:p>
    <w:bookmarkEnd w:id="68"/>
    <w:bookmarkStart w:id="70" w:name="ref-Parks2020"/>
    <w:p>
      <w:pPr>
        <w:pStyle w:val="Bibliography"/>
      </w:pPr>
      <w:r>
        <w:t xml:space="preserve">23. Parks DH, Chuvochina M, Chaumeil P-A, Rinke C, Mussig AJ, Hugenholtz P. 2020. A complete domain-to-species taxonomy for bacteria and archaea.</w:t>
      </w:r>
      <w:r>
        <w:t xml:space="preserve"> </w:t>
      </w:r>
      <w:r>
        <w:rPr>
          <w:i/>
        </w:rPr>
        <w:t xml:space="preserve">Nature Biotechnology</w:t>
      </w:r>
      <w:r>
        <w:t xml:space="preserve"> </w:t>
      </w:r>
      <w:r>
        <w:t xml:space="preserve">38:1079–1086. doi:</w:t>
      </w:r>
      <w:r>
        <w:t xml:space="preserve"> </w:t>
      </w:r>
      <w:hyperlink r:id="rId69">
        <w:r>
          <w:rPr>
            <w:rStyle w:val="Hyperlink"/>
          </w:rPr>
          <w:t xml:space="preserve">10.1038/s41587-020-0501-8</w:t>
        </w:r>
      </w:hyperlink>
      <w:r>
        <w:t xml:space="preserve">.</w:t>
      </w:r>
    </w:p>
    <w:bookmarkEnd w:id="70"/>
    <w:bookmarkStart w:id="72" w:name="ref-Yarza2014"/>
    <w:p>
      <w:pPr>
        <w:pStyle w:val="Bibliography"/>
      </w:pPr>
      <w:r>
        <w:t xml:space="preserve">24. Yarza P, Yilmaz P, Pruesse E, Glöckner FO, Ludwig W, Schleifer K-H, Whitman WB, Euzéby J, Amann R, Rosselló-Móra R. 2014. Uniting the classification of cultured and uncultured bacteria and archaea using 16S rRNA gene sequences.</w:t>
      </w:r>
      <w:r>
        <w:t xml:space="preserve"> </w:t>
      </w:r>
      <w:r>
        <w:rPr>
          <w:i/>
        </w:rPr>
        <w:t xml:space="preserve">Nature Reviews Microbiology</w:t>
      </w:r>
      <w:r>
        <w:t xml:space="preserve"> </w:t>
      </w:r>
      <w:r>
        <w:t xml:space="preserve">12:635–645. doi:</w:t>
      </w:r>
      <w:r>
        <w:t xml:space="preserve"> </w:t>
      </w:r>
      <w:hyperlink r:id="rId71">
        <w:r>
          <w:rPr>
            <w:rStyle w:val="Hyperlink"/>
          </w:rPr>
          <w:t xml:space="preserve">10.1038/nrmicro3330</w:t>
        </w:r>
      </w:hyperlink>
      <w:r>
        <w:t xml:space="preserve">.</w:t>
      </w:r>
    </w:p>
    <w:bookmarkEnd w:id="72"/>
    <w:bookmarkStart w:id="74" w:name="ref-Schloss2009"/>
    <w:p>
      <w:pPr>
        <w:pStyle w:val="Bibliography"/>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75:7537–7541. doi:</w:t>
      </w:r>
      <w:r>
        <w:t xml:space="preserve"> </w:t>
      </w:r>
      <w:hyperlink r:id="rId73">
        <w:r>
          <w:rPr>
            <w:rStyle w:val="Hyperlink"/>
          </w:rPr>
          <w:t xml:space="preserve">10.1128/aem.01541-09</w:t>
        </w:r>
      </w:hyperlink>
      <w:r>
        <w:t xml:space="preserve">.</w:t>
      </w:r>
    </w:p>
    <w:bookmarkEnd w:id="74"/>
    <w:bookmarkStart w:id="76" w:name="ref-Quast2012"/>
    <w:p>
      <w:pPr>
        <w:pStyle w:val="Bibliography"/>
      </w:pPr>
      <w:r>
        <w:t xml:space="preserve">26. Quast C, Pruesse E, Yilmaz P, Gerken J, Schweer T, Yarza P, Peplies J, Glöckner FO. 2012. The SILVA ribosomal RNA gene database project: Improved data processing and web-based tools.</w:t>
      </w:r>
      <w:r>
        <w:t xml:space="preserve"> </w:t>
      </w:r>
      <w:r>
        <w:rPr>
          <w:i/>
        </w:rPr>
        <w:t xml:space="preserve">Nucleic Acids Research</w:t>
      </w:r>
      <w:r>
        <w:t xml:space="preserve"> </w:t>
      </w:r>
      <w:r>
        <w:t xml:space="preserve">41:D590–D596. doi:</w:t>
      </w:r>
      <w:r>
        <w:t xml:space="preserve"> </w:t>
      </w:r>
      <w:hyperlink r:id="rId75">
        <w:r>
          <w:rPr>
            <w:rStyle w:val="Hyperlink"/>
          </w:rPr>
          <w:t xml:space="preserve">10.1093/nar/gks1219</w:t>
        </w:r>
      </w:hyperlink>
      <w:r>
        <w:t xml:space="preserve">.</w:t>
      </w:r>
    </w:p>
    <w:bookmarkEnd w:id="76"/>
    <w:bookmarkStart w:id="78" w:name="ref-Westcott2017"/>
    <w:p>
      <w:pPr>
        <w:pStyle w:val="Bibliography"/>
      </w:pPr>
      <w:r>
        <w:t xml:space="preserve">27. Westcott SL, Schloss PD. 2017. OptiClust, an improved method for assigning amplicon-based sequence data to operational taxonomic units.</w:t>
      </w:r>
      <w:r>
        <w:t xml:space="preserve"> </w:t>
      </w:r>
      <w:r>
        <w:rPr>
          <w:i/>
        </w:rPr>
        <w:t xml:space="preserve">mSphere</w:t>
      </w:r>
      <w:r>
        <w:t xml:space="preserve"> </w:t>
      </w:r>
      <w:r>
        <w:t xml:space="preserve">2:00073–17. doi:</w:t>
      </w:r>
      <w:r>
        <w:t xml:space="preserve"> </w:t>
      </w:r>
      <w:hyperlink r:id="rId77">
        <w:r>
          <w:rPr>
            <w:rStyle w:val="Hyperlink"/>
          </w:rPr>
          <w:t xml:space="preserve">10.1128/mspheredirect.00073-17</w:t>
        </w:r>
      </w:hyperlink>
      <w:r>
        <w:t xml:space="preserve">.</w:t>
      </w:r>
    </w:p>
    <w:bookmarkEnd w:id="78"/>
    <w:bookmarkEnd w:id="79"/>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genomes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fraction of genomes split into separate OTUs decreased while the fraction of ASVs and OTUs representing multiple species increased.</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in the</w:t>
      </w:r>
      <w:r>
        <w:rPr>
          <w:b/>
        </w:rPr>
        <w:t xml:space="preserve"> </w:t>
      </w:r>
      <w:r>
        <w:rPr>
          <w:i/>
          <w:b/>
        </w:rPr>
        <w:t xml:space="preserve">rrn</w:t>
      </w:r>
      <w:r>
        <w:rPr>
          <w:b/>
        </w:rPr>
        <w:t xml:space="preserve">DB for that species increased.</w:t>
      </w:r>
      <w:r>
        <w:t xml:space="preserve"> </w:t>
      </w:r>
      <w:r>
        <w:t xml:space="preserve">Each point represents a different species and was shaded to be 80% transparent so that when points overlap they become darker. The blue line represents a smoothed fit through the data. Both axes use a logarithmic scale (base 10).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2021-02-22T15:50:19Z</dcterms:created>
  <dcterms:modified xsi:type="dcterms:W3CDTF">2021-02-22T15:50:19Z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