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91ED" w14:textId="77777777" w:rsidR="003D196D" w:rsidRPr="003D196D" w:rsidRDefault="00390C45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A35C90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4E951B90" wp14:editId="07777777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72A665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FD7B367" w14:textId="77777777" w:rsidTr="28AB371F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2751060" w14:textId="11F3686A" w:rsidR="003D196D" w:rsidRPr="003D196D" w:rsidRDefault="00C0685A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9571D" w:rsidRPr="00036B73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RICARD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9571D" w:rsidRPr="00036B73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Maxime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73E9CCDF" w14:textId="75C29AA1" w:rsidR="003D196D" w:rsidRPr="002E50F3" w:rsidRDefault="003D196D" w:rsidP="309BC173">
            <w:pPr>
              <w:ind w:left="-142" w:right="-99"/>
              <w:jc w:val="center"/>
              <w:rPr>
                <w:rFonts w:ascii="Titillium" w:hAnsi="Titillium" w:cs="Arial"/>
                <w:b/>
                <w:bCs/>
                <w:sz w:val="24"/>
                <w:szCs w:val="24"/>
              </w:rPr>
            </w:pPr>
            <w:r w:rsidRPr="309BC173">
              <w:rPr>
                <w:rFonts w:ascii="Titillium" w:hAnsi="Titillium" w:cs="Arial"/>
                <w:b/>
                <w:bCs/>
                <w:sz w:val="24"/>
                <w:szCs w:val="24"/>
              </w:rPr>
              <w:t>A valid</w:t>
            </w:r>
            <w:r w:rsidR="5C2EECE8" w:rsidRPr="309BC173">
              <w:rPr>
                <w:rFonts w:ascii="Titillium" w:hAnsi="Titillium" w:cs="Arial"/>
                <w:b/>
                <w:bCs/>
                <w:sz w:val="24"/>
                <w:szCs w:val="24"/>
              </w:rPr>
              <w:t>é</w:t>
            </w:r>
            <w:r w:rsidRPr="309BC173">
              <w:rPr>
                <w:rFonts w:ascii="Titillium" w:hAnsi="Titillium" w:cs="Arial"/>
                <w:b/>
                <w:bCs/>
                <w:sz w:val="24"/>
                <w:szCs w:val="24"/>
              </w:rPr>
              <w:t xml:space="preserve"> la session de formation suivante :</w:t>
            </w:r>
          </w:p>
          <w:p w14:paraId="5B0EA7B7" w14:textId="6A7CC32F" w:rsidR="23826793" w:rsidRDefault="23826793" w:rsidP="7316AA2D">
            <w:pPr>
              <w:tabs>
                <w:tab w:val="left" w:pos="284"/>
              </w:tabs>
              <w:spacing w:line="259" w:lineRule="auto"/>
              <w:jc w:val="center"/>
            </w:pPr>
            <w:r w:rsidRPr="7316AA2D">
              <w:rPr>
                <w:rFonts w:ascii="Titillium" w:hAnsi="Titillium" w:cs="Arial"/>
                <w:sz w:val="24"/>
                <w:szCs w:val="24"/>
              </w:rPr>
              <w:t>MAGASINAGE</w:t>
            </w:r>
          </w:p>
          <w:p w14:paraId="55CEA673" w14:textId="22F767D4" w:rsidR="003D196D" w:rsidRDefault="00C0685A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39571D" w:rsidRPr="00036B73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  <w:r w:rsidR="00A93BDD" w:rsidRPr="003D196D">
              <w:rPr>
                <w:rFonts w:ascii="Titillium" w:hAnsi="Titillium" w:cs="Arial"/>
                <w:b/>
                <w:iCs/>
                <w:sz w:val="48"/>
                <w:szCs w:val="48"/>
              </w:rPr>
              <w:t xml:space="preserve"> </w:t>
            </w:r>
          </w:p>
          <w:p w14:paraId="0B6D4AF4" w14:textId="06168EDE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28AB371F">
              <w:rPr>
                <w:rFonts w:ascii="Titillium" w:hAnsi="Titillium" w:cs="Arial"/>
                <w:b/>
                <w:bCs/>
              </w:rPr>
              <w:t>Dates de la formation</w:t>
            </w:r>
            <w:r w:rsidRPr="28AB371F">
              <w:rPr>
                <w:rFonts w:ascii="Calibri" w:hAnsi="Calibri" w:cs="Calibri"/>
              </w:rPr>
              <w:t> </w:t>
            </w:r>
            <w:r w:rsidRPr="28AB371F">
              <w:rPr>
                <w:rFonts w:ascii="Titillium" w:hAnsi="Titillium" w:cs="Arial"/>
              </w:rPr>
              <w:t xml:space="preserve">: </w:t>
            </w:r>
            <w:r w:rsidR="04259B70" w:rsidRPr="28AB371F">
              <w:rPr>
                <w:rFonts w:ascii="Titillium" w:hAnsi="Titillium" w:cs="Arial"/>
              </w:rPr>
              <w:t xml:space="preserve">   </w:t>
            </w:r>
            <w:r w:rsidRPr="28AB371F">
              <w:rPr>
                <w:rFonts w:ascii="Titillium" w:hAnsi="Titillium" w:cs="Arial"/>
              </w:rPr>
              <w:t xml:space="preserve">du </w:t>
            </w:r>
            <w:r w:rsidR="00C0685A">
              <w:rPr>
                <w:rFonts w:ascii="Titillium" w:hAnsi="Titillium" w:cs="Arial"/>
                <w:b/>
                <w:bCs/>
              </w:rPr>
              <w:fldChar w:fldCharType="begin"/>
            </w:r>
            <w:r w:rsidR="00C0685A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C0685A">
              <w:rPr>
                <w:rFonts w:ascii="Titillium" w:hAnsi="Titillium" w:cs="Arial"/>
                <w:b/>
                <w:bCs/>
              </w:rPr>
              <w:fldChar w:fldCharType="separate"/>
            </w:r>
            <w:r w:rsidR="0039571D" w:rsidRPr="00036B73">
              <w:rPr>
                <w:rFonts w:ascii="Titillium" w:hAnsi="Titillium" w:cs="Arial"/>
                <w:b/>
                <w:bCs/>
                <w:noProof/>
              </w:rPr>
              <w:t>2025-10-22 13:00</w:t>
            </w:r>
            <w:r w:rsidR="00C0685A">
              <w:rPr>
                <w:rFonts w:ascii="Titillium" w:hAnsi="Titillium" w:cs="Arial"/>
                <w:b/>
                <w:bCs/>
              </w:rPr>
              <w:fldChar w:fldCharType="end"/>
            </w:r>
            <w:r w:rsidRPr="28AB371F">
              <w:rPr>
                <w:rFonts w:ascii="Titillium" w:hAnsi="Titillium" w:cs="Arial"/>
              </w:rPr>
              <w:t xml:space="preserve"> au </w:t>
            </w:r>
            <w:r w:rsidR="00C0685A">
              <w:rPr>
                <w:rFonts w:ascii="Titillium" w:hAnsi="Titillium" w:cs="Arial"/>
                <w:b/>
                <w:bCs/>
              </w:rPr>
              <w:fldChar w:fldCharType="begin"/>
            </w:r>
            <w:r w:rsidR="00C0685A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C0685A">
              <w:rPr>
                <w:rFonts w:ascii="Titillium" w:hAnsi="Titillium" w:cs="Arial"/>
                <w:b/>
                <w:bCs/>
              </w:rPr>
              <w:fldChar w:fldCharType="separate"/>
            </w:r>
            <w:r w:rsidR="0039571D" w:rsidRPr="00036B73">
              <w:rPr>
                <w:rFonts w:ascii="Titillium" w:hAnsi="Titillium" w:cs="Arial"/>
                <w:b/>
                <w:bCs/>
                <w:noProof/>
              </w:rPr>
              <w:t>2025-10-23 17:00</w:t>
            </w:r>
            <w:r w:rsidR="00C0685A">
              <w:rPr>
                <w:rFonts w:ascii="Titillium" w:hAnsi="Titillium" w:cs="Arial"/>
                <w:b/>
                <w:bCs/>
              </w:rPr>
              <w:fldChar w:fldCharType="end"/>
            </w:r>
            <w:r w:rsidRPr="28AB371F">
              <w:rPr>
                <w:rFonts w:ascii="Titillium" w:hAnsi="Titillium" w:cs="Arial"/>
              </w:rPr>
              <w:t xml:space="preserve"> pour une durée de </w:t>
            </w:r>
            <w:r w:rsidR="00C0685A">
              <w:rPr>
                <w:rFonts w:ascii="Titillium" w:hAnsi="Titillium" w:cs="Arial"/>
              </w:rPr>
              <w:fldChar w:fldCharType="begin"/>
            </w:r>
            <w:r w:rsidR="00C0685A">
              <w:rPr>
                <w:rFonts w:ascii="Titillium" w:hAnsi="Titillium" w:cs="Arial"/>
              </w:rPr>
              <w:instrText xml:space="preserve"> MERGEFIELD duration_in_hours </w:instrText>
            </w:r>
            <w:r w:rsidR="00C0685A">
              <w:rPr>
                <w:rFonts w:ascii="Titillium" w:hAnsi="Titillium" w:cs="Arial"/>
              </w:rPr>
              <w:fldChar w:fldCharType="separate"/>
            </w:r>
            <w:r w:rsidR="0039571D" w:rsidRPr="00036B73">
              <w:rPr>
                <w:rFonts w:ascii="Titillium" w:hAnsi="Titillium" w:cs="Arial"/>
                <w:noProof/>
              </w:rPr>
              <w:t>12</w:t>
            </w:r>
            <w:r w:rsidR="00C0685A">
              <w:rPr>
                <w:rFonts w:ascii="Titillium" w:hAnsi="Titillium" w:cs="Arial"/>
              </w:rPr>
              <w:fldChar w:fldCharType="end"/>
            </w:r>
            <w:r w:rsidRPr="28AB371F">
              <w:rPr>
                <w:rFonts w:ascii="Titillium" w:hAnsi="Titillium" w:cs="Arial"/>
              </w:rPr>
              <w:t>.</w:t>
            </w:r>
          </w:p>
          <w:p w14:paraId="09A33ABD" w14:textId="2A6D5404" w:rsidR="003D196D" w:rsidRDefault="003D196D" w:rsidP="309BC173">
            <w:pPr>
              <w:rPr>
                <w:rFonts w:ascii="Titillium" w:hAnsi="Titillium" w:cs="Arial"/>
                <w:sz w:val="24"/>
                <w:szCs w:val="24"/>
              </w:rPr>
            </w:pPr>
            <w:r w:rsidRPr="309BC173">
              <w:rPr>
                <w:rFonts w:ascii="Titillium" w:hAnsi="Titillium" w:cs="Arial"/>
                <w:b/>
                <w:bCs/>
              </w:rPr>
              <w:t>Lieu de la formation</w:t>
            </w:r>
            <w:r w:rsidRPr="309BC173">
              <w:rPr>
                <w:rFonts w:ascii="Calibri" w:hAnsi="Calibri" w:cs="Calibri"/>
                <w:b/>
                <w:bCs/>
              </w:rPr>
              <w:t> </w:t>
            </w:r>
            <w:r w:rsidRPr="309BC173">
              <w:rPr>
                <w:rFonts w:ascii="Titillium" w:hAnsi="Titillium" w:cs="Arial"/>
                <w:b/>
                <w:bCs/>
              </w:rPr>
              <w:t>:</w:t>
            </w:r>
            <w:r>
              <w:tab/>
            </w:r>
            <w:r w:rsidRPr="309BC173">
              <w:rPr>
                <w:rFonts w:ascii="Titillium" w:hAnsi="Titillium" w:cs="Arial"/>
                <w:sz w:val="24"/>
                <w:szCs w:val="24"/>
              </w:rPr>
              <w:t xml:space="preserve">TMHFR </w:t>
            </w:r>
            <w:r w:rsidR="00C0685A">
              <w:rPr>
                <w:rFonts w:ascii="Titillium" w:hAnsi="Titillium" w:cs="Arial"/>
                <w:sz w:val="24"/>
                <w:szCs w:val="24"/>
              </w:rPr>
              <w:fldChar w:fldCharType="begin"/>
            </w:r>
            <w:r w:rsidR="00C0685A">
              <w:rPr>
                <w:rFonts w:ascii="Titillium" w:hAnsi="Titillium" w:cs="Arial"/>
                <w:sz w:val="24"/>
                <w:szCs w:val="24"/>
              </w:rPr>
              <w:instrText xml:space="preserve"> MERGEFIELD fmc </w:instrText>
            </w:r>
            <w:r w:rsidR="00C0685A">
              <w:rPr>
                <w:rFonts w:ascii="Titillium" w:hAnsi="Titillium" w:cs="Arial"/>
                <w:sz w:val="24"/>
                <w:szCs w:val="24"/>
              </w:rPr>
              <w:fldChar w:fldCharType="separate"/>
            </w:r>
            <w:r w:rsidR="0039571D" w:rsidRPr="00036B73">
              <w:rPr>
                <w:rFonts w:ascii="Titillium" w:hAnsi="Titillium" w:cs="Arial"/>
                <w:noProof/>
                <w:sz w:val="24"/>
                <w:szCs w:val="24"/>
              </w:rPr>
              <w:t>BUSSY</w:t>
            </w:r>
            <w:r w:rsidR="00C0685A">
              <w:rPr>
                <w:rFonts w:ascii="Titillium" w:hAnsi="Titillium" w:cs="Arial"/>
                <w:sz w:val="24"/>
                <w:szCs w:val="24"/>
              </w:rPr>
              <w:fldChar w:fldCharType="end"/>
            </w:r>
          </w:p>
          <w:p w14:paraId="5DBD5BDE" w14:textId="017360B2" w:rsidR="003D196D" w:rsidRPr="00202011" w:rsidRDefault="003D196D" w:rsidP="309BC173">
            <w:pPr>
              <w:rPr>
                <w:rFonts w:ascii="Titillium" w:hAnsi="Titillium" w:cs="Arial"/>
              </w:rPr>
            </w:pPr>
            <w:r w:rsidRPr="28AB371F">
              <w:rPr>
                <w:rFonts w:ascii="Titillium" w:hAnsi="Titillium" w:cs="Arial"/>
                <w:b/>
                <w:bCs/>
              </w:rPr>
              <w:t>Code CPNE</w:t>
            </w:r>
            <w:r w:rsidRPr="28AB371F">
              <w:rPr>
                <w:rFonts w:ascii="Calibri" w:hAnsi="Calibri" w:cs="Calibri"/>
                <w:b/>
                <w:bCs/>
              </w:rPr>
              <w:t> </w:t>
            </w:r>
            <w:r w:rsidRPr="28AB371F">
              <w:rPr>
                <w:rFonts w:ascii="Titillium" w:hAnsi="Titillium" w:cs="Arial"/>
                <w:b/>
                <w:bCs/>
              </w:rPr>
              <w:t xml:space="preserve">: </w:t>
            </w:r>
            <w:r w:rsidR="7A5A1BFE" w:rsidRPr="28AB371F">
              <w:rPr>
                <w:rFonts w:ascii="Titillium" w:hAnsi="Titillium" w:cs="Arial"/>
                <w:b/>
                <w:bCs/>
              </w:rPr>
              <w:t xml:space="preserve">                        </w:t>
            </w:r>
            <w:r w:rsidR="00C0685A">
              <w:rPr>
                <w:rFonts w:ascii="Titillium" w:hAnsi="Titillium" w:cs="Arial"/>
              </w:rPr>
              <w:fldChar w:fldCharType="begin"/>
            </w:r>
            <w:r w:rsidR="00C0685A">
              <w:rPr>
                <w:rFonts w:ascii="Titillium" w:hAnsi="Titillium" w:cs="Arial"/>
              </w:rPr>
              <w:instrText xml:space="preserve"> MERGEFIELD code_cpne </w:instrText>
            </w:r>
            <w:r w:rsidR="00C0685A">
              <w:rPr>
                <w:rFonts w:ascii="Titillium" w:hAnsi="Titillium" w:cs="Arial"/>
              </w:rPr>
              <w:fldChar w:fldCharType="separate"/>
            </w:r>
            <w:r w:rsidR="0039571D" w:rsidRPr="00036B73">
              <w:rPr>
                <w:rFonts w:ascii="Titillium" w:hAnsi="Titillium" w:cs="Arial"/>
                <w:noProof/>
              </w:rPr>
              <w:t>1404-T2-TE-61</w:t>
            </w:r>
            <w:r w:rsidR="00C0685A">
              <w:rPr>
                <w:rFonts w:ascii="Titillium" w:hAnsi="Titillium" w:cs="Arial"/>
              </w:rPr>
              <w:fldChar w:fldCharType="end"/>
            </w:r>
          </w:p>
          <w:p w14:paraId="5D5293F9" w14:textId="4EEAA2D7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C0685A">
              <w:rPr>
                <w:rFonts w:ascii="Titillium" w:hAnsi="Titillium" w:cs="Arial"/>
              </w:rPr>
              <w:fldChar w:fldCharType="begin"/>
            </w:r>
            <w:r w:rsidR="00C0685A">
              <w:rPr>
                <w:rFonts w:ascii="Titillium" w:hAnsi="Titillium" w:cs="Arial"/>
              </w:rPr>
              <w:instrText xml:space="preserve"> MERGEFIELD formateur </w:instrText>
            </w:r>
            <w:r w:rsidR="00C0685A">
              <w:rPr>
                <w:rFonts w:ascii="Titillium" w:hAnsi="Titillium" w:cs="Arial"/>
              </w:rPr>
              <w:fldChar w:fldCharType="separate"/>
            </w:r>
            <w:r w:rsidR="0039571D" w:rsidRPr="00036B73">
              <w:rPr>
                <w:rFonts w:ascii="Titillium" w:hAnsi="Titillium" w:cs="Arial"/>
                <w:noProof/>
              </w:rPr>
              <w:t>Alexandre DAVID</w:t>
            </w:r>
            <w:r w:rsidR="00C0685A">
              <w:rPr>
                <w:rFonts w:ascii="Titillium" w:hAnsi="Titillium" w:cs="Arial"/>
              </w:rPr>
              <w:fldChar w:fldCharType="end"/>
            </w:r>
            <w:r w:rsidR="00C0685A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0A37501D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5CACC9C2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7518B125" w14:textId="77777777" w:rsidR="003D196D" w:rsidRPr="005E39A3" w:rsidRDefault="003D196D" w:rsidP="003D196D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50132609" w14:textId="77777777" w:rsidR="00A93BDD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du chariot.</w:t>
      </w:r>
    </w:p>
    <w:p w14:paraId="1F489F5C" w14:textId="77777777" w:rsidR="00A93BDD" w:rsidRPr="005E39A3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Réaliser des vérifications et des réglages à l’aide de la clé CAN</w:t>
      </w:r>
    </w:p>
    <w:p w14:paraId="5461B328" w14:textId="29FC7ADC" w:rsidR="00A93BDD" w:rsidRPr="005E39A3" w:rsidRDefault="00A93BDD" w:rsidP="28AB371F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28AB371F">
        <w:rPr>
          <w:rFonts w:ascii="Titillium" w:hAnsi="Titillium" w:cs="Arial"/>
          <w:color w:val="000000" w:themeColor="text1"/>
          <w:sz w:val="18"/>
          <w:szCs w:val="18"/>
        </w:rPr>
        <w:t>Utiliser les applications TruckCom Toyota BT</w:t>
      </w:r>
      <w:r w:rsidR="015D1988" w:rsidRPr="28AB371F">
        <w:rPr>
          <w:rFonts w:ascii="Titillium" w:hAnsi="Titillium" w:cs="Arial"/>
          <w:color w:val="000000" w:themeColor="text1"/>
          <w:sz w:val="18"/>
          <w:szCs w:val="18"/>
        </w:rPr>
        <w:t xml:space="preserve"> et WH Service</w:t>
      </w:r>
      <w:r w:rsidRPr="28AB371F">
        <w:rPr>
          <w:rFonts w:ascii="Titillium" w:hAnsi="Titillium" w:cs="Arial"/>
          <w:color w:val="000000" w:themeColor="text1"/>
          <w:sz w:val="18"/>
          <w:szCs w:val="18"/>
        </w:rPr>
        <w:t xml:space="preserve"> en procédures de mise à jour, étalonnages et diagnostic.</w:t>
      </w:r>
    </w:p>
    <w:p w14:paraId="6B111DBA" w14:textId="77777777" w:rsidR="003D196D" w:rsidRPr="00A93BDD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  <w:r w:rsidRPr="00F06015">
        <w:rPr>
          <w:rFonts w:ascii="Titillium" w:hAnsi="Titillium" w:cs="Arial"/>
          <w:bCs/>
          <w:color w:val="000000"/>
          <w:sz w:val="18"/>
          <w:szCs w:val="18"/>
        </w:rPr>
        <w:t>Dépanner à partir d’un symptôme ou d’un code erreur, avec les ressources du constructeur.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20EB7FFE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5DAB6C7B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52F5504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02EB378F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14BD7DC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6A05A809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5A4EE5D" w14:textId="77777777" w:rsidR="00A93BDD" w:rsidRPr="00F06015" w:rsidRDefault="00A93BDD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bCs/>
          <w:sz w:val="18"/>
          <w:szCs w:val="18"/>
        </w:rPr>
      </w:pPr>
      <w:r w:rsidRPr="00F06015">
        <w:rPr>
          <w:rFonts w:ascii="Titillium" w:hAnsi="Titillium" w:cs="Arial"/>
          <w:b/>
          <w:bCs/>
          <w:sz w:val="18"/>
          <w:szCs w:val="18"/>
        </w:rPr>
        <w:t>Ensembles et sous-ensembles :</w:t>
      </w:r>
    </w:p>
    <w:p w14:paraId="7446E43C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· Parties électriques : la batterie, le circuit électrique, ces composants et le circuit Can Bus.</w:t>
      </w:r>
    </w:p>
    <w:p w14:paraId="307B1CDE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· Lecture des schémas électriques et hydrauliques.</w:t>
      </w:r>
    </w:p>
    <w:p w14:paraId="5893BEB2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· Composants mécaniques et hydrauliques : la traction, le levage et la direction</w:t>
      </w:r>
    </w:p>
    <w:p w14:paraId="58A2C302" w14:textId="77777777" w:rsidR="00A93BDD" w:rsidRDefault="00A93BDD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 w:rsidRPr="00F06015">
        <w:rPr>
          <w:rFonts w:ascii="Titillium" w:hAnsi="Titillium" w:cs="Arial"/>
          <w:b/>
          <w:bCs/>
          <w:sz w:val="18"/>
          <w:szCs w:val="18"/>
        </w:rPr>
        <w:t>Découverte de l’interface homme/machine</w:t>
      </w:r>
      <w:r w:rsidRPr="00F06015">
        <w:rPr>
          <w:rFonts w:ascii="Titillium" w:hAnsi="Titillium" w:cs="Arial"/>
          <w:sz w:val="18"/>
          <w:szCs w:val="18"/>
        </w:rPr>
        <w:t xml:space="preserve"> </w:t>
      </w:r>
    </w:p>
    <w:p w14:paraId="1231F5B7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Modification des paramètres « cariste »</w:t>
      </w:r>
    </w:p>
    <w:p w14:paraId="467755D0" w14:textId="6930E5F5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28AB371F">
        <w:rPr>
          <w:rFonts w:ascii="Titillium" w:hAnsi="Titillium" w:cs="Arial"/>
          <w:color w:val="000000" w:themeColor="text1"/>
          <w:sz w:val="18"/>
          <w:szCs w:val="18"/>
        </w:rPr>
        <w:t>Gestion des utilisateurs, des codes PIN, des paramètres, des codes pannes, des horam</w:t>
      </w:r>
      <w:r w:rsidR="5445AE16" w:rsidRPr="28AB371F">
        <w:rPr>
          <w:rFonts w:ascii="Titillium" w:hAnsi="Titillium" w:cs="Arial"/>
          <w:color w:val="000000" w:themeColor="text1"/>
          <w:sz w:val="18"/>
          <w:szCs w:val="18"/>
        </w:rPr>
        <w:t>e</w:t>
      </w:r>
      <w:r w:rsidRPr="28AB371F">
        <w:rPr>
          <w:rFonts w:ascii="Titillium" w:hAnsi="Titillium" w:cs="Arial"/>
          <w:color w:val="000000" w:themeColor="text1"/>
          <w:sz w:val="18"/>
          <w:szCs w:val="18"/>
        </w:rPr>
        <w:t>tres.</w:t>
      </w:r>
    </w:p>
    <w:p w14:paraId="1A664ED7" w14:textId="77777777" w:rsidR="00A93BDD" w:rsidRDefault="00A93BDD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bCs/>
          <w:sz w:val="18"/>
          <w:szCs w:val="18"/>
        </w:rPr>
        <w:t>Clé CAN et</w:t>
      </w:r>
      <w:r w:rsidRPr="00F06015">
        <w:rPr>
          <w:rFonts w:ascii="Titillium" w:hAnsi="Titillium" w:cs="Arial"/>
          <w:b/>
          <w:bCs/>
          <w:sz w:val="18"/>
          <w:szCs w:val="18"/>
        </w:rPr>
        <w:t xml:space="preserve"> Truckcom</w:t>
      </w:r>
      <w:r w:rsidRPr="00F06015">
        <w:rPr>
          <w:rFonts w:ascii="Titillium" w:hAnsi="Titillium" w:cs="Arial"/>
          <w:sz w:val="18"/>
          <w:szCs w:val="18"/>
        </w:rPr>
        <w:t xml:space="preserve">. </w:t>
      </w:r>
    </w:p>
    <w:p w14:paraId="0B9A0EF7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 xml:space="preserve">Connexion aux machines, </w:t>
      </w:r>
    </w:p>
    <w:p w14:paraId="0EF02538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 xml:space="preserve">Création d’un rapport machine. </w:t>
      </w:r>
    </w:p>
    <w:p w14:paraId="73276E98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 xml:space="preserve">Gestion des codes erreurs, le diagnostic, les réglages des paramètres (accélération/freinage/vitesse maxi), </w:t>
      </w:r>
    </w:p>
    <w:p w14:paraId="55EC0C9B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Clonage du paramétrage d’un chariot à l’autre</w:t>
      </w:r>
    </w:p>
    <w:p w14:paraId="5E64AB60" w14:textId="77777777" w:rsidR="00A93BDD" w:rsidRPr="00F06015" w:rsidRDefault="00A93BDD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bCs/>
          <w:sz w:val="18"/>
          <w:szCs w:val="18"/>
        </w:rPr>
      </w:pPr>
      <w:r w:rsidRPr="00F06015">
        <w:rPr>
          <w:rFonts w:ascii="Titillium" w:hAnsi="Titillium" w:cs="Arial"/>
          <w:b/>
          <w:bCs/>
          <w:sz w:val="18"/>
          <w:szCs w:val="18"/>
        </w:rPr>
        <w:t>Diagnostic</w:t>
      </w:r>
    </w:p>
    <w:p w14:paraId="646695AE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 xml:space="preserve">Identifier l’origine d’une panne (interprétation des codes erreurs), </w:t>
      </w:r>
    </w:p>
    <w:p w14:paraId="700D56F2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(manuel opérateur, manuel de réparation), </w:t>
      </w:r>
    </w:p>
    <w:p w14:paraId="2BE4578F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3A0D7CC2" w14:textId="77777777" w:rsidR="00A93BDD" w:rsidRDefault="00A93BDD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 w:rsidRPr="00F06015">
        <w:rPr>
          <w:rFonts w:ascii="Titillium" w:hAnsi="Titillium" w:cs="Arial"/>
          <w:b/>
          <w:bCs/>
          <w:sz w:val="18"/>
          <w:szCs w:val="18"/>
        </w:rPr>
        <w:t>Maintenance</w:t>
      </w:r>
      <w:r w:rsidRPr="00F06015">
        <w:rPr>
          <w:rFonts w:ascii="Titillium" w:hAnsi="Titillium" w:cs="Arial"/>
          <w:sz w:val="18"/>
          <w:szCs w:val="18"/>
        </w:rPr>
        <w:t xml:space="preserve"> </w:t>
      </w:r>
    </w:p>
    <w:p w14:paraId="31A2B003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Fréquences et leurs niveaux</w:t>
      </w:r>
    </w:p>
    <w:p w14:paraId="5A39BBE3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E616139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41C8F396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468FCFA9" w14:textId="42CC9F33" w:rsidR="002B6624" w:rsidRPr="002B6624" w:rsidRDefault="00A35C90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768FF68B" wp14:editId="07777777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C0685A">
        <w:rPr>
          <w:rFonts w:ascii="Arial" w:hAnsi="Arial" w:cs="Arial"/>
          <w:b/>
          <w:bCs/>
        </w:rPr>
        <w:fldChar w:fldCharType="begin"/>
      </w:r>
      <w:r w:rsidR="00C0685A">
        <w:rPr>
          <w:rFonts w:ascii="Arial" w:hAnsi="Arial" w:cs="Arial"/>
          <w:b/>
          <w:bCs/>
        </w:rPr>
        <w:instrText xml:space="preserve"> MERGEFIELD fmc </w:instrText>
      </w:r>
      <w:r w:rsidR="00C0685A">
        <w:rPr>
          <w:rFonts w:ascii="Arial" w:hAnsi="Arial" w:cs="Arial"/>
          <w:b/>
          <w:bCs/>
        </w:rPr>
        <w:fldChar w:fldCharType="separate"/>
      </w:r>
      <w:r w:rsidR="0039571D" w:rsidRPr="00036B73">
        <w:rPr>
          <w:rFonts w:ascii="Arial" w:hAnsi="Arial" w:cs="Arial"/>
          <w:b/>
          <w:bCs/>
          <w:noProof/>
        </w:rPr>
        <w:t>BUSSY</w:t>
      </w:r>
      <w:r w:rsidR="00C0685A">
        <w:rPr>
          <w:rFonts w:ascii="Arial" w:hAnsi="Arial" w:cs="Arial"/>
          <w:b/>
          <w:bCs/>
        </w:rPr>
        <w:fldChar w:fldCharType="end"/>
      </w:r>
      <w:r w:rsidR="00A93BDD" w:rsidRPr="00A93BDD">
        <w:rPr>
          <w:rFonts w:ascii="Arial" w:hAnsi="Arial" w:cs="Arial"/>
          <w:b/>
          <w:bCs/>
        </w:rPr>
        <w:t xml:space="preserve"> le</w:t>
      </w:r>
      <w:r w:rsidR="002B6624" w:rsidRPr="00FF5D80">
        <w:rPr>
          <w:rFonts w:ascii="Arial" w:hAnsi="Arial" w:cs="Arial"/>
        </w:rPr>
        <w:t xml:space="preserve"> </w:t>
      </w:r>
      <w:r w:rsidR="003D196D">
        <w:rPr>
          <w:rFonts w:ascii="Arial" w:hAnsi="Arial" w:cs="Arial"/>
          <w:b/>
          <w:bCs/>
        </w:rPr>
        <w:t>2</w:t>
      </w:r>
      <w:r w:rsidR="00A93BDD">
        <w:rPr>
          <w:rFonts w:ascii="Arial" w:hAnsi="Arial" w:cs="Arial"/>
          <w:b/>
          <w:bCs/>
        </w:rPr>
        <w:t>7</w:t>
      </w:r>
      <w:r w:rsidR="003D196D">
        <w:rPr>
          <w:rFonts w:ascii="Arial" w:hAnsi="Arial" w:cs="Arial"/>
          <w:b/>
          <w:bCs/>
        </w:rPr>
        <w:t xml:space="preserve"> </w:t>
      </w:r>
      <w:r w:rsidR="00A93BDD">
        <w:rPr>
          <w:rFonts w:ascii="Arial" w:hAnsi="Arial" w:cs="Arial"/>
          <w:b/>
          <w:bCs/>
        </w:rPr>
        <w:t>octob</w:t>
      </w:r>
      <w:r w:rsidR="003D196D">
        <w:rPr>
          <w:rFonts w:ascii="Arial" w:hAnsi="Arial" w:cs="Arial"/>
          <w:b/>
          <w:bCs/>
        </w:rPr>
        <w:t>re</w:t>
      </w:r>
      <w:r w:rsidR="002B6624">
        <w:rPr>
          <w:rFonts w:ascii="Arial" w:hAnsi="Arial" w:cs="Arial"/>
          <w:b/>
          <w:bCs/>
        </w:rPr>
        <w:t xml:space="preserve"> 202</w:t>
      </w:r>
      <w:r w:rsidR="003F50AD">
        <w:rPr>
          <w:rFonts w:ascii="Arial" w:hAnsi="Arial" w:cs="Arial"/>
          <w:b/>
          <w:bCs/>
        </w:rPr>
        <w:t>3</w:t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3128261" w14:textId="77777777" w:rsidR="00313306" w:rsidRDefault="00313306">
      <w:r>
        <w:separator/>
      </w:r>
    </w:p>
  </w:endnote>
  <w:endnote w:type="continuationSeparator" w:id="0">
    <w:p w14:paraId="62486C05" w14:textId="77777777" w:rsidR="00313306" w:rsidRDefault="003133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altName w:val="Calibri"/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DF33B" w14:textId="053D86C8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  <w:r w:rsidR="00A93BDD" w:rsidRPr="00C0685A">
      <w:rPr>
        <w:lang w:val="fr-FR"/>
      </w:rPr>
      <w:t xml:space="preserve"> </w:t>
    </w:r>
  </w:p>
  <w:p w14:paraId="6A82E7D2" w14:textId="77777777" w:rsidR="002B6624" w:rsidRDefault="00A35C90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095CC0B2" wp14:editId="0777777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49F31CB" w14:textId="4022D469" w:rsidR="002B6624" w:rsidRDefault="00C0685A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39571D" w:rsidRPr="00036B73">
      <w:rPr>
        <w:noProof/>
      </w:rPr>
      <w:t>Alexandre DAVID</w:t>
    </w:r>
    <w:r>
      <w:rPr>
        <w:sz w:val="20"/>
        <w:lang w:val="fr-FR"/>
      </w:rPr>
      <w:fldChar w:fldCharType="end"/>
    </w:r>
  </w:p>
  <w:p w14:paraId="0F1FF2B6" w14:textId="77777777" w:rsidR="002403BB" w:rsidRPr="000D30DE" w:rsidRDefault="00A35C90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6720B0C2" wp14:editId="0777777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65C32DDA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31F7E050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>Toyota Material Handling France</w:t>
    </w:r>
  </w:p>
  <w:p w14:paraId="217245F3" w14:textId="77777777" w:rsidR="002403BB" w:rsidRDefault="00A35C90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5680" behindDoc="1" locked="0" layoutInCell="1" allowOverlap="1" wp14:anchorId="6D22A688" wp14:editId="07777777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51C51563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E96C8C6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4EE45ED0" w14:textId="77777777" w:rsidR="002403BB" w:rsidRPr="005575E2" w:rsidRDefault="00A35C90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4656" behindDoc="0" locked="0" layoutInCell="0" allowOverlap="1" wp14:anchorId="66003853" wp14:editId="07777777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708565091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DB22F8F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6003853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46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3DB22F8F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3917A781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A9C0FA5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A35C90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15E32BC9" wp14:editId="0777777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35C90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7134DE4D" wp14:editId="0777777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A3D3EC" w14:textId="77777777" w:rsidR="00313306" w:rsidRDefault="00313306">
      <w:r>
        <w:separator/>
      </w:r>
    </w:p>
  </w:footnote>
  <w:footnote w:type="continuationSeparator" w:id="0">
    <w:p w14:paraId="0D0B940D" w14:textId="77777777" w:rsidR="00313306" w:rsidRDefault="0031330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DFDC3E" w14:textId="77777777" w:rsidR="002403BB" w:rsidRDefault="00A35C90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714D5AA8" wp14:editId="07777777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E27B00A" w14:textId="77777777" w:rsidR="000C537F" w:rsidRDefault="000C537F" w:rsidP="00C33708">
    <w:pPr>
      <w:pStyle w:val="En-tte"/>
    </w:pPr>
  </w:p>
  <w:p w14:paraId="60061E4C" w14:textId="77777777" w:rsidR="000C537F" w:rsidRDefault="000C537F" w:rsidP="00C33708">
    <w:pPr>
      <w:pStyle w:val="En-tte"/>
    </w:pPr>
  </w:p>
  <w:p w14:paraId="44EAFD9C" w14:textId="77777777" w:rsidR="002B6624" w:rsidRDefault="002B6624" w:rsidP="00C33708">
    <w:pPr>
      <w:pStyle w:val="En-tte"/>
    </w:pPr>
  </w:p>
  <w:p w14:paraId="4B94D5A5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72177246">
    <w:abstractNumId w:val="3"/>
  </w:num>
  <w:num w:numId="2" w16cid:durableId="1254974813">
    <w:abstractNumId w:val="1"/>
  </w:num>
  <w:num w:numId="3" w16cid:durableId="1806895434">
    <w:abstractNumId w:val="2"/>
  </w:num>
  <w:num w:numId="4" w16cid:durableId="351959090">
    <w:abstractNumId w:val="0"/>
  </w:num>
  <w:num w:numId="5" w16cid:durableId="175138980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96856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3306"/>
    <w:rsid w:val="00314B10"/>
    <w:rsid w:val="00324548"/>
    <w:rsid w:val="00353D8F"/>
    <w:rsid w:val="00362471"/>
    <w:rsid w:val="00390C45"/>
    <w:rsid w:val="00393EF9"/>
    <w:rsid w:val="003940A0"/>
    <w:rsid w:val="003948CA"/>
    <w:rsid w:val="0039571D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0890"/>
    <w:rsid w:val="00615310"/>
    <w:rsid w:val="00651E88"/>
    <w:rsid w:val="00653755"/>
    <w:rsid w:val="00661B1B"/>
    <w:rsid w:val="00662DD7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31A4A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4318B"/>
    <w:rsid w:val="009700FA"/>
    <w:rsid w:val="00976910"/>
    <w:rsid w:val="00977374"/>
    <w:rsid w:val="00997156"/>
    <w:rsid w:val="009A37EC"/>
    <w:rsid w:val="009C4718"/>
    <w:rsid w:val="009C5391"/>
    <w:rsid w:val="00A012E2"/>
    <w:rsid w:val="00A0224B"/>
    <w:rsid w:val="00A06F66"/>
    <w:rsid w:val="00A07D38"/>
    <w:rsid w:val="00A20EE9"/>
    <w:rsid w:val="00A21D9B"/>
    <w:rsid w:val="00A251D0"/>
    <w:rsid w:val="00A25955"/>
    <w:rsid w:val="00A34005"/>
    <w:rsid w:val="00A35C90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B1D86"/>
    <w:rsid w:val="00BC3C75"/>
    <w:rsid w:val="00BD109F"/>
    <w:rsid w:val="00BF7CF8"/>
    <w:rsid w:val="00C001E1"/>
    <w:rsid w:val="00C0685A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B00BD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E58C7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  <w:rsid w:val="015D1988"/>
    <w:rsid w:val="04259B70"/>
    <w:rsid w:val="23826793"/>
    <w:rsid w:val="28AB371F"/>
    <w:rsid w:val="309BC173"/>
    <w:rsid w:val="3B9EB514"/>
    <w:rsid w:val="5445AE16"/>
    <w:rsid w:val="59D30475"/>
    <w:rsid w:val="5C2EECE8"/>
    <w:rsid w:val="68433C06"/>
    <w:rsid w:val="7316AA2D"/>
    <w:rsid w:val="7A5A1B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6790EB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  <w:rPr>
      <w:lang w:eastAsia="fr-FR"/>
    </w:r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486a57a-bb99-4dc9-bf99-6c7c10447675">
      <Terms xmlns="http://schemas.microsoft.com/office/infopath/2007/PartnerControls"/>
    </lcf76f155ced4ddcb4097134ff3c332f>
    <TaxCatchAll xmlns="0ad0e0a9-ab9a-4e6f-9f02-d25f1222e6d5" xsi:nil="true"/>
    <Commentaire xmlns="d486a57a-bb99-4dc9-bf99-6c7c10447675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124DD837-32E5-4CC6-AB5C-4BDFA9466C14}">
  <ds:schemaRefs>
    <ds:schemaRef ds:uri="http://schemas.microsoft.com/office/2006/metadata/properties"/>
    <ds:schemaRef ds:uri="http://schemas.microsoft.com/office/infopath/2007/PartnerControls"/>
    <ds:schemaRef ds:uri="d486a57a-bb99-4dc9-bf99-6c7c10447675"/>
    <ds:schemaRef ds:uri="0ad0e0a9-ab9a-4e6f-9f02-d25f1222e6d5"/>
  </ds:schemaRefs>
</ds:datastoreItem>
</file>

<file path=customXml/itemProps2.xml><?xml version="1.0" encoding="utf-8"?>
<ds:datastoreItem xmlns:ds="http://schemas.openxmlformats.org/officeDocument/2006/customXml" ds:itemID="{1B229ECD-003A-4267-BDA1-FB645A2CA6F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8CB80D2-4B14-4B8A-AFE1-B8305CA688D1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CE88CC4A-63E7-435F-A432-2B9F46D3EFE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283</Words>
  <Characters>1938</Characters>
  <Application>Microsoft Office Word</Application>
  <DocSecurity>0</DocSecurity>
  <Lines>16</Lines>
  <Paragraphs>4</Paragraphs>
  <ScaleCrop>false</ScaleCrop>
  <Company>DCI</Company>
  <LinksUpToDate>false</LinksUpToDate>
  <CharactersWithSpaces>2217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SOCOTEC</dc:creator>
  <cp:keywords/>
  <cp:lastModifiedBy>DESANDIEGO Christophe</cp:lastModifiedBy>
  <cp:revision>2</cp:revision>
  <cp:lastPrinted>2023-02-10T19:33:00Z</cp:lastPrinted>
  <dcterms:created xsi:type="dcterms:W3CDTF">2025-11-03T07:41:00Z</dcterms:created>
  <dcterms:modified xsi:type="dcterms:W3CDTF">2025-11-03T07:41:00Z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TaxCatchAll">
    <vt:lpwstr/>
  </property>
  <property fmtid="{D5CDD505-2E9C-101B-9397-08002B2CF9AE}" pid="4" name="Commentaire">
    <vt:lpwstr/>
  </property>
  <property fmtid="{D5CDD505-2E9C-101B-9397-08002B2CF9AE}" pid="5" name="lcf76f155ced4ddcb4097134ff3c332f">
    <vt:lpwstr/>
  </property>
  <property fmtid="{D5CDD505-2E9C-101B-9397-08002B2CF9AE}" pid="6" name="MSIP_Label_3cd4ed3a-2150-4db7-9fdf-18419c2ded52_Enabled">
    <vt:lpwstr>true</vt:lpwstr>
  </property>
  <property fmtid="{D5CDD505-2E9C-101B-9397-08002B2CF9AE}" pid="7" name="MSIP_Label_3cd4ed3a-2150-4db7-9fdf-18419c2ded52_SetDate">
    <vt:lpwstr>2024-01-29T12:21:55Z</vt:lpwstr>
  </property>
  <property fmtid="{D5CDD505-2E9C-101B-9397-08002B2CF9AE}" pid="8" name="MSIP_Label_3cd4ed3a-2150-4db7-9fdf-18419c2ded52_Method">
    <vt:lpwstr>Standard</vt:lpwstr>
  </property>
  <property fmtid="{D5CDD505-2E9C-101B-9397-08002B2CF9AE}" pid="9" name="MSIP_Label_3cd4ed3a-2150-4db7-9fdf-18419c2ded52_Name">
    <vt:lpwstr>3cd4ed3a-2150-4db7-9fdf-18419c2ded52</vt:lpwstr>
  </property>
  <property fmtid="{D5CDD505-2E9C-101B-9397-08002B2CF9AE}" pid="10" name="MSIP_Label_3cd4ed3a-2150-4db7-9fdf-18419c2ded52_SiteId">
    <vt:lpwstr>c3af1697-15c2-44e3-99ae-9f34166c36fb</vt:lpwstr>
  </property>
  <property fmtid="{D5CDD505-2E9C-101B-9397-08002B2CF9AE}" pid="11" name="MSIP_Label_3cd4ed3a-2150-4db7-9fdf-18419c2ded52_ActionId">
    <vt:lpwstr>c811b17f-1693-4366-bf0b-f2a745608754</vt:lpwstr>
  </property>
  <property fmtid="{D5CDD505-2E9C-101B-9397-08002B2CF9AE}" pid="12" name="MSIP_Label_3cd4ed3a-2150-4db7-9fdf-18419c2ded52_ContentBits">
    <vt:lpwstr>2</vt:lpwstr>
  </property>
  <property fmtid="{D5CDD505-2E9C-101B-9397-08002B2CF9AE}" pid="13" name="MediaServiceImageTags">
    <vt:lpwstr/>
  </property>
</Properties>
</file>