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EF025F" w14:textId="72A94646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944E3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3CCB74EE" wp14:editId="29851CA9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73AEFAC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70FE741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B096863" w14:textId="7D267B62" w:rsidR="003D196D" w:rsidRPr="003D196D" w:rsidRDefault="004437D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C75269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C75269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52F65BB4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5028FC01" w14:textId="77777777" w:rsidR="00EA1ED6" w:rsidRPr="003D196D" w:rsidRDefault="00EA1ED6" w:rsidP="00EA1ED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Frontaux Thermiques avec Transmission hydrostatique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4F58969E" w14:textId="1D55BA23" w:rsidR="00EA1ED6" w:rsidRDefault="004437D5" w:rsidP="00EA1ED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C75269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14970697" w14:textId="33D71FEF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BC138F">
              <w:rPr>
                <w:rFonts w:ascii="Titillium" w:hAnsi="Titillium" w:cs="Arial"/>
              </w:rPr>
              <w:t>Dates de la formation</w:t>
            </w:r>
            <w:r w:rsidRPr="00BC138F">
              <w:rPr>
                <w:rFonts w:ascii="Calibri" w:hAnsi="Calibri" w:cs="Calibri"/>
              </w:rPr>
              <w:t> </w:t>
            </w:r>
            <w:r w:rsidRPr="00BC138F">
              <w:rPr>
                <w:rFonts w:ascii="Titillium" w:hAnsi="Titillium" w:cs="Arial"/>
              </w:rPr>
              <w:t>:</w:t>
            </w:r>
            <w:r w:rsidRPr="00BC138F">
              <w:rPr>
                <w:rFonts w:ascii="Titillium" w:hAnsi="Titillium" w:cs="Arial"/>
                <w:b/>
                <w:bCs/>
              </w:rPr>
              <w:t xml:space="preserve"> </w:t>
            </w:r>
            <w:r w:rsidR="00BC138F" w:rsidRPr="00BC138F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du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4437D5" w:rsidRPr="00C75269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au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4437D5" w:rsidRPr="00C75269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pour une durée de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duration_in_hours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4437D5" w:rsidRPr="00C75269">
              <w:rPr>
                <w:rFonts w:ascii="Titillium" w:hAnsi="Titillium" w:cs="Arial"/>
                <w:b/>
                <w:bCs/>
                <w:noProof/>
              </w:rPr>
              <w:t>12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proofErr w:type="spellStart"/>
            <w:r w:rsidR="004437D5">
              <w:rPr>
                <w:rFonts w:ascii="Titillium" w:hAnsi="Titillium" w:cs="Arial"/>
                <w:b/>
                <w:bCs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00E48482" w14:textId="4C7088FD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BC138F">
              <w:rPr>
                <w:rFonts w:ascii="Titillium" w:hAnsi="Titillium" w:cs="Arial"/>
                <w:bCs/>
              </w:rPr>
              <w:t>Lieu de la formation</w:t>
            </w:r>
            <w:r w:rsidRPr="00BC138F">
              <w:rPr>
                <w:rFonts w:ascii="Calibri" w:hAnsi="Calibri" w:cs="Calibri"/>
                <w:bCs/>
              </w:rPr>
              <w:t> </w:t>
            </w:r>
            <w:r w:rsidRPr="00BC138F">
              <w:rPr>
                <w:rFonts w:ascii="Titillium" w:hAnsi="Titillium" w:cs="Arial"/>
                <w:bCs/>
              </w:rPr>
              <w:t>:</w:t>
            </w:r>
            <w:r w:rsidR="00BC138F">
              <w:rPr>
                <w:rFonts w:ascii="Titillium" w:hAnsi="Titillium" w:cs="Arial"/>
              </w:rPr>
              <w:t xml:space="preserve">     </w:t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4437D5">
              <w:rPr>
                <w:rFonts w:ascii="Titillium" w:hAnsi="Titillium" w:cs="Arial"/>
                <w:sz w:val="24"/>
              </w:rPr>
              <w:fldChar w:fldCharType="begin"/>
            </w:r>
            <w:r w:rsidR="004437D5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4437D5">
              <w:rPr>
                <w:rFonts w:ascii="Titillium" w:hAnsi="Titillium" w:cs="Arial"/>
                <w:sz w:val="24"/>
              </w:rPr>
              <w:fldChar w:fldCharType="separate"/>
            </w:r>
            <w:r w:rsidR="004437D5" w:rsidRPr="00C75269">
              <w:rPr>
                <w:rFonts w:ascii="Titillium" w:hAnsi="Titillium" w:cs="Arial"/>
                <w:noProof/>
                <w:sz w:val="24"/>
              </w:rPr>
              <w:t>BUSSY</w:t>
            </w:r>
            <w:r w:rsidR="004437D5">
              <w:rPr>
                <w:rFonts w:ascii="Titillium" w:hAnsi="Titillium" w:cs="Arial"/>
                <w:sz w:val="24"/>
              </w:rPr>
              <w:fldChar w:fldCharType="end"/>
            </w:r>
          </w:p>
          <w:p w14:paraId="59BC24CD" w14:textId="4049711E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 w:rsidRPr="00BC138F">
              <w:rPr>
                <w:rFonts w:ascii="Titillium" w:hAnsi="Titillium" w:cs="Arial"/>
                <w:szCs w:val="16"/>
              </w:rPr>
              <w:t>Code CPNE</w:t>
            </w:r>
            <w:r w:rsidRPr="00BC138F">
              <w:rPr>
                <w:rFonts w:ascii="Calibri" w:hAnsi="Calibri" w:cs="Calibri"/>
                <w:szCs w:val="16"/>
              </w:rPr>
              <w:t> </w:t>
            </w:r>
            <w:r w:rsidRPr="00BC138F">
              <w:rPr>
                <w:rFonts w:ascii="Titillium" w:hAnsi="Titillium" w:cs="Arial"/>
                <w:szCs w:val="16"/>
              </w:rPr>
              <w:t>: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 w:rsidR="00BC138F">
              <w:rPr>
                <w:rFonts w:ascii="Titillium" w:hAnsi="Titillium" w:cs="Arial"/>
                <w:b/>
                <w:bCs/>
                <w:szCs w:val="16"/>
              </w:rPr>
              <w:t xml:space="preserve">                    </w: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instrText xml:space="preserve"> MERGEFIELD code_cpne </w:instrTex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separate"/>
            </w:r>
            <w:r w:rsidR="004437D5" w:rsidRPr="00C75269">
              <w:rPr>
                <w:rFonts w:ascii="Titillium" w:hAnsi="Titillium" w:cs="Arial"/>
                <w:b/>
                <w:bCs/>
                <w:noProof/>
                <w:szCs w:val="16"/>
              </w:rPr>
              <w:t>1404-T2-TE-61</w: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end"/>
            </w:r>
          </w:p>
          <w:p w14:paraId="21DCA172" w14:textId="611D2E02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BC138F">
              <w:rPr>
                <w:rFonts w:ascii="Titillium" w:hAnsi="Titillium" w:cs="Arial"/>
                <w:bCs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formateur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4437D5" w:rsidRPr="00C75269">
              <w:rPr>
                <w:rFonts w:ascii="Titillium" w:hAnsi="Titillium" w:cs="Arial"/>
                <w:b/>
                <w:bCs/>
                <w:noProof/>
              </w:rPr>
              <w:t>Didier RENARD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>– Formateur Technique TMHFR</w:t>
            </w:r>
          </w:p>
          <w:p w14:paraId="282A509B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A631B01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827860C" w14:textId="77777777" w:rsidR="00EA1ED6" w:rsidRPr="005E39A3" w:rsidRDefault="00EA1ED6" w:rsidP="00844B59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F4E679B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différences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et similitudes par rapport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au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Tonero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15-35 standard équipé de la transmission TC</w:t>
      </w:r>
    </w:p>
    <w:p w14:paraId="6DE978B4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30C8719A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14BADD1E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Utiliser l’application Engine Diag dans les procédures de diagnostic et de maintenance pour les motorisations.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760193B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FC175E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BD50CFD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CB4C5AD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E103E22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02C98B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9EB4959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12699CE6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Composants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électrique</w:t>
      </w:r>
      <w:r>
        <w:rPr>
          <w:rFonts w:ascii="Titillium" w:hAnsi="Titillium" w:cs="Arial"/>
          <w:color w:val="000000"/>
          <w:sz w:val="18"/>
          <w:szCs w:val="18"/>
        </w:rPr>
        <w:t xml:space="preserve">s et </w:t>
      </w:r>
      <w:r w:rsidRPr="006412EB">
        <w:rPr>
          <w:rFonts w:ascii="Titillium" w:hAnsi="Titillium" w:cs="Arial"/>
          <w:color w:val="000000"/>
          <w:sz w:val="18"/>
          <w:szCs w:val="18"/>
        </w:rPr>
        <w:t>le</w:t>
      </w:r>
      <w:r>
        <w:rPr>
          <w:rFonts w:ascii="Titillium" w:hAnsi="Titillium" w:cs="Arial"/>
          <w:color w:val="000000"/>
          <w:sz w:val="18"/>
          <w:szCs w:val="18"/>
        </w:rPr>
        <w:t>s cartes du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circuit Can Bus.</w:t>
      </w:r>
    </w:p>
    <w:p w14:paraId="78B4D48E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hydrauliques</w:t>
      </w:r>
      <w:r>
        <w:rPr>
          <w:rFonts w:ascii="Titillium" w:hAnsi="Titillium" w:cs="Arial"/>
          <w:color w:val="000000"/>
          <w:sz w:val="18"/>
          <w:szCs w:val="18"/>
        </w:rPr>
        <w:t xml:space="preserve"> et hydrostatiques spécifiques à cette gamme HST.</w:t>
      </w:r>
    </w:p>
    <w:p w14:paraId="4C4B43D8" w14:textId="77777777" w:rsidR="00EA1ED6" w:rsidRPr="00D7323F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7E76A3D6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287837F0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2706BAF2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 et du display</w:t>
      </w:r>
    </w:p>
    <w:p w14:paraId="483E97B3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ise en sécurité </w:t>
      </w:r>
      <w:r>
        <w:rPr>
          <w:rFonts w:ascii="Titillium" w:hAnsi="Titillium" w:cs="Arial"/>
          <w:color w:val="000000"/>
          <w:sz w:val="18"/>
          <w:szCs w:val="18"/>
        </w:rPr>
        <w:t>du chariot avant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intervention</w:t>
      </w:r>
      <w:r>
        <w:rPr>
          <w:rFonts w:ascii="Titillium" w:hAnsi="Titillium" w:cs="Arial"/>
          <w:color w:val="000000"/>
          <w:sz w:val="18"/>
          <w:szCs w:val="18"/>
        </w:rPr>
        <w:t xml:space="preserve"> CB TruckCom</w:t>
      </w:r>
    </w:p>
    <w:p w14:paraId="244E9A4D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76824181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7E17E147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752A64E3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66D61A8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5D485A59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3BBEECF6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</w:t>
      </w:r>
      <w:r>
        <w:rPr>
          <w:rFonts w:ascii="Titillium" w:hAnsi="Titillium" w:cs="Arial"/>
          <w:b/>
          <w:sz w:val="18"/>
          <w:szCs w:val="18"/>
        </w:rPr>
        <w:t>e l’Engine Diag – interface moteur</w:t>
      </w:r>
      <w:r>
        <w:rPr>
          <w:rFonts w:ascii="Calibri" w:hAnsi="Calibri" w:cs="Calibri"/>
          <w:b/>
          <w:sz w:val="18"/>
          <w:szCs w:val="18"/>
        </w:rPr>
        <w:t> </w:t>
      </w:r>
      <w:r>
        <w:rPr>
          <w:rFonts w:ascii="Titillium" w:hAnsi="Titillium" w:cs="Arial"/>
          <w:b/>
          <w:sz w:val="18"/>
          <w:szCs w:val="18"/>
        </w:rPr>
        <w:t>:</w:t>
      </w:r>
    </w:p>
    <w:p w14:paraId="26957109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Rappels composants motorisations GPL et Diesel</w:t>
      </w:r>
    </w:p>
    <w:p w14:paraId="4E1E2DAD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Lecture de code erreur,</w:t>
      </w:r>
      <w:r w:rsidRPr="00D7323F">
        <w:rPr>
          <w:rFonts w:ascii="Titillium" w:hAnsi="Titillium" w:cs="Arial"/>
          <w:color w:val="000000"/>
          <w:sz w:val="18"/>
          <w:szCs w:val="18"/>
        </w:rPr>
        <w:t xml:space="preserve"> </w:t>
      </w:r>
      <w:r>
        <w:rPr>
          <w:rFonts w:ascii="Titillium" w:hAnsi="Titillium" w:cs="Arial"/>
          <w:color w:val="000000"/>
          <w:sz w:val="18"/>
          <w:szCs w:val="18"/>
        </w:rPr>
        <w:t>d</w:t>
      </w:r>
      <w:r w:rsidRPr="006412EB">
        <w:rPr>
          <w:rFonts w:ascii="Titillium" w:hAnsi="Titillium" w:cs="Arial"/>
          <w:color w:val="000000"/>
          <w:sz w:val="18"/>
          <w:szCs w:val="18"/>
        </w:rPr>
        <w:t>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, lecture de valeurs </w:t>
      </w:r>
      <w:r w:rsidRPr="006412EB">
        <w:rPr>
          <w:rFonts w:ascii="Titillium" w:hAnsi="Titillium" w:cs="Arial"/>
          <w:color w:val="000000"/>
          <w:sz w:val="18"/>
          <w:szCs w:val="18"/>
        </w:rPr>
        <w:t>et signaux</w:t>
      </w:r>
      <w:r>
        <w:rPr>
          <w:rFonts w:ascii="Titillium" w:hAnsi="Titillium" w:cs="Arial"/>
          <w:color w:val="000000"/>
          <w:sz w:val="18"/>
          <w:szCs w:val="18"/>
        </w:rPr>
        <w:t xml:space="preserve"> moteur</w:t>
      </w:r>
    </w:p>
    <w:p w14:paraId="76CB23A8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D7323F">
        <w:rPr>
          <w:rFonts w:ascii="Titillium" w:hAnsi="Titillium" w:cs="Arial"/>
          <w:color w:val="000000"/>
          <w:sz w:val="18"/>
          <w:szCs w:val="18"/>
        </w:rPr>
        <w:t>Application des utilitaires et des tests actifs de l’interface Engine Diag.</w:t>
      </w:r>
    </w:p>
    <w:p w14:paraId="6A23CDC1" w14:textId="77777777" w:rsidR="00EA1ED6" w:rsidRPr="00EA1ED6" w:rsidRDefault="00EA1ED6" w:rsidP="00EA1ED6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color w:val="000000"/>
          <w:sz w:val="8"/>
          <w:szCs w:val="8"/>
        </w:rPr>
      </w:pPr>
    </w:p>
    <w:p w14:paraId="7A994A57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65C5D4A7" w14:textId="4141D14D" w:rsidR="003D196D" w:rsidRDefault="00944E32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645193EB" wp14:editId="2850DD2D">
            <wp:simplePos x="0" y="0"/>
            <wp:positionH relativeFrom="column">
              <wp:posOffset>390525</wp:posOffset>
            </wp:positionH>
            <wp:positionV relativeFrom="paragraph">
              <wp:posOffset>67945</wp:posOffset>
            </wp:positionV>
            <wp:extent cx="2631440" cy="1222375"/>
            <wp:effectExtent l="19050" t="95250" r="0" b="1111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89871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17BFDFB" w14:textId="7C1B823A" w:rsidR="002B6624" w:rsidRPr="00FB18C4" w:rsidRDefault="002B6624" w:rsidP="002B6624">
      <w:pPr>
        <w:ind w:left="5670"/>
        <w:rPr>
          <w:rFonts w:ascii="Arial" w:hAnsi="Arial" w:cs="Arial"/>
          <w:b/>
          <w:bCs/>
        </w:rPr>
      </w:pPr>
      <w:r w:rsidRPr="00FB18C4">
        <w:rPr>
          <w:rFonts w:ascii="Arial" w:hAnsi="Arial" w:cs="Arial"/>
          <w:b/>
          <w:bCs/>
        </w:rPr>
        <w:t xml:space="preserve">Fait à </w:t>
      </w:r>
      <w:r w:rsidR="004437D5">
        <w:rPr>
          <w:rFonts w:ascii="Arial" w:hAnsi="Arial" w:cs="Arial"/>
          <w:b/>
          <w:bCs/>
        </w:rPr>
        <w:fldChar w:fldCharType="begin"/>
      </w:r>
      <w:r w:rsidR="004437D5">
        <w:rPr>
          <w:rFonts w:ascii="Arial" w:hAnsi="Arial" w:cs="Arial"/>
          <w:b/>
          <w:bCs/>
        </w:rPr>
        <w:instrText xml:space="preserve"> MERGEFIELD fmc </w:instrText>
      </w:r>
      <w:r w:rsidR="004437D5">
        <w:rPr>
          <w:rFonts w:ascii="Arial" w:hAnsi="Arial" w:cs="Arial"/>
          <w:b/>
          <w:bCs/>
        </w:rPr>
        <w:fldChar w:fldCharType="separate"/>
      </w:r>
      <w:r w:rsidR="004437D5" w:rsidRPr="00C75269">
        <w:rPr>
          <w:rFonts w:ascii="Arial" w:hAnsi="Arial" w:cs="Arial"/>
          <w:b/>
          <w:bCs/>
          <w:noProof/>
        </w:rPr>
        <w:t>BUSSY</w:t>
      </w:r>
      <w:r w:rsidR="004437D5">
        <w:rPr>
          <w:rFonts w:ascii="Arial" w:hAnsi="Arial" w:cs="Arial"/>
          <w:b/>
          <w:bCs/>
        </w:rPr>
        <w:fldChar w:fldCharType="end"/>
      </w:r>
      <w:r w:rsidR="00FB18C4" w:rsidRPr="00FB18C4">
        <w:rPr>
          <w:rFonts w:ascii="Arial" w:hAnsi="Arial" w:cs="Arial"/>
          <w:b/>
          <w:bCs/>
        </w:rPr>
        <w:t xml:space="preserve"> </w:t>
      </w:r>
      <w:r w:rsidRPr="00FB18C4">
        <w:rPr>
          <w:rFonts w:ascii="Arial" w:hAnsi="Arial" w:cs="Arial"/>
          <w:b/>
          <w:bCs/>
        </w:rPr>
        <w:t xml:space="preserve">le </w:t>
      </w:r>
      <w:r w:rsidR="004437D5">
        <w:rPr>
          <w:rFonts w:ascii="Arial" w:hAnsi="Arial" w:cs="Arial"/>
          <w:b/>
          <w:bCs/>
        </w:rPr>
        <w:fldChar w:fldCharType="begin"/>
      </w:r>
      <w:r w:rsidR="004437D5">
        <w:rPr>
          <w:rFonts w:ascii="Arial" w:hAnsi="Arial" w:cs="Arial"/>
          <w:b/>
          <w:bCs/>
        </w:rPr>
        <w:instrText xml:space="preserve"> TIME \@ "dd/MM/yyyy" </w:instrText>
      </w:r>
      <w:r w:rsidR="004437D5">
        <w:rPr>
          <w:rFonts w:ascii="Arial" w:hAnsi="Arial" w:cs="Arial"/>
          <w:b/>
          <w:bCs/>
        </w:rPr>
        <w:fldChar w:fldCharType="separate"/>
      </w:r>
      <w:r w:rsidR="004437D5">
        <w:rPr>
          <w:rFonts w:ascii="Arial" w:hAnsi="Arial" w:cs="Arial"/>
          <w:b/>
          <w:bCs/>
          <w:noProof/>
        </w:rPr>
        <w:t>03/11/2025</w:t>
      </w:r>
      <w:r w:rsidR="004437D5">
        <w:rPr>
          <w:rFonts w:ascii="Arial" w:hAnsi="Arial" w:cs="Arial"/>
          <w:b/>
          <w:bCs/>
        </w:rPr>
        <w:fldChar w:fldCharType="end"/>
      </w:r>
    </w:p>
    <w:sectPr w:rsidR="002B6624" w:rsidRPr="00FB18C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7FDDC0" w14:textId="77777777" w:rsidR="00674430" w:rsidRDefault="00674430">
      <w:r>
        <w:separator/>
      </w:r>
    </w:p>
  </w:endnote>
  <w:endnote w:type="continuationSeparator" w:id="0">
    <w:p w14:paraId="5E776BD7" w14:textId="77777777" w:rsidR="00674430" w:rsidRDefault="006744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9CB599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14EF6AE7" w14:textId="25473B47" w:rsidR="002B6624" w:rsidRDefault="00944E3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255B0501" wp14:editId="3721C31F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9D36CC0" w14:textId="64122B28" w:rsidR="002B6624" w:rsidRPr="004437D5" w:rsidRDefault="004437D5" w:rsidP="002B6624">
    <w:pPr>
      <w:pStyle w:val="TMHfooter"/>
      <w:ind w:left="5670" w:firstLine="702"/>
    </w:pPr>
    <w:r>
      <w:rPr>
        <w:sz w:val="20"/>
      </w:rPr>
      <w:fldChar w:fldCharType="begin"/>
    </w:r>
    <w:r>
      <w:rPr>
        <w:sz w:val="20"/>
      </w:rPr>
      <w:instrText xml:space="preserve"> MERGEFIELD formateur </w:instrText>
    </w:r>
    <w:r>
      <w:rPr>
        <w:sz w:val="20"/>
      </w:rPr>
      <w:fldChar w:fldCharType="separate"/>
    </w:r>
    <w:r w:rsidRPr="00C75269">
      <w:rPr>
        <w:noProof/>
      </w:rPr>
      <w:t>Didier RENARD</w:t>
    </w:r>
    <w:r>
      <w:rPr>
        <w:sz w:val="20"/>
      </w:rPr>
      <w:fldChar w:fldCharType="end"/>
    </w:r>
  </w:p>
  <w:p w14:paraId="4EFFD5D2" w14:textId="2A49E727" w:rsidR="002403BB" w:rsidRPr="004437D5" w:rsidRDefault="00944E32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2FDBC2AB" wp14:editId="0291B14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1CC7E2A7" wp14:editId="74AFE24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3B4EF3EA" wp14:editId="39272EB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4437D5">
      <w:t>Toyota Material Handling France</w:t>
    </w:r>
  </w:p>
  <w:p w14:paraId="47BAAB7C" w14:textId="4E83356E" w:rsidR="002403BB" w:rsidRDefault="00944E3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EF02A47" wp14:editId="633A4C05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3E92D091" wp14:editId="4F103E2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5197DA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83B5DEF" w14:textId="70B2F63F" w:rsidR="002403BB" w:rsidRPr="005575E2" w:rsidRDefault="00944E3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21581E4C" wp14:editId="0C45E6C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366295528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07B115A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1581E4C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107B115A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788F8E8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65D0401" w14:textId="60AB43F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944E32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4C8F185C" wp14:editId="5A4D405E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44E32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28A65797" wp14:editId="4A171FA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D50812" w14:textId="77777777" w:rsidR="00674430" w:rsidRDefault="00674430">
      <w:r>
        <w:separator/>
      </w:r>
    </w:p>
  </w:footnote>
  <w:footnote w:type="continuationSeparator" w:id="0">
    <w:p w14:paraId="3EF0DC32" w14:textId="77777777" w:rsidR="00674430" w:rsidRDefault="0067443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BEEC0" w14:textId="244C3292" w:rsidR="002403BB" w:rsidRDefault="00944E32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90F91D9" wp14:editId="3E88E1D3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FD31F7A" w14:textId="77777777" w:rsidR="000C537F" w:rsidRDefault="000C537F" w:rsidP="00C33708">
    <w:pPr>
      <w:pStyle w:val="En-tte"/>
    </w:pPr>
  </w:p>
  <w:p w14:paraId="616B8274" w14:textId="77777777" w:rsidR="000C537F" w:rsidRDefault="000C537F" w:rsidP="00C33708">
    <w:pPr>
      <w:pStyle w:val="En-tte"/>
    </w:pPr>
  </w:p>
  <w:p w14:paraId="74789526" w14:textId="77777777" w:rsidR="002B6624" w:rsidRDefault="002B6624" w:rsidP="00C33708">
    <w:pPr>
      <w:pStyle w:val="En-tte"/>
    </w:pPr>
  </w:p>
  <w:p w14:paraId="50FEBA0E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42717563">
    <w:abstractNumId w:val="3"/>
  </w:num>
  <w:num w:numId="2" w16cid:durableId="122314419">
    <w:abstractNumId w:val="1"/>
  </w:num>
  <w:num w:numId="3" w16cid:durableId="1175150200">
    <w:abstractNumId w:val="2"/>
  </w:num>
  <w:num w:numId="4" w16cid:durableId="1515026045">
    <w:abstractNumId w:val="0"/>
  </w:num>
  <w:num w:numId="5" w16cid:durableId="196812470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4089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44143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37D5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74430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44B59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44E32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138F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0656B"/>
    <w:rsid w:val="00E16E99"/>
    <w:rsid w:val="00E42B44"/>
    <w:rsid w:val="00E61F03"/>
    <w:rsid w:val="00E814A4"/>
    <w:rsid w:val="00EA1ED6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B18C4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595AD7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BD63EE31-58E7-40B6-A850-DF6A651A981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B9066F6-1E8E-4BD4-8423-DEB4555422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F094C81-A5F3-4D51-959F-6696B12E2323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0989CEB9-82F2-4FE2-8BB0-00C0805EE18B}">
  <ds:schemaRefs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http://purl.org/dc/dcmitype/"/>
    <ds:schemaRef ds:uri="http://schemas.openxmlformats.org/package/2006/metadata/core-properties"/>
    <ds:schemaRef ds:uri="0ad0e0a9-ab9a-4e6f-9f02-d25f1222e6d5"/>
    <ds:schemaRef ds:uri="http://purl.org/dc/terms/"/>
    <ds:schemaRef ds:uri="d486a57a-bb99-4dc9-bf99-6c7c10447675"/>
    <ds:schemaRef ds:uri="http://schemas.microsoft.com/office/2006/metadata/propertie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CERTIFICAT-BUSSY-TONERO%20HST%20STAGE%20V.dotx</Template>
  <TotalTime>32</TotalTime>
  <Pages>1</Pages>
  <Words>269</Words>
  <Characters>1857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2025-11-03T10:59:00Z</dcterms:created>
  <dcterms:modified xsi:type="dcterms:W3CDTF">2025-11-03T11:30:00Z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2023-10-11T12:28:39Z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