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D0CCE4" w14:textId="0B7CCA69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D7DF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F922B42" wp14:editId="58D55723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513174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9B899EF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DE2F4D2" w14:textId="437FE122" w:rsidR="003D196D" w:rsidRP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«prenom»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6D719A6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04FFA470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5E5419D4" w14:textId="26D4866A" w:rsid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«course_full_name»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5B6FBC3F" w14:textId="13FE9481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0969A2">
              <w:rPr>
                <w:rFonts w:ascii="Titillium" w:hAnsi="Titillium" w:cs="Arial"/>
                <w:b/>
                <w:bCs/>
                <w:noProof/>
              </w:rPr>
              <w:t>«datedebutsession»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0969A2">
              <w:rPr>
                <w:rFonts w:ascii="Titillium" w:hAnsi="Titillium" w:cs="Arial"/>
                <w:b/>
                <w:bCs/>
                <w:noProof/>
              </w:rPr>
              <w:t>«datefinsession»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duration_in_hours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0969A2">
              <w:rPr>
                <w:rFonts w:ascii="Titillium" w:hAnsi="Titillium" w:cs="Arial"/>
                <w:noProof/>
              </w:rPr>
              <w:t>«</w:t>
            </w:r>
            <w:proofErr w:type="spellStart"/>
            <w:r w:rsidR="000969A2">
              <w:rPr>
                <w:rFonts w:ascii="Titillium" w:hAnsi="Titillium" w:cs="Arial"/>
                <w:noProof/>
              </w:rPr>
              <w:t>duration_in_hours»</w:t>
            </w:r>
            <w:r w:rsidR="000969A2">
              <w:rPr>
                <w:rFonts w:ascii="Titillium" w:hAnsi="Titillium" w:cs="Arial"/>
              </w:rPr>
              <w:fldChar w:fldCharType="end"/>
            </w:r>
            <w:r w:rsidR="000969A2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68959BBE" w14:textId="712ED77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969A2">
              <w:rPr>
                <w:rFonts w:ascii="Titillium" w:hAnsi="Titillium" w:cs="Arial"/>
                <w:sz w:val="24"/>
              </w:rPr>
              <w:fldChar w:fldCharType="begin"/>
            </w:r>
            <w:r w:rsidR="000969A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0969A2">
              <w:rPr>
                <w:rFonts w:ascii="Titillium" w:hAnsi="Titillium" w:cs="Arial"/>
                <w:sz w:val="24"/>
              </w:rPr>
              <w:fldChar w:fldCharType="separate"/>
            </w:r>
            <w:r w:rsidR="000969A2">
              <w:rPr>
                <w:rFonts w:ascii="Titillium" w:hAnsi="Titillium" w:cs="Arial"/>
                <w:noProof/>
                <w:sz w:val="24"/>
              </w:rPr>
              <w:t>«fmc»</w:t>
            </w:r>
            <w:r w:rsidR="000969A2">
              <w:rPr>
                <w:rFonts w:ascii="Titillium" w:hAnsi="Titillium" w:cs="Arial"/>
                <w:sz w:val="24"/>
              </w:rPr>
              <w:fldChar w:fldCharType="end"/>
            </w:r>
          </w:p>
          <w:p w14:paraId="4E84C694" w14:textId="1CDBF6C7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969A2">
              <w:rPr>
                <w:rFonts w:ascii="Titillium" w:hAnsi="Titillium" w:cs="Arial"/>
                <w:szCs w:val="16"/>
              </w:rPr>
              <w:fldChar w:fldCharType="begin"/>
            </w:r>
            <w:r w:rsidR="000969A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969A2">
              <w:rPr>
                <w:rFonts w:ascii="Titillium" w:hAnsi="Titillium" w:cs="Arial"/>
                <w:szCs w:val="16"/>
              </w:rPr>
              <w:fldChar w:fldCharType="separate"/>
            </w:r>
            <w:r w:rsidR="000969A2">
              <w:rPr>
                <w:rFonts w:ascii="Titillium" w:hAnsi="Titillium" w:cs="Arial"/>
                <w:noProof/>
                <w:szCs w:val="16"/>
              </w:rPr>
              <w:t>«code_cpne»</w:t>
            </w:r>
            <w:r w:rsidR="000969A2">
              <w:rPr>
                <w:rFonts w:ascii="Titillium" w:hAnsi="Titillium" w:cs="Arial"/>
                <w:szCs w:val="16"/>
              </w:rPr>
              <w:fldChar w:fldCharType="end"/>
            </w:r>
          </w:p>
          <w:p w14:paraId="56C2ED96" w14:textId="176BC9A4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formateur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0969A2">
              <w:rPr>
                <w:rFonts w:ascii="Titillium" w:hAnsi="Titillium" w:cs="Arial"/>
                <w:noProof/>
              </w:rPr>
              <w:t>«formateur»</w:t>
            </w:r>
            <w:r w:rsidR="000969A2">
              <w:rPr>
                <w:rFonts w:ascii="Titillium" w:hAnsi="Titillium" w:cs="Arial"/>
              </w:rPr>
              <w:fldChar w:fldCharType="end"/>
            </w:r>
            <w:r w:rsidR="000969A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F217AD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271904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F62AC3" w14:textId="77777777" w:rsidR="007D400E" w:rsidRPr="005E39A3" w:rsidRDefault="007D400E" w:rsidP="00135F15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63D33282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845A3D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le display avec ses différents menus.</w:t>
      </w:r>
    </w:p>
    <w:p w14:paraId="62ABE15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76F0F68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09B646A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52ED27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04DF4D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0C236A3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B6D240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1AC9C3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F1E850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C6A0221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79E0873F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traction, le levage</w:t>
      </w:r>
      <w:r>
        <w:rPr>
          <w:rFonts w:ascii="Titillium" w:hAnsi="Titillium" w:cs="Arial"/>
          <w:color w:val="000000"/>
          <w:sz w:val="18"/>
          <w:szCs w:val="18"/>
        </w:rPr>
        <w:t>, le circuit de freinage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et la direction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35B1853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Parties hydrauliques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les différents circuits pour le levage, la direction, le freinage et le refroidissement.</w:t>
      </w:r>
    </w:p>
    <w:p w14:paraId="76510052" w14:textId="77777777" w:rsidR="007D400E" w:rsidRPr="002D3250" w:rsidRDefault="007D400E" w:rsidP="007D400E">
      <w:pPr>
        <w:rPr>
          <w:rFonts w:ascii="Titillium" w:hAnsi="Titillium"/>
          <w:sz w:val="8"/>
          <w:szCs w:val="8"/>
        </w:rPr>
      </w:pPr>
    </w:p>
    <w:p w14:paraId="1C864C77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>
        <w:rPr>
          <w:rFonts w:ascii="Titillium" w:hAnsi="Titillium" w:cs="Arial"/>
          <w:b/>
          <w:sz w:val="18"/>
          <w:szCs w:val="18"/>
        </w:rPr>
        <w:t xml:space="preserve"> – interface homme/machine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673042AD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417AD1B2" w14:textId="77777777" w:rsidR="007D400E" w:rsidRPr="007E7D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6"/>
          <w:szCs w:val="16"/>
        </w:rPr>
      </w:pPr>
      <w:r w:rsidRPr="007E7D0E">
        <w:rPr>
          <w:rFonts w:ascii="Titillium" w:hAnsi="Titillium" w:cs="Arial"/>
          <w:color w:val="000000"/>
          <w:sz w:val="18"/>
          <w:szCs w:val="18"/>
        </w:rPr>
        <w:t>Utilisation du display</w:t>
      </w:r>
      <w:r w:rsidRPr="007E7D0E">
        <w:rPr>
          <w:rFonts w:ascii="Calibri" w:hAnsi="Calibri" w:cs="Calibri"/>
          <w:color w:val="000000"/>
          <w:sz w:val="18"/>
          <w:szCs w:val="18"/>
        </w:rPr>
        <w:t> </w:t>
      </w:r>
      <w:r w:rsidRPr="007E7D0E">
        <w:rPr>
          <w:rFonts w:ascii="Titillium" w:hAnsi="Titillium" w:cs="Arial"/>
          <w:color w:val="000000"/>
          <w:sz w:val="18"/>
          <w:szCs w:val="18"/>
        </w:rPr>
        <w:t xml:space="preserve">: </w:t>
      </w:r>
      <w:r>
        <w:rPr>
          <w:rFonts w:ascii="Titillium" w:hAnsi="Titillium" w:cs="Arial"/>
          <w:color w:val="000000"/>
          <w:sz w:val="18"/>
          <w:szCs w:val="18"/>
        </w:rPr>
        <w:t>g</w:t>
      </w:r>
      <w:r w:rsidRPr="007E7D0E">
        <w:rPr>
          <w:rFonts w:ascii="Titillium" w:hAnsi="Titillium" w:cs="Arial"/>
          <w:sz w:val="18"/>
          <w:szCs w:val="18"/>
        </w:rPr>
        <w:t>estion des utilisateurs, les réglages avec Tuning, Options, Matching.</w:t>
      </w:r>
    </w:p>
    <w:p w14:paraId="1FCB7441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5B37AC3E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01D79D12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47B1672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BCEEBB4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4C35537F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34D119C3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D6138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33B7D2A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E19E5E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295AB75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2DF677E" w14:textId="2505EEFE" w:rsidR="002B6624" w:rsidRPr="002B6624" w:rsidRDefault="00AD7DF5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5925EB0" wp14:editId="6ABFD048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0969A2">
        <w:rPr>
          <w:rFonts w:ascii="Arial" w:hAnsi="Arial" w:cs="Arial"/>
        </w:rPr>
        <w:fldChar w:fldCharType="begin"/>
      </w:r>
      <w:r w:rsidR="000969A2">
        <w:rPr>
          <w:rFonts w:ascii="Arial" w:hAnsi="Arial" w:cs="Arial"/>
        </w:rPr>
        <w:instrText xml:space="preserve"> MERGEFIELD fmc </w:instrText>
      </w:r>
      <w:r w:rsidR="000969A2">
        <w:rPr>
          <w:rFonts w:ascii="Arial" w:hAnsi="Arial" w:cs="Arial"/>
        </w:rPr>
        <w:fldChar w:fldCharType="separate"/>
      </w:r>
      <w:r w:rsidR="000969A2">
        <w:rPr>
          <w:rFonts w:ascii="Arial" w:hAnsi="Arial" w:cs="Arial"/>
          <w:noProof/>
        </w:rPr>
        <w:t>«fmc»</w:t>
      </w:r>
      <w:r w:rsidR="000969A2">
        <w:rPr>
          <w:rFonts w:ascii="Arial" w:hAnsi="Arial" w:cs="Arial"/>
        </w:rPr>
        <w:fldChar w:fldCharType="end"/>
      </w:r>
      <w:r w:rsidR="000969A2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0969A2">
        <w:rPr>
          <w:rFonts w:ascii="Arial" w:hAnsi="Arial" w:cs="Arial"/>
          <w:b/>
          <w:bCs/>
        </w:rPr>
        <w:fldChar w:fldCharType="begin"/>
      </w:r>
      <w:r w:rsidR="000969A2">
        <w:rPr>
          <w:rFonts w:ascii="Arial" w:hAnsi="Arial" w:cs="Arial"/>
          <w:b/>
          <w:bCs/>
        </w:rPr>
        <w:instrText xml:space="preserve"> TIME \@ "dd/MM/yyyy" </w:instrText>
      </w:r>
      <w:r w:rsidR="000969A2">
        <w:rPr>
          <w:rFonts w:ascii="Arial" w:hAnsi="Arial" w:cs="Arial"/>
          <w:b/>
          <w:bCs/>
        </w:rPr>
        <w:fldChar w:fldCharType="separate"/>
      </w:r>
      <w:r w:rsidR="000969A2">
        <w:rPr>
          <w:rFonts w:ascii="Arial" w:hAnsi="Arial" w:cs="Arial"/>
          <w:b/>
          <w:bCs/>
          <w:noProof/>
        </w:rPr>
        <w:t>03/11/2025</w:t>
      </w:r>
      <w:r w:rsidR="000969A2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23AC84" w14:textId="77777777" w:rsidR="004876DA" w:rsidRDefault="004876DA">
      <w:r>
        <w:separator/>
      </w:r>
    </w:p>
  </w:endnote>
  <w:endnote w:type="continuationSeparator" w:id="0">
    <w:p w14:paraId="4222ECD0" w14:textId="77777777" w:rsidR="004876DA" w:rsidRDefault="00487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FC8EEE" w14:textId="2F6D394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A040B50" w14:textId="633B6782" w:rsidR="002B6624" w:rsidRDefault="00AD7DF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DCCCA39" wp14:editId="1899E6E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E8525A" w14:textId="690CE9AB" w:rsidR="002B6624" w:rsidRDefault="000969A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>
      <w:rPr>
        <w:noProof/>
        <w:sz w:val="20"/>
        <w:lang w:val="fr-FR"/>
      </w:rPr>
      <w:t>«formateur»</w:t>
    </w:r>
    <w:r>
      <w:rPr>
        <w:sz w:val="20"/>
        <w:lang w:val="fr-FR"/>
      </w:rPr>
      <w:fldChar w:fldCharType="end"/>
    </w:r>
  </w:p>
  <w:p w14:paraId="22ABFE4B" w14:textId="33630C6A" w:rsidR="002403BB" w:rsidRPr="000D30DE" w:rsidRDefault="00AD7DF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7476B828" wp14:editId="533F030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0983D35E" wp14:editId="49A8029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215061F1" wp14:editId="04CF43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3B47548B" w14:textId="03D071C0" w:rsidR="002403BB" w:rsidRDefault="00AD7DF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23CA1526" wp14:editId="18DD7B50">
          <wp:simplePos x="0" y="0"/>
          <wp:positionH relativeFrom="column">
            <wp:posOffset>5137785</wp:posOffset>
          </wp:positionH>
          <wp:positionV relativeFrom="paragraph">
            <wp:posOffset>5080</wp:posOffset>
          </wp:positionV>
          <wp:extent cx="1731010" cy="44323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010" cy="443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1A9A07EE" wp14:editId="5A6062C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A83356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6A4B99C" w14:textId="31EA1329" w:rsidR="002403BB" w:rsidRPr="005575E2" w:rsidRDefault="00AD7DF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22F06FC" wp14:editId="01D3B59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389859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6CE99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2F06F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6CE99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87185E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62B3F99" w14:textId="756CE7E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D7DF5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012BBD01" wp14:editId="6763A99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D7DF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05FE7F79" wp14:editId="2323E5B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15113D" w14:textId="77777777" w:rsidR="004876DA" w:rsidRDefault="004876DA">
      <w:r>
        <w:separator/>
      </w:r>
    </w:p>
  </w:footnote>
  <w:footnote w:type="continuationSeparator" w:id="0">
    <w:p w14:paraId="307F348E" w14:textId="77777777" w:rsidR="004876DA" w:rsidRDefault="00487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170B6" w14:textId="065A2D5D" w:rsidR="002403BB" w:rsidRDefault="00AD7DF5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608998FA" wp14:editId="2E6C287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5ADE17D" w14:textId="77777777" w:rsidR="000C537F" w:rsidRDefault="000C537F" w:rsidP="00C33708">
    <w:pPr>
      <w:pStyle w:val="En-tte"/>
    </w:pPr>
  </w:p>
  <w:p w14:paraId="3AB05D6A" w14:textId="77777777" w:rsidR="000C537F" w:rsidRDefault="000C537F" w:rsidP="00C33708">
    <w:pPr>
      <w:pStyle w:val="En-tte"/>
    </w:pPr>
  </w:p>
  <w:p w14:paraId="1AFC7FA8" w14:textId="77777777" w:rsidR="002B6624" w:rsidRDefault="002B6624" w:rsidP="00C33708">
    <w:pPr>
      <w:pStyle w:val="En-tte"/>
    </w:pPr>
  </w:p>
  <w:p w14:paraId="63BA02D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0072364">
    <w:abstractNumId w:val="3"/>
  </w:num>
  <w:num w:numId="2" w16cid:durableId="238753352">
    <w:abstractNumId w:val="1"/>
  </w:num>
  <w:num w:numId="3" w16cid:durableId="2053382687">
    <w:abstractNumId w:val="2"/>
  </w:num>
  <w:num w:numId="4" w16cid:durableId="781071907">
    <w:abstractNumId w:val="0"/>
  </w:num>
  <w:num w:numId="5" w16cid:durableId="61984094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8B0"/>
    <w:rsid w:val="00041203"/>
    <w:rsid w:val="000559E0"/>
    <w:rsid w:val="0006017E"/>
    <w:rsid w:val="00062ADB"/>
    <w:rsid w:val="00072C91"/>
    <w:rsid w:val="00074FA8"/>
    <w:rsid w:val="00082223"/>
    <w:rsid w:val="0008323D"/>
    <w:rsid w:val="000969A2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338D"/>
    <w:rsid w:val="00117E76"/>
    <w:rsid w:val="001347E9"/>
    <w:rsid w:val="00135F15"/>
    <w:rsid w:val="00142155"/>
    <w:rsid w:val="00143A68"/>
    <w:rsid w:val="0014535B"/>
    <w:rsid w:val="00166A45"/>
    <w:rsid w:val="001A2103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876DA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400E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D7DF5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22FE0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762BA7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2C582C3C-4C43-45C9-A0AB-3E82E733C6A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27A1F94-E168-4DD9-B529-25562E860DF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5BE5CA6-2FFF-40D7-87DB-F2DD662F696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CB387C6-E8F9-40B6-87F2-A1ED300FD6AF}">
  <ds:schemaRefs>
    <ds:schemaRef ds:uri="http://schemas.microsoft.com/office/2006/documentManagement/types"/>
    <ds:schemaRef ds:uri="http://purl.org/dc/elements/1.1/"/>
    <ds:schemaRef ds:uri="http://www.w3.org/XML/1998/namespace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d486a57a-bb99-4dc9-bf99-6c7c10447675"/>
    <ds:schemaRef ds:uri="0ad0e0a9-ab9a-4e6f-9f02-d25f1222e6d5"/>
    <ds:schemaRef ds:uri="http://schemas.microsoft.com/office/2006/metadata/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CERTIFICAT-TRAIGO%2080%20SERIE%209%2060-80.dotx</Template>
  <TotalTime>3</TotalTime>
  <Pages>1</Pages>
  <Words>247</Words>
  <Characters>1727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16</vt:i4>
      </vt:variant>
    </vt:vector>
  </HeadingPairs>
  <TitlesOfParts>
    <vt:vector size="17" baseType="lpstr">
      <vt:lpstr/>
      <vt:lpstr>    Définir l’implantation des composants électriques, mécaniques et hydrauliques</vt:lpstr>
      <vt:lpstr>    Utiliser le display avec ses différents menus.</vt:lpstr>
      <vt:lpstr>    Utiliser l’application CB TruckCom dans les procédures de mise à jour, étalonnag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traction, le levage, le circuit de fr</vt:lpstr>
      <vt:lpstr>    Parties hydrauliques : les différents circuits pour le levage, la direction, le </vt:lpstr>
      <vt:lpstr>    Utilisation de la machine</vt:lpstr>
      <vt:lpstr>    Utilisation du display : gestion des utilisateurs, les réglages avec Tuning, Opt</vt:lpstr>
      <vt:lpstr>    Rapport et Sauvegarde de paramètres</vt:lpstr>
      <vt:lpstr>    Réglages et étalonnages</vt:lpstr>
      <vt:lpstr>    Mise à jour des cartes et display</vt:lpstr>
      <vt:lpstr>    Diagnostics, lecture de valeurs et signaux.</vt:lpstr>
      <vt:lpstr>    </vt:lpstr>
    </vt:vector>
  </TitlesOfParts>
  <Company/>
  <LinksUpToDate>false</LinksUpToDate>
  <CharactersWithSpaces>1971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3</cp:revision>
  <cp:lastPrinted>2023-02-10T10:33:00Z</cp:lastPrinted>
  <dcterms:created xsi:type="dcterms:W3CDTF">2025-11-03T11:37:00Z</dcterms:created>
  <dcterms:modified xsi:type="dcterms:W3CDTF">2025-11-03T11:39:00Z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2024-01-29T09:42:13Z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