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EF025F" w14:textId="121B8AF8" w:rsidR="003D196D" w:rsidRPr="003D196D" w:rsidRDefault="00C0597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944E32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3CCB74EE" wp14:editId="29851CA9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73AEFAC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470FE741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1B096863" w14:textId="717216A1" w:rsidR="003D196D" w:rsidRPr="003D196D" w:rsidRDefault="004437D5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E21691" w:rsidRPr="003D0F66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E21691" w:rsidRPr="003D0F66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52F65BB4" w14:textId="54057139" w:rsidR="003D196D" w:rsidRPr="002E50F3" w:rsidRDefault="00E21691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E21691">
              <w:rPr>
                <w:rFonts w:ascii="Titillium" w:hAnsi="Titillium" w:cs="Arial"/>
                <w:b/>
                <w:sz w:val="24"/>
                <w:szCs w:val="24"/>
              </w:rPr>
              <w:t xml:space="preserve">A participé </w:t>
            </w:r>
            <w:r w:rsidR="00C05972">
              <w:rPr>
                <w:rFonts w:ascii="Titillium" w:hAnsi="Titillium" w:cs="Arial"/>
                <w:b/>
                <w:sz w:val="24"/>
                <w:szCs w:val="24"/>
              </w:rPr>
              <w:t>à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5028FC01" w14:textId="77777777" w:rsidR="00EA1ED6" w:rsidRPr="003D196D" w:rsidRDefault="00EA1ED6" w:rsidP="00EA1ED6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</w:t>
            </w:r>
            <w:r>
              <w:rPr>
                <w:rFonts w:ascii="Titillium" w:hAnsi="Titillium" w:cs="Arial"/>
                <w:bCs/>
                <w:sz w:val="24"/>
                <w:szCs w:val="24"/>
              </w:rPr>
              <w:t xml:space="preserve"> Frontaux Thermiques avec Transmission hydrostatique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</w:t>
            </w:r>
          </w:p>
          <w:p w14:paraId="4F58969E" w14:textId="1EAF3F62" w:rsidR="00EA1ED6" w:rsidRDefault="004437D5" w:rsidP="00EA1ED6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E21691" w:rsidRPr="003D0F66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14970697" w14:textId="45B75B01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BC138F">
              <w:rPr>
                <w:rFonts w:ascii="Titillium" w:hAnsi="Titillium" w:cs="Arial"/>
              </w:rPr>
              <w:t>Dates de la formation</w:t>
            </w:r>
            <w:r w:rsidRPr="00BC138F">
              <w:rPr>
                <w:rFonts w:ascii="Calibri" w:hAnsi="Calibri" w:cs="Calibri"/>
              </w:rPr>
              <w:t> </w:t>
            </w:r>
            <w:r w:rsidRPr="00BC138F">
              <w:rPr>
                <w:rFonts w:ascii="Titillium" w:hAnsi="Titillium" w:cs="Arial"/>
              </w:rPr>
              <w:t>:</w:t>
            </w:r>
            <w:r w:rsidRPr="00BC138F">
              <w:rPr>
                <w:rFonts w:ascii="Titillium" w:hAnsi="Titillium" w:cs="Arial"/>
                <w:b/>
                <w:bCs/>
              </w:rPr>
              <w:t xml:space="preserve"> </w:t>
            </w:r>
            <w:r w:rsidR="00BC138F" w:rsidRPr="00BC138F">
              <w:rPr>
                <w:rFonts w:ascii="Titillium" w:hAnsi="Titillium" w:cs="Arial"/>
                <w:b/>
                <w:bCs/>
              </w:rPr>
              <w:t xml:space="preserve"> </w:t>
            </w:r>
            <w:r w:rsidRPr="00BC138F">
              <w:rPr>
                <w:rFonts w:ascii="Titillium" w:hAnsi="Titillium" w:cs="Arial"/>
                <w:b/>
                <w:bCs/>
              </w:rPr>
              <w:t xml:space="preserve">du </w:t>
            </w:r>
            <w:r w:rsidR="004437D5">
              <w:rPr>
                <w:rFonts w:ascii="Titillium" w:hAnsi="Titillium" w:cs="Arial"/>
                <w:b/>
                <w:bCs/>
              </w:rPr>
              <w:fldChar w:fldCharType="begin"/>
            </w:r>
            <w:r w:rsidR="004437D5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4437D5">
              <w:rPr>
                <w:rFonts w:ascii="Titillium" w:hAnsi="Titillium" w:cs="Arial"/>
                <w:b/>
                <w:bCs/>
              </w:rPr>
              <w:fldChar w:fldCharType="separate"/>
            </w:r>
            <w:r w:rsidR="00E21691" w:rsidRPr="003D0F66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4437D5">
              <w:rPr>
                <w:rFonts w:ascii="Titillium" w:hAnsi="Titillium" w:cs="Arial"/>
                <w:b/>
                <w:bCs/>
              </w:rPr>
              <w:fldChar w:fldCharType="end"/>
            </w:r>
            <w:r w:rsidR="004437D5">
              <w:rPr>
                <w:rFonts w:ascii="Titillium" w:hAnsi="Titillium" w:cs="Arial"/>
                <w:b/>
                <w:bCs/>
              </w:rPr>
              <w:t xml:space="preserve"> </w:t>
            </w:r>
            <w:r w:rsidRPr="00BC138F">
              <w:rPr>
                <w:rFonts w:ascii="Titillium" w:hAnsi="Titillium" w:cs="Arial"/>
                <w:b/>
                <w:bCs/>
              </w:rPr>
              <w:t xml:space="preserve">au </w:t>
            </w:r>
            <w:r w:rsidR="004437D5">
              <w:rPr>
                <w:rFonts w:ascii="Titillium" w:hAnsi="Titillium" w:cs="Arial"/>
                <w:b/>
                <w:bCs/>
              </w:rPr>
              <w:fldChar w:fldCharType="begin"/>
            </w:r>
            <w:r w:rsidR="004437D5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4437D5">
              <w:rPr>
                <w:rFonts w:ascii="Titillium" w:hAnsi="Titillium" w:cs="Arial"/>
                <w:b/>
                <w:bCs/>
              </w:rPr>
              <w:fldChar w:fldCharType="separate"/>
            </w:r>
            <w:r w:rsidR="00E21691" w:rsidRPr="003D0F66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4437D5">
              <w:rPr>
                <w:rFonts w:ascii="Titillium" w:hAnsi="Titillium" w:cs="Arial"/>
                <w:b/>
                <w:bCs/>
              </w:rPr>
              <w:fldChar w:fldCharType="end"/>
            </w:r>
            <w:r w:rsidR="004437D5">
              <w:rPr>
                <w:rFonts w:ascii="Titillium" w:hAnsi="Titillium" w:cs="Arial"/>
                <w:b/>
                <w:bCs/>
              </w:rPr>
              <w:t xml:space="preserve"> </w:t>
            </w:r>
            <w:r w:rsidRPr="00BC138F">
              <w:rPr>
                <w:rFonts w:ascii="Titillium" w:hAnsi="Titillium" w:cs="Arial"/>
                <w:b/>
                <w:bCs/>
              </w:rPr>
              <w:t xml:space="preserve">pour une durée de </w:t>
            </w:r>
            <w:r w:rsidR="004437D5">
              <w:rPr>
                <w:rFonts w:ascii="Titillium" w:hAnsi="Titillium" w:cs="Arial"/>
                <w:b/>
                <w:bCs/>
              </w:rPr>
              <w:fldChar w:fldCharType="begin"/>
            </w:r>
            <w:r w:rsidR="004437D5">
              <w:rPr>
                <w:rFonts w:ascii="Titillium" w:hAnsi="Titillium" w:cs="Arial"/>
                <w:b/>
                <w:bCs/>
              </w:rPr>
              <w:instrText xml:space="preserve"> MERGEFIELD duration_in_hours </w:instrText>
            </w:r>
            <w:r w:rsidR="004437D5">
              <w:rPr>
                <w:rFonts w:ascii="Titillium" w:hAnsi="Titillium" w:cs="Arial"/>
                <w:b/>
                <w:bCs/>
              </w:rPr>
              <w:fldChar w:fldCharType="separate"/>
            </w:r>
            <w:r w:rsidR="00E21691" w:rsidRPr="003D0F66">
              <w:rPr>
                <w:rFonts w:ascii="Titillium" w:hAnsi="Titillium" w:cs="Arial"/>
                <w:b/>
                <w:bCs/>
                <w:noProof/>
              </w:rPr>
              <w:t>12</w:t>
            </w:r>
            <w:r w:rsidR="004437D5">
              <w:rPr>
                <w:rFonts w:ascii="Titillium" w:hAnsi="Titillium" w:cs="Arial"/>
                <w:b/>
                <w:bCs/>
              </w:rPr>
              <w:fldChar w:fldCharType="end"/>
            </w:r>
            <w:r w:rsidR="004437D5">
              <w:rPr>
                <w:rFonts w:ascii="Titillium" w:hAnsi="Titillium" w:cs="Arial"/>
                <w:b/>
                <w:bCs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00E48482" w14:textId="7603BBDF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BC138F">
              <w:rPr>
                <w:rFonts w:ascii="Titillium" w:hAnsi="Titillium" w:cs="Arial"/>
                <w:bCs/>
              </w:rPr>
              <w:t>Lieu de la formation</w:t>
            </w:r>
            <w:r w:rsidRPr="00BC138F">
              <w:rPr>
                <w:rFonts w:ascii="Calibri" w:hAnsi="Calibri" w:cs="Calibri"/>
                <w:bCs/>
              </w:rPr>
              <w:t> </w:t>
            </w:r>
            <w:r w:rsidRPr="00BC138F">
              <w:rPr>
                <w:rFonts w:ascii="Titillium" w:hAnsi="Titillium" w:cs="Arial"/>
                <w:bCs/>
              </w:rPr>
              <w:t>:</w:t>
            </w:r>
            <w:r w:rsidR="00BC138F">
              <w:rPr>
                <w:rFonts w:ascii="Titillium" w:hAnsi="Titillium" w:cs="Arial"/>
              </w:rPr>
              <w:t xml:space="preserve">     </w:t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4437D5">
              <w:rPr>
                <w:rFonts w:ascii="Titillium" w:hAnsi="Titillium" w:cs="Arial"/>
                <w:sz w:val="24"/>
              </w:rPr>
              <w:fldChar w:fldCharType="begin"/>
            </w:r>
            <w:r w:rsidR="004437D5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4437D5">
              <w:rPr>
                <w:rFonts w:ascii="Titillium" w:hAnsi="Titillium" w:cs="Arial"/>
                <w:sz w:val="24"/>
              </w:rPr>
              <w:fldChar w:fldCharType="separate"/>
            </w:r>
            <w:r w:rsidR="00E21691" w:rsidRPr="003D0F66">
              <w:rPr>
                <w:rFonts w:ascii="Titillium" w:hAnsi="Titillium" w:cs="Arial"/>
                <w:noProof/>
                <w:sz w:val="24"/>
              </w:rPr>
              <w:t>BUSSY</w:t>
            </w:r>
            <w:r w:rsidR="004437D5">
              <w:rPr>
                <w:rFonts w:ascii="Titillium" w:hAnsi="Titillium" w:cs="Arial"/>
                <w:sz w:val="24"/>
              </w:rPr>
              <w:fldChar w:fldCharType="end"/>
            </w:r>
          </w:p>
          <w:p w14:paraId="59BC24CD" w14:textId="4D056226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 w:rsidRPr="00BC138F">
              <w:rPr>
                <w:rFonts w:ascii="Titillium" w:hAnsi="Titillium" w:cs="Arial"/>
                <w:szCs w:val="16"/>
              </w:rPr>
              <w:t>Code CPNE</w:t>
            </w:r>
            <w:r w:rsidRPr="00BC138F">
              <w:rPr>
                <w:rFonts w:ascii="Calibri" w:hAnsi="Calibri" w:cs="Calibri"/>
                <w:szCs w:val="16"/>
              </w:rPr>
              <w:t> </w:t>
            </w:r>
            <w:r w:rsidRPr="00BC138F">
              <w:rPr>
                <w:rFonts w:ascii="Titillium" w:hAnsi="Titillium" w:cs="Arial"/>
                <w:szCs w:val="16"/>
              </w:rPr>
              <w:t>: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 </w:t>
            </w:r>
            <w:r w:rsidR="00BC138F">
              <w:rPr>
                <w:rFonts w:ascii="Titillium" w:hAnsi="Titillium" w:cs="Arial"/>
                <w:b/>
                <w:bCs/>
                <w:szCs w:val="16"/>
              </w:rPr>
              <w:t xml:space="preserve">                    </w:t>
            </w:r>
            <w:r w:rsidR="004437D5">
              <w:rPr>
                <w:rFonts w:ascii="Titillium" w:hAnsi="Titillium" w:cs="Arial"/>
                <w:b/>
                <w:bCs/>
                <w:szCs w:val="16"/>
              </w:rPr>
              <w:fldChar w:fldCharType="begin"/>
            </w:r>
            <w:r w:rsidR="004437D5">
              <w:rPr>
                <w:rFonts w:ascii="Titillium" w:hAnsi="Titillium" w:cs="Arial"/>
                <w:b/>
                <w:bCs/>
                <w:szCs w:val="16"/>
              </w:rPr>
              <w:instrText xml:space="preserve"> MERGEFIELD code_cpne </w:instrText>
            </w:r>
            <w:r w:rsidR="004437D5">
              <w:rPr>
                <w:rFonts w:ascii="Titillium" w:hAnsi="Titillium" w:cs="Arial"/>
                <w:b/>
                <w:bCs/>
                <w:szCs w:val="16"/>
              </w:rPr>
              <w:fldChar w:fldCharType="separate"/>
            </w:r>
            <w:r w:rsidR="00E21691" w:rsidRPr="003D0F66">
              <w:rPr>
                <w:rFonts w:ascii="Titillium" w:hAnsi="Titillium" w:cs="Arial"/>
                <w:b/>
                <w:bCs/>
                <w:noProof/>
                <w:szCs w:val="16"/>
              </w:rPr>
              <w:t>1404-T2-TE-61</w:t>
            </w:r>
            <w:r w:rsidR="004437D5">
              <w:rPr>
                <w:rFonts w:ascii="Titillium" w:hAnsi="Titillium" w:cs="Arial"/>
                <w:b/>
                <w:bCs/>
                <w:szCs w:val="16"/>
              </w:rPr>
              <w:fldChar w:fldCharType="end"/>
            </w:r>
          </w:p>
          <w:p w14:paraId="21DCA172" w14:textId="335AFA9C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BC138F">
              <w:rPr>
                <w:rFonts w:ascii="Titillium" w:hAnsi="Titillium" w:cs="Arial"/>
                <w:bCs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4437D5">
              <w:rPr>
                <w:rFonts w:ascii="Titillium" w:hAnsi="Titillium" w:cs="Arial"/>
                <w:b/>
                <w:bCs/>
              </w:rPr>
              <w:fldChar w:fldCharType="begin"/>
            </w:r>
            <w:r w:rsidR="004437D5">
              <w:rPr>
                <w:rFonts w:ascii="Titillium" w:hAnsi="Titillium" w:cs="Arial"/>
                <w:b/>
                <w:bCs/>
              </w:rPr>
              <w:instrText xml:space="preserve"> MERGEFIELD formateur </w:instrText>
            </w:r>
            <w:r w:rsidR="004437D5">
              <w:rPr>
                <w:rFonts w:ascii="Titillium" w:hAnsi="Titillium" w:cs="Arial"/>
                <w:b/>
                <w:bCs/>
              </w:rPr>
              <w:fldChar w:fldCharType="separate"/>
            </w:r>
            <w:r w:rsidR="00E21691" w:rsidRPr="003D0F66">
              <w:rPr>
                <w:rFonts w:ascii="Titillium" w:hAnsi="Titillium" w:cs="Arial"/>
                <w:b/>
                <w:bCs/>
                <w:noProof/>
              </w:rPr>
              <w:t>______________</w:t>
            </w:r>
            <w:r w:rsidR="004437D5">
              <w:rPr>
                <w:rFonts w:ascii="Titillium" w:hAnsi="Titillium" w:cs="Arial"/>
                <w:b/>
                <w:bCs/>
              </w:rPr>
              <w:fldChar w:fldCharType="end"/>
            </w:r>
            <w:r w:rsidR="004437D5">
              <w:rPr>
                <w:rFonts w:ascii="Titillium" w:hAnsi="Titillium" w:cs="Arial"/>
                <w:b/>
                <w:bCs/>
              </w:rPr>
              <w:t xml:space="preserve"> </w:t>
            </w:r>
            <w:r w:rsidRPr="00BC138F">
              <w:rPr>
                <w:rFonts w:ascii="Titillium" w:hAnsi="Titillium" w:cs="Arial"/>
                <w:b/>
                <w:bCs/>
              </w:rPr>
              <w:t>– Formateur Technique TMHFR</w:t>
            </w:r>
          </w:p>
          <w:p w14:paraId="282A509B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7A631B01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827860C" w14:textId="77777777" w:rsidR="00EA1ED6" w:rsidRPr="005E39A3" w:rsidRDefault="00EA1ED6" w:rsidP="00844B59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2F4E679B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Connaitre les </w:t>
      </w:r>
      <w:r>
        <w:rPr>
          <w:rFonts w:ascii="Titillium" w:hAnsi="Titillium" w:cs="Arial"/>
          <w:bCs/>
          <w:color w:val="000000"/>
          <w:sz w:val="18"/>
          <w:szCs w:val="18"/>
        </w:rPr>
        <w:t>différences</w:t>
      </w:r>
      <w:r w:rsidRPr="006412EB">
        <w:rPr>
          <w:rFonts w:ascii="Titillium" w:hAnsi="Titillium" w:cs="Arial"/>
          <w:bCs/>
          <w:color w:val="000000"/>
          <w:sz w:val="18"/>
          <w:szCs w:val="18"/>
        </w:rPr>
        <w:t xml:space="preserve"> et similitudes par rapport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au </w:t>
      </w:r>
      <w:proofErr w:type="spellStart"/>
      <w:r>
        <w:rPr>
          <w:rFonts w:ascii="Titillium" w:hAnsi="Titillium" w:cs="Arial"/>
          <w:bCs/>
          <w:color w:val="000000"/>
          <w:sz w:val="18"/>
          <w:szCs w:val="18"/>
        </w:rPr>
        <w:t>Tonero</w:t>
      </w:r>
      <w:proofErr w:type="spellEnd"/>
      <w:r>
        <w:rPr>
          <w:rFonts w:ascii="Titillium" w:hAnsi="Titillium" w:cs="Arial"/>
          <w:bCs/>
          <w:color w:val="000000"/>
          <w:sz w:val="18"/>
          <w:szCs w:val="18"/>
        </w:rPr>
        <w:t xml:space="preserve"> 15-35 standard équipé de la transmission TC</w:t>
      </w:r>
    </w:p>
    <w:p w14:paraId="6DE978B4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Définir l’implantation des composants électriques, mécaniques et hydrauliques</w:t>
      </w:r>
    </w:p>
    <w:p w14:paraId="30C8719A" w14:textId="77777777" w:rsidR="00EA1ED6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Utiliser l’application CB TruckCom dans les procédures de mise à jour, étalonnages et en diagnostic.</w:t>
      </w:r>
    </w:p>
    <w:p w14:paraId="14BADD1E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Utiliser l’application Engine Diag dans les procédures de diagnostic et de maintenance pour les motorisations.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5760193B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5FC175E7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1BD50CFD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1CB4C5AD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E103E22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302C98B6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39EB4959" w14:textId="77777777" w:rsidR="00EA1ED6" w:rsidRPr="006412EB" w:rsidRDefault="00EA1ED6" w:rsidP="00EA1ED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12699CE6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Composants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électrique</w:t>
      </w:r>
      <w:r>
        <w:rPr>
          <w:rFonts w:ascii="Titillium" w:hAnsi="Titillium" w:cs="Arial"/>
          <w:color w:val="000000"/>
          <w:sz w:val="18"/>
          <w:szCs w:val="18"/>
        </w:rPr>
        <w:t xml:space="preserve">s et </w:t>
      </w:r>
      <w:r w:rsidRPr="006412EB">
        <w:rPr>
          <w:rFonts w:ascii="Titillium" w:hAnsi="Titillium" w:cs="Arial"/>
          <w:color w:val="000000"/>
          <w:sz w:val="18"/>
          <w:szCs w:val="18"/>
        </w:rPr>
        <w:t>le</w:t>
      </w:r>
      <w:r>
        <w:rPr>
          <w:rFonts w:ascii="Titillium" w:hAnsi="Titillium" w:cs="Arial"/>
          <w:color w:val="000000"/>
          <w:sz w:val="18"/>
          <w:szCs w:val="18"/>
        </w:rPr>
        <w:t>s cartes du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circuit Can Bus.</w:t>
      </w:r>
    </w:p>
    <w:p w14:paraId="78B4D48E" w14:textId="77777777" w:rsidR="00EA1ED6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Composants hydrauliques</w:t>
      </w:r>
      <w:r>
        <w:rPr>
          <w:rFonts w:ascii="Titillium" w:hAnsi="Titillium" w:cs="Arial"/>
          <w:color w:val="000000"/>
          <w:sz w:val="18"/>
          <w:szCs w:val="18"/>
        </w:rPr>
        <w:t xml:space="preserve"> et hydrostatiques spécifiques à cette gamme HST.</w:t>
      </w:r>
    </w:p>
    <w:p w14:paraId="4C4B43D8" w14:textId="77777777" w:rsidR="00EA1ED6" w:rsidRPr="00D7323F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Lecture des schémas électriques et hydrauliques.</w:t>
      </w:r>
    </w:p>
    <w:p w14:paraId="7E76A3D6" w14:textId="77777777" w:rsidR="00EA1ED6" w:rsidRPr="002D3250" w:rsidRDefault="00EA1ED6" w:rsidP="00EA1ED6">
      <w:pPr>
        <w:rPr>
          <w:rFonts w:ascii="Titillium" w:hAnsi="Titillium"/>
          <w:sz w:val="8"/>
          <w:szCs w:val="8"/>
        </w:rPr>
      </w:pPr>
    </w:p>
    <w:p w14:paraId="287837F0" w14:textId="77777777" w:rsidR="00EA1ED6" w:rsidRPr="006412EB" w:rsidRDefault="00EA1ED6" w:rsidP="00EA1ED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2706BAF2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 et du display</w:t>
      </w:r>
    </w:p>
    <w:p w14:paraId="483E97B3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M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ise en sécurité </w:t>
      </w:r>
      <w:r>
        <w:rPr>
          <w:rFonts w:ascii="Titillium" w:hAnsi="Titillium" w:cs="Arial"/>
          <w:color w:val="000000"/>
          <w:sz w:val="18"/>
          <w:szCs w:val="18"/>
        </w:rPr>
        <w:t>du chariot avant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intervention</w:t>
      </w:r>
      <w:r>
        <w:rPr>
          <w:rFonts w:ascii="Titillium" w:hAnsi="Titillium" w:cs="Arial"/>
          <w:color w:val="000000"/>
          <w:sz w:val="18"/>
          <w:szCs w:val="18"/>
        </w:rPr>
        <w:t xml:space="preserve"> CB TruckCom</w:t>
      </w:r>
    </w:p>
    <w:p w14:paraId="244E9A4D" w14:textId="77777777" w:rsidR="00EA1ED6" w:rsidRPr="002D3250" w:rsidRDefault="00EA1ED6" w:rsidP="00EA1ED6">
      <w:pPr>
        <w:rPr>
          <w:rFonts w:ascii="Titillium" w:hAnsi="Titillium"/>
          <w:sz w:val="8"/>
          <w:szCs w:val="8"/>
        </w:rPr>
      </w:pPr>
    </w:p>
    <w:p w14:paraId="76824181" w14:textId="77777777" w:rsidR="00EA1ED6" w:rsidRPr="006412EB" w:rsidRDefault="00EA1ED6" w:rsidP="00EA1ED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Utilisation du CB TruckCom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7E17E147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752A64E3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 et étalonnages</w:t>
      </w:r>
    </w:p>
    <w:p w14:paraId="766D61A8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 et display</w:t>
      </w:r>
    </w:p>
    <w:p w14:paraId="5D485A59" w14:textId="77777777" w:rsidR="00EA1ED6" w:rsidRPr="002D3250" w:rsidRDefault="00EA1ED6" w:rsidP="00EA1ED6">
      <w:pPr>
        <w:rPr>
          <w:rFonts w:ascii="Titillium" w:hAnsi="Titillium"/>
          <w:sz w:val="8"/>
          <w:szCs w:val="8"/>
        </w:rPr>
      </w:pPr>
    </w:p>
    <w:p w14:paraId="3BBEECF6" w14:textId="77777777" w:rsidR="00EA1ED6" w:rsidRPr="006412EB" w:rsidRDefault="00EA1ED6" w:rsidP="00EA1ED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Utilisation d</w:t>
      </w:r>
      <w:r>
        <w:rPr>
          <w:rFonts w:ascii="Titillium" w:hAnsi="Titillium" w:cs="Arial"/>
          <w:b/>
          <w:sz w:val="18"/>
          <w:szCs w:val="18"/>
        </w:rPr>
        <w:t>e l’Engine Diag – interface moteur</w:t>
      </w:r>
      <w:r>
        <w:rPr>
          <w:rFonts w:ascii="Calibri" w:hAnsi="Calibri" w:cs="Calibri"/>
          <w:b/>
          <w:sz w:val="18"/>
          <w:szCs w:val="18"/>
        </w:rPr>
        <w:t> </w:t>
      </w:r>
      <w:r>
        <w:rPr>
          <w:rFonts w:ascii="Titillium" w:hAnsi="Titillium" w:cs="Arial"/>
          <w:b/>
          <w:sz w:val="18"/>
          <w:szCs w:val="18"/>
        </w:rPr>
        <w:t>:</w:t>
      </w:r>
    </w:p>
    <w:p w14:paraId="26957109" w14:textId="77777777" w:rsidR="00EA1ED6" w:rsidRPr="006412EB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Rappels composants motorisations GPL et Diesel</w:t>
      </w:r>
    </w:p>
    <w:p w14:paraId="4E1E2DAD" w14:textId="77777777" w:rsidR="00EA1ED6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Lecture de code erreur,</w:t>
      </w:r>
      <w:r w:rsidRPr="00D7323F">
        <w:rPr>
          <w:rFonts w:ascii="Titillium" w:hAnsi="Titillium" w:cs="Arial"/>
          <w:color w:val="000000"/>
          <w:sz w:val="18"/>
          <w:szCs w:val="18"/>
        </w:rPr>
        <w:t xml:space="preserve"> </w:t>
      </w:r>
      <w:r>
        <w:rPr>
          <w:rFonts w:ascii="Titillium" w:hAnsi="Titillium" w:cs="Arial"/>
          <w:color w:val="000000"/>
          <w:sz w:val="18"/>
          <w:szCs w:val="18"/>
        </w:rPr>
        <w:t>d</w:t>
      </w:r>
      <w:r w:rsidRPr="006412EB">
        <w:rPr>
          <w:rFonts w:ascii="Titillium" w:hAnsi="Titillium" w:cs="Arial"/>
          <w:color w:val="000000"/>
          <w:sz w:val="18"/>
          <w:szCs w:val="18"/>
        </w:rPr>
        <w:t>iagnostics</w:t>
      </w:r>
      <w:r>
        <w:rPr>
          <w:rFonts w:ascii="Titillium" w:hAnsi="Titillium" w:cs="Arial"/>
          <w:color w:val="000000"/>
          <w:sz w:val="18"/>
          <w:szCs w:val="18"/>
        </w:rPr>
        <w:t xml:space="preserve">, lecture de valeurs </w:t>
      </w:r>
      <w:r w:rsidRPr="006412EB">
        <w:rPr>
          <w:rFonts w:ascii="Titillium" w:hAnsi="Titillium" w:cs="Arial"/>
          <w:color w:val="000000"/>
          <w:sz w:val="18"/>
          <w:szCs w:val="18"/>
        </w:rPr>
        <w:t>et signaux</w:t>
      </w:r>
      <w:r>
        <w:rPr>
          <w:rFonts w:ascii="Titillium" w:hAnsi="Titillium" w:cs="Arial"/>
          <w:color w:val="000000"/>
          <w:sz w:val="18"/>
          <w:szCs w:val="18"/>
        </w:rPr>
        <w:t xml:space="preserve"> moteur</w:t>
      </w:r>
    </w:p>
    <w:p w14:paraId="76CB23A8" w14:textId="77777777" w:rsidR="00EA1ED6" w:rsidRDefault="00EA1ED6" w:rsidP="00EA1ED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D7323F">
        <w:rPr>
          <w:rFonts w:ascii="Titillium" w:hAnsi="Titillium" w:cs="Arial"/>
          <w:color w:val="000000"/>
          <w:sz w:val="18"/>
          <w:szCs w:val="18"/>
        </w:rPr>
        <w:t>Application des utilitaires et des tests actifs de l’interface Engine Diag.</w:t>
      </w:r>
    </w:p>
    <w:p w14:paraId="6A23CDC1" w14:textId="77777777" w:rsidR="00EA1ED6" w:rsidRPr="00EA1ED6" w:rsidRDefault="00EA1ED6" w:rsidP="00EA1ED6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color w:val="000000"/>
          <w:sz w:val="8"/>
          <w:szCs w:val="8"/>
        </w:rPr>
      </w:pPr>
    </w:p>
    <w:p w14:paraId="7A994A57" w14:textId="77777777" w:rsidR="003D196D" w:rsidRPr="005E39A3" w:rsidRDefault="003D196D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65C5D4A7" w14:textId="4141D14D" w:rsidR="003D196D" w:rsidRDefault="00944E32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645193EB" wp14:editId="2850DD2D">
            <wp:simplePos x="0" y="0"/>
            <wp:positionH relativeFrom="column">
              <wp:posOffset>390525</wp:posOffset>
            </wp:positionH>
            <wp:positionV relativeFrom="paragraph">
              <wp:posOffset>67945</wp:posOffset>
            </wp:positionV>
            <wp:extent cx="2631440" cy="1222375"/>
            <wp:effectExtent l="19050" t="95250" r="0" b="1111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89871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17BFDFB" w14:textId="760BB5B6" w:rsidR="002B6624" w:rsidRPr="00FB18C4" w:rsidRDefault="002B6624" w:rsidP="002B6624">
      <w:pPr>
        <w:ind w:left="5670"/>
        <w:rPr>
          <w:rFonts w:ascii="Arial" w:hAnsi="Arial" w:cs="Arial"/>
          <w:b/>
          <w:bCs/>
        </w:rPr>
      </w:pPr>
      <w:r w:rsidRPr="00FB18C4">
        <w:rPr>
          <w:rFonts w:ascii="Arial" w:hAnsi="Arial" w:cs="Arial"/>
          <w:b/>
          <w:bCs/>
        </w:rPr>
        <w:t xml:space="preserve">Fait à </w:t>
      </w:r>
      <w:r w:rsidR="004437D5">
        <w:rPr>
          <w:rFonts w:ascii="Arial" w:hAnsi="Arial" w:cs="Arial"/>
          <w:b/>
          <w:bCs/>
        </w:rPr>
        <w:fldChar w:fldCharType="begin"/>
      </w:r>
      <w:r w:rsidR="004437D5">
        <w:rPr>
          <w:rFonts w:ascii="Arial" w:hAnsi="Arial" w:cs="Arial"/>
          <w:b/>
          <w:bCs/>
        </w:rPr>
        <w:instrText xml:space="preserve"> MERGEFIELD fmc </w:instrText>
      </w:r>
      <w:r w:rsidR="004437D5">
        <w:rPr>
          <w:rFonts w:ascii="Arial" w:hAnsi="Arial" w:cs="Arial"/>
          <w:b/>
          <w:bCs/>
        </w:rPr>
        <w:fldChar w:fldCharType="separate"/>
      </w:r>
      <w:r w:rsidR="00E21691" w:rsidRPr="003D0F66">
        <w:rPr>
          <w:rFonts w:ascii="Arial" w:hAnsi="Arial" w:cs="Arial"/>
          <w:b/>
          <w:bCs/>
          <w:noProof/>
        </w:rPr>
        <w:t>BUSSY</w:t>
      </w:r>
      <w:r w:rsidR="004437D5">
        <w:rPr>
          <w:rFonts w:ascii="Arial" w:hAnsi="Arial" w:cs="Arial"/>
          <w:b/>
          <w:bCs/>
        </w:rPr>
        <w:fldChar w:fldCharType="end"/>
      </w:r>
      <w:r w:rsidR="00FB18C4" w:rsidRPr="00FB18C4">
        <w:rPr>
          <w:rFonts w:ascii="Arial" w:hAnsi="Arial" w:cs="Arial"/>
          <w:b/>
          <w:bCs/>
        </w:rPr>
        <w:t xml:space="preserve"> </w:t>
      </w:r>
      <w:r w:rsidRPr="00FB18C4">
        <w:rPr>
          <w:rFonts w:ascii="Arial" w:hAnsi="Arial" w:cs="Arial"/>
          <w:b/>
          <w:bCs/>
        </w:rPr>
        <w:t xml:space="preserve">le </w:t>
      </w:r>
      <w:r w:rsidR="004437D5">
        <w:rPr>
          <w:rFonts w:ascii="Arial" w:hAnsi="Arial" w:cs="Arial"/>
          <w:b/>
          <w:bCs/>
        </w:rPr>
        <w:fldChar w:fldCharType="begin"/>
      </w:r>
      <w:r w:rsidR="004437D5">
        <w:rPr>
          <w:rFonts w:ascii="Arial" w:hAnsi="Arial" w:cs="Arial"/>
          <w:b/>
          <w:bCs/>
        </w:rPr>
        <w:instrText xml:space="preserve"> TIME \@ "dd/MM/yyyy" </w:instrText>
      </w:r>
      <w:r w:rsidR="004437D5">
        <w:rPr>
          <w:rFonts w:ascii="Arial" w:hAnsi="Arial" w:cs="Arial"/>
          <w:b/>
          <w:bCs/>
        </w:rPr>
        <w:fldChar w:fldCharType="separate"/>
      </w:r>
      <w:r w:rsidR="00E21691">
        <w:rPr>
          <w:rFonts w:ascii="Arial" w:hAnsi="Arial" w:cs="Arial"/>
          <w:b/>
          <w:bCs/>
          <w:noProof/>
        </w:rPr>
        <w:t>03/11/2025</w:t>
      </w:r>
      <w:r w:rsidR="004437D5">
        <w:rPr>
          <w:rFonts w:ascii="Arial" w:hAnsi="Arial" w:cs="Arial"/>
          <w:b/>
          <w:bCs/>
        </w:rPr>
        <w:fldChar w:fldCharType="end"/>
      </w:r>
    </w:p>
    <w:sectPr w:rsidR="002B6624" w:rsidRPr="00FB18C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7FDDC0" w14:textId="77777777" w:rsidR="00674430" w:rsidRDefault="00674430">
      <w:r>
        <w:separator/>
      </w:r>
    </w:p>
  </w:endnote>
  <w:endnote w:type="continuationSeparator" w:id="0">
    <w:p w14:paraId="5E776BD7" w14:textId="77777777" w:rsidR="00674430" w:rsidRDefault="006744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9CB599" w14:textId="77777777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14EF6AE7" w14:textId="25473B47" w:rsidR="002B6624" w:rsidRDefault="00944E32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336" behindDoc="1" locked="0" layoutInCell="1" allowOverlap="1" wp14:anchorId="255B0501" wp14:editId="3721C31F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9D36CC0" w14:textId="4A15CCEC" w:rsidR="002B6624" w:rsidRPr="00E21691" w:rsidRDefault="004437D5" w:rsidP="002B6624">
    <w:pPr>
      <w:pStyle w:val="TMHfooter"/>
      <w:ind w:left="5670" w:firstLine="702"/>
      <w:rPr>
        <w:lang w:val="fr-FR"/>
      </w:rPr>
    </w:pPr>
    <w:r>
      <w:rPr>
        <w:sz w:val="20"/>
      </w:rPr>
      <w:fldChar w:fldCharType="begin"/>
    </w:r>
    <w:r w:rsidRPr="00E21691">
      <w:rPr>
        <w:sz w:val="20"/>
        <w:lang w:val="fr-FR"/>
      </w:rPr>
      <w:instrText xml:space="preserve"> MERGEFIELD formateur </w:instrText>
    </w:r>
    <w:r>
      <w:rPr>
        <w:sz w:val="20"/>
      </w:rPr>
      <w:fldChar w:fldCharType="separate"/>
    </w:r>
    <w:r w:rsidR="00E21691" w:rsidRPr="00E21691">
      <w:rPr>
        <w:noProof/>
        <w:lang w:val="fr-FR"/>
      </w:rPr>
      <w:t>______________</w:t>
    </w:r>
    <w:r>
      <w:rPr>
        <w:sz w:val="20"/>
      </w:rPr>
      <w:fldChar w:fldCharType="end"/>
    </w:r>
  </w:p>
  <w:p w14:paraId="4EFFD5D2" w14:textId="2A49E727" w:rsidR="002403BB" w:rsidRPr="00E21691" w:rsidRDefault="00944E32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312" behindDoc="1" locked="0" layoutInCell="1" allowOverlap="1" wp14:anchorId="2FDBC2AB" wp14:editId="0291B142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1" wp14:anchorId="1CC7E2A7" wp14:editId="74AFE24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0" behindDoc="0" locked="0" layoutInCell="1" allowOverlap="1" wp14:anchorId="3B4EF3EA" wp14:editId="39272EB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E21691">
      <w:rPr>
        <w:lang w:val="fr-FR"/>
      </w:rPr>
      <w:t>Toyota Material Handling France</w:t>
    </w:r>
  </w:p>
  <w:p w14:paraId="47BAAB7C" w14:textId="4E83356E" w:rsidR="002403BB" w:rsidRDefault="00944E32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192" behindDoc="1" locked="0" layoutInCell="1" allowOverlap="1" wp14:anchorId="5EF02A47" wp14:editId="633A4C05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288" behindDoc="0" locked="0" layoutInCell="1" allowOverlap="1" wp14:anchorId="3E92D091" wp14:editId="4F103E25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F5197DA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83B5DEF" w14:textId="70B2F63F" w:rsidR="002403BB" w:rsidRPr="005575E2" w:rsidRDefault="00944E32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168" behindDoc="0" locked="0" layoutInCell="0" allowOverlap="1" wp14:anchorId="21581E4C" wp14:editId="0C45E6C6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366295528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07B115A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1581E4C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1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107B115A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788F8E8F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65D0401" w14:textId="60AB43FE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944E32" w:rsidRPr="003E65D4">
      <w:rPr>
        <w:noProof/>
        <w:sz w:val="18"/>
      </w:rPr>
      <w:drawing>
        <wp:anchor distT="0" distB="0" distL="114300" distR="114300" simplePos="0" relativeHeight="251654144" behindDoc="0" locked="0" layoutInCell="1" allowOverlap="1" wp14:anchorId="4C8F185C" wp14:editId="5A4D405E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944E32" w:rsidRPr="003E65D4">
      <w:rPr>
        <w:noProof/>
        <w:sz w:val="18"/>
      </w:rPr>
      <w:drawing>
        <wp:anchor distT="0" distB="0" distL="114300" distR="114300" simplePos="0" relativeHeight="251653120" behindDoc="0" locked="0" layoutInCell="1" allowOverlap="1" wp14:anchorId="28A65797" wp14:editId="4A171FAD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D50812" w14:textId="77777777" w:rsidR="00674430" w:rsidRDefault="00674430">
      <w:r>
        <w:separator/>
      </w:r>
    </w:p>
  </w:footnote>
  <w:footnote w:type="continuationSeparator" w:id="0">
    <w:p w14:paraId="3EF0DC32" w14:textId="77777777" w:rsidR="00674430" w:rsidRDefault="0067443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0BEEC0" w14:textId="244C3292" w:rsidR="002403BB" w:rsidRDefault="00944E32" w:rsidP="00C33708">
    <w:pPr>
      <w:pStyle w:val="En-tte"/>
    </w:pPr>
    <w:r>
      <w:rPr>
        <w:noProof/>
      </w:rPr>
      <w:drawing>
        <wp:anchor distT="0" distB="0" distL="114300" distR="114300" simplePos="0" relativeHeight="251657216" behindDoc="0" locked="0" layoutInCell="1" allowOverlap="1" wp14:anchorId="390F91D9" wp14:editId="3E88E1D3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FD31F7A" w14:textId="77777777" w:rsidR="000C537F" w:rsidRDefault="000C537F" w:rsidP="00C33708">
    <w:pPr>
      <w:pStyle w:val="En-tte"/>
    </w:pPr>
  </w:p>
  <w:p w14:paraId="616B8274" w14:textId="77777777" w:rsidR="000C537F" w:rsidRDefault="000C537F" w:rsidP="00C33708">
    <w:pPr>
      <w:pStyle w:val="En-tte"/>
    </w:pPr>
  </w:p>
  <w:p w14:paraId="74789526" w14:textId="77777777" w:rsidR="002B6624" w:rsidRDefault="002B6624" w:rsidP="00C33708">
    <w:pPr>
      <w:pStyle w:val="En-tte"/>
    </w:pPr>
  </w:p>
  <w:p w14:paraId="50FEBA0E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242717563">
    <w:abstractNumId w:val="3"/>
  </w:num>
  <w:num w:numId="2" w16cid:durableId="122314419">
    <w:abstractNumId w:val="1"/>
  </w:num>
  <w:num w:numId="3" w16cid:durableId="1175150200">
    <w:abstractNumId w:val="2"/>
  </w:num>
  <w:num w:numId="4" w16cid:durableId="1515026045">
    <w:abstractNumId w:val="0"/>
  </w:num>
  <w:num w:numId="5" w16cid:durableId="196812470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4089"/>
    <w:rsid w:val="00166A45"/>
    <w:rsid w:val="001B09EB"/>
    <w:rsid w:val="001B12C2"/>
    <w:rsid w:val="001B3D25"/>
    <w:rsid w:val="001B5709"/>
    <w:rsid w:val="001C1362"/>
    <w:rsid w:val="001D53D0"/>
    <w:rsid w:val="001E03C3"/>
    <w:rsid w:val="001E09F6"/>
    <w:rsid w:val="0022517F"/>
    <w:rsid w:val="00225577"/>
    <w:rsid w:val="002259AA"/>
    <w:rsid w:val="002403BB"/>
    <w:rsid w:val="002404F3"/>
    <w:rsid w:val="002435A2"/>
    <w:rsid w:val="00244143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62471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37D5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74430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44B59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7793"/>
    <w:rsid w:val="008E1AA0"/>
    <w:rsid w:val="008E646A"/>
    <w:rsid w:val="008F31DD"/>
    <w:rsid w:val="009055E9"/>
    <w:rsid w:val="00944E32"/>
    <w:rsid w:val="009645B3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138F"/>
    <w:rsid w:val="00BC3C75"/>
    <w:rsid w:val="00BD109F"/>
    <w:rsid w:val="00BF7CF8"/>
    <w:rsid w:val="00C001E1"/>
    <w:rsid w:val="00C05972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0656B"/>
    <w:rsid w:val="00E16E99"/>
    <w:rsid w:val="00E21691"/>
    <w:rsid w:val="00E42B44"/>
    <w:rsid w:val="00E61F03"/>
    <w:rsid w:val="00E814A4"/>
    <w:rsid w:val="00EA1ED6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B18C4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95AD7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9066F6-1E8E-4BD4-8423-DEB4555422A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D63EE31-58E7-40B6-A850-DF6A651A981D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0989CEB9-82F2-4FE2-8BB0-00C0805EE18B}">
  <ds:schemaRefs>
    <ds:schemaRef ds:uri="http://purl.org/dc/elements/1.1/"/>
    <ds:schemaRef ds:uri="http://schemas.microsoft.com/office/2006/documentManagement/types"/>
    <ds:schemaRef ds:uri="http://schemas.microsoft.com/office/infopath/2007/PartnerControls"/>
    <ds:schemaRef ds:uri="http://purl.org/dc/dcmitype/"/>
    <ds:schemaRef ds:uri="http://schemas.openxmlformats.org/package/2006/metadata/core-properties"/>
    <ds:schemaRef ds:uri="0ad0e0a9-ab9a-4e6f-9f02-d25f1222e6d5"/>
    <ds:schemaRef ds:uri="http://purl.org/dc/terms/"/>
    <ds:schemaRef ds:uri="d486a57a-bb99-4dc9-bf99-6c7c10447675"/>
    <ds:schemaRef ds:uri="http://schemas.microsoft.com/office/2006/metadata/properties"/>
    <ds:schemaRef ds:uri="http://www.w3.org/XML/1998/namespace"/>
  </ds:schemaRefs>
</ds:datastoreItem>
</file>

<file path=customXml/itemProps4.xml><?xml version="1.0" encoding="utf-8"?>
<ds:datastoreItem xmlns:ds="http://schemas.openxmlformats.org/officeDocument/2006/customXml" ds:itemID="{5F094C81-A5F3-4D51-959F-6696B12E23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CERTIFICAT-TONERO HST STAGE V.dotx</Template>
  <TotalTime>1</TotalTime>
  <Pages>1</Pages>
  <Words>269</Words>
  <Characters>1864</Characters>
  <Application>Microsoft Office Word</Application>
  <DocSecurity>0</DocSecurity>
  <Lines>15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2129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2</cp:revision>
  <cp:lastPrinted>2023-02-10T10:33:00Z</cp:lastPrinted>
  <dcterms:created xsi:type="dcterms:W3CDTF">2025-11-03T14:58:00Z</dcterms:created>
  <dcterms:modified xsi:type="dcterms:W3CDTF">2025-11-03T14:58:00Z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2023-10-11T12:28:39Z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