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FD0CCE4" w14:textId="144700A5" w:rsidR="003D196D" w:rsidRPr="003D196D" w:rsidRDefault="0001276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AD7DF5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3F922B42" wp14:editId="58D55723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8513174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29B899EF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DE2F4D2" w14:textId="7A746137" w:rsidR="003D196D" w:rsidRPr="003D196D" w:rsidRDefault="000969A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984836" w:rsidRPr="001F3A87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984836" w:rsidRPr="001F3A87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06D719A6" w14:textId="28443659" w:rsidR="003D196D" w:rsidRPr="002E50F3" w:rsidRDefault="00316CF3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316CF3">
              <w:rPr>
                <w:rFonts w:ascii="Titillium" w:hAnsi="Titillium" w:cs="Arial"/>
                <w:b/>
                <w:sz w:val="24"/>
                <w:szCs w:val="24"/>
              </w:rPr>
              <w:t xml:space="preserve">A participé </w:t>
            </w:r>
            <w:r w:rsidR="00012763">
              <w:rPr>
                <w:rFonts w:ascii="Titillium" w:hAnsi="Titillium" w:cs="Arial"/>
                <w:b/>
                <w:sz w:val="24"/>
                <w:szCs w:val="24"/>
              </w:rPr>
              <w:t xml:space="preserve">à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04FFA470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 Frontaux Electriques</w:t>
            </w:r>
          </w:p>
          <w:p w14:paraId="5E5419D4" w14:textId="1320DA76" w:rsidR="003D196D" w:rsidRDefault="000969A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984836" w:rsidRPr="001F3A87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5B6FBC3F" w14:textId="683B5CF2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0969A2">
              <w:rPr>
                <w:rFonts w:ascii="Titillium" w:hAnsi="Titillium" w:cs="Arial"/>
                <w:b/>
                <w:bCs/>
              </w:rPr>
              <w:fldChar w:fldCharType="begin"/>
            </w:r>
            <w:r w:rsidR="000969A2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0969A2">
              <w:rPr>
                <w:rFonts w:ascii="Titillium" w:hAnsi="Titillium" w:cs="Arial"/>
                <w:b/>
                <w:bCs/>
              </w:rPr>
              <w:fldChar w:fldCharType="separate"/>
            </w:r>
            <w:r w:rsidR="00984836" w:rsidRPr="001F3A87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0969A2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au </w:t>
            </w:r>
            <w:r w:rsidR="000969A2">
              <w:rPr>
                <w:rFonts w:ascii="Titillium" w:hAnsi="Titillium" w:cs="Arial"/>
                <w:b/>
                <w:bCs/>
              </w:rPr>
              <w:fldChar w:fldCharType="begin"/>
            </w:r>
            <w:r w:rsidR="000969A2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0969A2">
              <w:rPr>
                <w:rFonts w:ascii="Titillium" w:hAnsi="Titillium" w:cs="Arial"/>
                <w:b/>
                <w:bCs/>
              </w:rPr>
              <w:fldChar w:fldCharType="separate"/>
            </w:r>
            <w:r w:rsidR="00984836" w:rsidRPr="001F3A87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0969A2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pour une durée de </w:t>
            </w:r>
            <w:r w:rsidR="000969A2">
              <w:rPr>
                <w:rFonts w:ascii="Titillium" w:hAnsi="Titillium" w:cs="Arial"/>
              </w:rPr>
              <w:fldChar w:fldCharType="begin"/>
            </w:r>
            <w:r w:rsidR="000969A2">
              <w:rPr>
                <w:rFonts w:ascii="Titillium" w:hAnsi="Titillium" w:cs="Arial"/>
              </w:rPr>
              <w:instrText xml:space="preserve"> MERGEFIELD duration_in_hours </w:instrText>
            </w:r>
            <w:r w:rsidR="000969A2">
              <w:rPr>
                <w:rFonts w:ascii="Titillium" w:hAnsi="Titillium" w:cs="Arial"/>
              </w:rPr>
              <w:fldChar w:fldCharType="separate"/>
            </w:r>
            <w:r w:rsidR="00984836" w:rsidRPr="001F3A87">
              <w:rPr>
                <w:rFonts w:ascii="Titillium" w:hAnsi="Titillium" w:cs="Arial"/>
                <w:noProof/>
              </w:rPr>
              <w:t>12</w:t>
            </w:r>
            <w:r w:rsidR="000969A2">
              <w:rPr>
                <w:rFonts w:ascii="Titillium" w:hAnsi="Titillium" w:cs="Arial"/>
              </w:rPr>
              <w:fldChar w:fldCharType="end"/>
            </w:r>
            <w:proofErr w:type="spellStart"/>
            <w:r w:rsidR="000969A2">
              <w:rPr>
                <w:rFonts w:ascii="Titillium" w:hAnsi="Titillium" w:cs="Arial"/>
              </w:rPr>
              <w:t>hrs</w:t>
            </w:r>
            <w:proofErr w:type="spellEnd"/>
            <w:r w:rsidRPr="00C95E2B">
              <w:rPr>
                <w:rFonts w:ascii="Titillium" w:hAnsi="Titillium" w:cs="Arial"/>
              </w:rPr>
              <w:t>.</w:t>
            </w:r>
          </w:p>
          <w:p w14:paraId="68959BBE" w14:textId="55B44CB3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0969A2">
              <w:rPr>
                <w:rFonts w:ascii="Titillium" w:hAnsi="Titillium" w:cs="Arial"/>
                <w:sz w:val="24"/>
              </w:rPr>
              <w:fldChar w:fldCharType="begin"/>
            </w:r>
            <w:r w:rsidR="000969A2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0969A2">
              <w:rPr>
                <w:rFonts w:ascii="Titillium" w:hAnsi="Titillium" w:cs="Arial"/>
                <w:sz w:val="24"/>
              </w:rPr>
              <w:fldChar w:fldCharType="separate"/>
            </w:r>
            <w:r w:rsidR="00984836" w:rsidRPr="001F3A87">
              <w:rPr>
                <w:rFonts w:ascii="Titillium" w:hAnsi="Titillium" w:cs="Arial"/>
                <w:noProof/>
                <w:sz w:val="24"/>
              </w:rPr>
              <w:t>BUSSY</w:t>
            </w:r>
            <w:r w:rsidR="000969A2">
              <w:rPr>
                <w:rFonts w:ascii="Titillium" w:hAnsi="Titillium" w:cs="Arial"/>
                <w:sz w:val="24"/>
              </w:rPr>
              <w:fldChar w:fldCharType="end"/>
            </w:r>
          </w:p>
          <w:p w14:paraId="4E84C694" w14:textId="54F423A0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0969A2">
              <w:rPr>
                <w:rFonts w:ascii="Titillium" w:hAnsi="Titillium" w:cs="Arial"/>
                <w:szCs w:val="16"/>
              </w:rPr>
              <w:fldChar w:fldCharType="begin"/>
            </w:r>
            <w:r w:rsidR="000969A2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0969A2">
              <w:rPr>
                <w:rFonts w:ascii="Titillium" w:hAnsi="Titillium" w:cs="Arial"/>
                <w:szCs w:val="16"/>
              </w:rPr>
              <w:fldChar w:fldCharType="separate"/>
            </w:r>
            <w:r w:rsidR="00984836" w:rsidRPr="001F3A87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0969A2">
              <w:rPr>
                <w:rFonts w:ascii="Titillium" w:hAnsi="Titillium" w:cs="Arial"/>
                <w:szCs w:val="16"/>
              </w:rPr>
              <w:fldChar w:fldCharType="end"/>
            </w:r>
          </w:p>
          <w:p w14:paraId="56C2ED96" w14:textId="6CC98382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0969A2">
              <w:rPr>
                <w:rFonts w:ascii="Titillium" w:hAnsi="Titillium" w:cs="Arial"/>
              </w:rPr>
              <w:fldChar w:fldCharType="begin"/>
            </w:r>
            <w:r w:rsidR="000969A2">
              <w:rPr>
                <w:rFonts w:ascii="Titillium" w:hAnsi="Titillium" w:cs="Arial"/>
              </w:rPr>
              <w:instrText xml:space="preserve"> MERGEFIELD formateur </w:instrText>
            </w:r>
            <w:r w:rsidR="000969A2">
              <w:rPr>
                <w:rFonts w:ascii="Titillium" w:hAnsi="Titillium" w:cs="Arial"/>
              </w:rPr>
              <w:fldChar w:fldCharType="separate"/>
            </w:r>
            <w:r w:rsidR="00984836" w:rsidRPr="001F3A87">
              <w:rPr>
                <w:rFonts w:ascii="Titillium" w:hAnsi="Titillium" w:cs="Arial"/>
                <w:noProof/>
              </w:rPr>
              <w:t>______________</w:t>
            </w:r>
            <w:r w:rsidR="000969A2">
              <w:rPr>
                <w:rFonts w:ascii="Titillium" w:hAnsi="Titillium" w:cs="Arial"/>
              </w:rPr>
              <w:fldChar w:fldCharType="end"/>
            </w:r>
            <w:r w:rsidR="000969A2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0F217AD2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12719046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9F62AC3" w14:textId="77777777" w:rsidR="007D400E" w:rsidRPr="005E39A3" w:rsidRDefault="007D400E" w:rsidP="00135F15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63D33282" w14:textId="77777777" w:rsidR="007D400E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Définir l’implantation des composants électriques, mécaniques et hydrauliques</w:t>
      </w:r>
    </w:p>
    <w:p w14:paraId="3845A3DB" w14:textId="77777777" w:rsidR="007D400E" w:rsidRPr="006412EB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Utiliser le display avec ses différents menus.</w:t>
      </w:r>
    </w:p>
    <w:p w14:paraId="62ABE159" w14:textId="77777777" w:rsidR="007D400E" w:rsidRPr="006412EB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Utiliser l’application CB TruckCom dans les procédures de mise à jour, étalonnages et en diagnostic.</w:t>
      </w:r>
    </w:p>
    <w:p w14:paraId="76F0F689" w14:textId="77777777" w:rsidR="007D400E" w:rsidRPr="006412EB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Dépanner à partir d’un code erreur et avec les ressources du constructeur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09B646AE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152ED27E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04DF4D4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30C236A3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5B6D240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71AC9C37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5F1E850" w14:textId="77777777" w:rsidR="007D400E" w:rsidRPr="006412EB" w:rsidRDefault="007D400E" w:rsidP="007D400E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Ensembles et sous-ensembles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2C6A0221" w14:textId="77777777" w:rsidR="007D400E" w:rsidRPr="006412EB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Parties électriques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batterie, le circuit électrique, ces composants et le circuit Can Bus.</w:t>
      </w:r>
    </w:p>
    <w:p w14:paraId="79E0873F" w14:textId="77777777" w:rsidR="007D400E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Composants mécaniques et hydrauliques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traction, le levage</w:t>
      </w:r>
      <w:r>
        <w:rPr>
          <w:rFonts w:ascii="Titillium" w:hAnsi="Titillium" w:cs="Arial"/>
          <w:color w:val="000000"/>
          <w:sz w:val="18"/>
          <w:szCs w:val="18"/>
        </w:rPr>
        <w:t>, le circuit de freinage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et la direction</w:t>
      </w:r>
      <w:r>
        <w:rPr>
          <w:rFonts w:ascii="Titillium" w:hAnsi="Titillium" w:cs="Arial"/>
          <w:color w:val="000000"/>
          <w:sz w:val="18"/>
          <w:szCs w:val="18"/>
        </w:rPr>
        <w:t>.</w:t>
      </w:r>
    </w:p>
    <w:p w14:paraId="35B1853B" w14:textId="77777777" w:rsidR="007D400E" w:rsidRPr="006412EB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Parties hydrauliques</w:t>
      </w:r>
      <w:r>
        <w:rPr>
          <w:rFonts w:ascii="Calibri" w:hAnsi="Calibri" w:cs="Calibri"/>
          <w:color w:val="000000"/>
          <w:sz w:val="18"/>
          <w:szCs w:val="18"/>
        </w:rPr>
        <w:t> </w:t>
      </w:r>
      <w:r>
        <w:rPr>
          <w:rFonts w:ascii="Titillium" w:hAnsi="Titillium" w:cs="Arial"/>
          <w:color w:val="000000"/>
          <w:sz w:val="18"/>
          <w:szCs w:val="18"/>
        </w:rPr>
        <w:t>: les différents circuits pour le levage, la direction, le freinage et le refroidissement.</w:t>
      </w:r>
    </w:p>
    <w:p w14:paraId="76510052" w14:textId="77777777" w:rsidR="007D400E" w:rsidRPr="002D3250" w:rsidRDefault="007D400E" w:rsidP="007D400E">
      <w:pPr>
        <w:rPr>
          <w:rFonts w:ascii="Titillium" w:hAnsi="Titillium"/>
          <w:sz w:val="8"/>
          <w:szCs w:val="8"/>
        </w:rPr>
      </w:pPr>
    </w:p>
    <w:p w14:paraId="1C864C77" w14:textId="77777777" w:rsidR="007D400E" w:rsidRPr="006412EB" w:rsidRDefault="007D400E" w:rsidP="007D400E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Prise en main machine</w:t>
      </w:r>
      <w:r>
        <w:rPr>
          <w:rFonts w:ascii="Titillium" w:hAnsi="Titillium" w:cs="Arial"/>
          <w:b/>
          <w:sz w:val="18"/>
          <w:szCs w:val="18"/>
        </w:rPr>
        <w:t xml:space="preserve"> – interface homme/machine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673042AD" w14:textId="77777777" w:rsidR="007D400E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Utilisation de la machine</w:t>
      </w:r>
    </w:p>
    <w:p w14:paraId="417AD1B2" w14:textId="77777777" w:rsidR="007D400E" w:rsidRPr="007E7D0E" w:rsidRDefault="007D400E" w:rsidP="007D400E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6"/>
          <w:szCs w:val="16"/>
        </w:rPr>
      </w:pPr>
      <w:r w:rsidRPr="007E7D0E">
        <w:rPr>
          <w:rFonts w:ascii="Titillium" w:hAnsi="Titillium" w:cs="Arial"/>
          <w:color w:val="000000"/>
          <w:sz w:val="18"/>
          <w:szCs w:val="18"/>
        </w:rPr>
        <w:t>Utilisation du display</w:t>
      </w:r>
      <w:r w:rsidRPr="007E7D0E">
        <w:rPr>
          <w:rFonts w:ascii="Calibri" w:hAnsi="Calibri" w:cs="Calibri"/>
          <w:color w:val="000000"/>
          <w:sz w:val="18"/>
          <w:szCs w:val="18"/>
        </w:rPr>
        <w:t> </w:t>
      </w:r>
      <w:r w:rsidRPr="007E7D0E">
        <w:rPr>
          <w:rFonts w:ascii="Titillium" w:hAnsi="Titillium" w:cs="Arial"/>
          <w:color w:val="000000"/>
          <w:sz w:val="18"/>
          <w:szCs w:val="18"/>
        </w:rPr>
        <w:t xml:space="preserve">: </w:t>
      </w:r>
      <w:r>
        <w:rPr>
          <w:rFonts w:ascii="Titillium" w:hAnsi="Titillium" w:cs="Arial"/>
          <w:color w:val="000000"/>
          <w:sz w:val="18"/>
          <w:szCs w:val="18"/>
        </w:rPr>
        <w:t>g</w:t>
      </w:r>
      <w:r w:rsidRPr="007E7D0E">
        <w:rPr>
          <w:rFonts w:ascii="Titillium" w:hAnsi="Titillium" w:cs="Arial"/>
          <w:sz w:val="18"/>
          <w:szCs w:val="18"/>
        </w:rPr>
        <w:t>estion des utilisateurs, les réglages avec Tuning, Options, Matching.</w:t>
      </w:r>
    </w:p>
    <w:p w14:paraId="1FCB7441" w14:textId="77777777" w:rsidR="003D196D" w:rsidRPr="002D3250" w:rsidRDefault="003D196D" w:rsidP="003D196D">
      <w:pPr>
        <w:rPr>
          <w:rFonts w:ascii="Titillium" w:hAnsi="Titillium"/>
          <w:sz w:val="8"/>
          <w:szCs w:val="8"/>
        </w:rPr>
      </w:pPr>
    </w:p>
    <w:p w14:paraId="5B37AC3E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Utilisation du CB TruckCom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01D79D12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Rapport et Sauvegarde de paramètres</w:t>
      </w:r>
    </w:p>
    <w:p w14:paraId="47B16726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Réglages et étalonnages</w:t>
      </w:r>
    </w:p>
    <w:p w14:paraId="7BCEEBB4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Mise à jour des cartes et display</w:t>
      </w:r>
    </w:p>
    <w:p w14:paraId="4C35537F" w14:textId="77777777" w:rsidR="003D196D" w:rsidRPr="002D3250" w:rsidRDefault="003D196D" w:rsidP="003D196D">
      <w:pPr>
        <w:rPr>
          <w:rFonts w:ascii="Titillium" w:hAnsi="Titillium"/>
          <w:sz w:val="8"/>
          <w:szCs w:val="8"/>
        </w:rPr>
      </w:pPr>
    </w:p>
    <w:p w14:paraId="34D119C3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Dépannages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54D61386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Diagnostics, lecture de valeurs et signaux.</w:t>
      </w:r>
    </w:p>
    <w:p w14:paraId="33B7D2AC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E19E5E7" w14:textId="77777777" w:rsidR="003D196D" w:rsidRPr="005E39A3" w:rsidRDefault="003D196D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3295AB75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32DF677E" w14:textId="4C924C23" w:rsidR="002B6624" w:rsidRPr="002B6624" w:rsidRDefault="00AD7DF5" w:rsidP="002B6624">
      <w:pPr>
        <w:ind w:left="5670"/>
        <w:rPr>
          <w:rFonts w:ascii="Arial" w:hAnsi="Arial" w:cs="Arial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65925EB0" wp14:editId="6ABFD048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FF5D80">
        <w:rPr>
          <w:rFonts w:ascii="Arial" w:hAnsi="Arial" w:cs="Arial"/>
        </w:rPr>
        <w:t xml:space="preserve">Fait à </w:t>
      </w:r>
      <w:r w:rsidR="000969A2">
        <w:rPr>
          <w:rFonts w:ascii="Arial" w:hAnsi="Arial" w:cs="Arial"/>
        </w:rPr>
        <w:fldChar w:fldCharType="begin"/>
      </w:r>
      <w:r w:rsidR="000969A2">
        <w:rPr>
          <w:rFonts w:ascii="Arial" w:hAnsi="Arial" w:cs="Arial"/>
        </w:rPr>
        <w:instrText xml:space="preserve"> MERGEFIELD fmc </w:instrText>
      </w:r>
      <w:r w:rsidR="000969A2">
        <w:rPr>
          <w:rFonts w:ascii="Arial" w:hAnsi="Arial" w:cs="Arial"/>
        </w:rPr>
        <w:fldChar w:fldCharType="separate"/>
      </w:r>
      <w:r w:rsidR="00984836" w:rsidRPr="001F3A87">
        <w:rPr>
          <w:rFonts w:ascii="Arial" w:hAnsi="Arial" w:cs="Arial"/>
          <w:noProof/>
        </w:rPr>
        <w:t>BUSSY</w:t>
      </w:r>
      <w:r w:rsidR="000969A2">
        <w:rPr>
          <w:rFonts w:ascii="Arial" w:hAnsi="Arial" w:cs="Arial"/>
        </w:rPr>
        <w:fldChar w:fldCharType="end"/>
      </w:r>
      <w:r w:rsidR="000969A2">
        <w:rPr>
          <w:rFonts w:ascii="Arial" w:hAnsi="Arial" w:cs="Arial"/>
        </w:rPr>
        <w:t xml:space="preserve"> </w:t>
      </w:r>
      <w:r w:rsidR="002B6624" w:rsidRPr="00FF5D80">
        <w:rPr>
          <w:rFonts w:ascii="Arial" w:hAnsi="Arial" w:cs="Arial"/>
        </w:rPr>
        <w:t xml:space="preserve">le </w:t>
      </w:r>
      <w:r w:rsidR="000969A2">
        <w:rPr>
          <w:rFonts w:ascii="Arial" w:hAnsi="Arial" w:cs="Arial"/>
          <w:b/>
          <w:bCs/>
        </w:rPr>
        <w:fldChar w:fldCharType="begin"/>
      </w:r>
      <w:r w:rsidR="000969A2">
        <w:rPr>
          <w:rFonts w:ascii="Arial" w:hAnsi="Arial" w:cs="Arial"/>
          <w:b/>
          <w:bCs/>
        </w:rPr>
        <w:instrText xml:space="preserve"> TIME \@ "dd/MM/yyyy" </w:instrText>
      </w:r>
      <w:r w:rsidR="000969A2">
        <w:rPr>
          <w:rFonts w:ascii="Arial" w:hAnsi="Arial" w:cs="Arial"/>
          <w:b/>
          <w:bCs/>
        </w:rPr>
        <w:fldChar w:fldCharType="separate"/>
      </w:r>
      <w:r w:rsidR="00984836">
        <w:rPr>
          <w:rFonts w:ascii="Arial" w:hAnsi="Arial" w:cs="Arial"/>
          <w:b/>
          <w:bCs/>
          <w:noProof/>
        </w:rPr>
        <w:t>03/11/2025</w:t>
      </w:r>
      <w:r w:rsidR="000969A2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23AC84" w14:textId="77777777" w:rsidR="004876DA" w:rsidRDefault="004876DA">
      <w:r>
        <w:separator/>
      </w:r>
    </w:p>
  </w:endnote>
  <w:endnote w:type="continuationSeparator" w:id="0">
    <w:p w14:paraId="4222ECD0" w14:textId="77777777" w:rsidR="004876DA" w:rsidRDefault="004876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FC8EEE" w14:textId="2F6D3943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</w:p>
  <w:p w14:paraId="7A040B50" w14:textId="633B6782" w:rsidR="002B6624" w:rsidRDefault="00AD7DF5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3DCCCA39" wp14:editId="1899E6E4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3E8525A" w14:textId="424D29A8" w:rsidR="002B6624" w:rsidRDefault="000969A2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984836" w:rsidRPr="001F3A87">
      <w:rPr>
        <w:noProof/>
      </w:rPr>
      <w:t>______________</w:t>
    </w:r>
    <w:r>
      <w:rPr>
        <w:sz w:val="20"/>
        <w:lang w:val="fr-FR"/>
      </w:rPr>
      <w:fldChar w:fldCharType="end"/>
    </w:r>
  </w:p>
  <w:p w14:paraId="22ABFE4B" w14:textId="33630C6A" w:rsidR="002403BB" w:rsidRPr="000D30DE" w:rsidRDefault="00AD7DF5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7476B828" wp14:editId="533F0301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776" behindDoc="0" locked="0" layoutInCell="1" allowOverlap="1" wp14:anchorId="0983D35E" wp14:editId="49A80295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215061F1" wp14:editId="04CF4308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3B47548B" w14:textId="03D071C0" w:rsidR="002403BB" w:rsidRDefault="00AD7DF5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704" behindDoc="1" locked="0" layoutInCell="1" allowOverlap="1" wp14:anchorId="23CA1526" wp14:editId="18DD7B50">
          <wp:simplePos x="0" y="0"/>
          <wp:positionH relativeFrom="column">
            <wp:posOffset>5137785</wp:posOffset>
          </wp:positionH>
          <wp:positionV relativeFrom="paragraph">
            <wp:posOffset>5080</wp:posOffset>
          </wp:positionV>
          <wp:extent cx="1731010" cy="44323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010" cy="4432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800" behindDoc="0" locked="0" layoutInCell="1" allowOverlap="1" wp14:anchorId="1A9A07EE" wp14:editId="5A6062C5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3A833568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6A4B99C" w14:textId="31EA1329" w:rsidR="002403BB" w:rsidRPr="005575E2" w:rsidRDefault="00AD7DF5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222F06FC" wp14:editId="01D3B597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83898592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F6CE99A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22F06FC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0F6CE99A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087185EB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062B3F99" w14:textId="756CE7E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AD7DF5" w:rsidRPr="003E65D4">
      <w:rPr>
        <w:noProof/>
        <w:sz w:val="18"/>
      </w:rPr>
      <w:drawing>
        <wp:anchor distT="0" distB="0" distL="114300" distR="114300" simplePos="0" relativeHeight="251654656" behindDoc="0" locked="0" layoutInCell="1" allowOverlap="1" wp14:anchorId="012BBD01" wp14:editId="6763A990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D7DF5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05FE7F79" wp14:editId="2323E5BD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15113D" w14:textId="77777777" w:rsidR="004876DA" w:rsidRDefault="004876DA">
      <w:r>
        <w:separator/>
      </w:r>
    </w:p>
  </w:footnote>
  <w:footnote w:type="continuationSeparator" w:id="0">
    <w:p w14:paraId="307F348E" w14:textId="77777777" w:rsidR="004876DA" w:rsidRDefault="004876D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E170B6" w14:textId="065A2D5D" w:rsidR="002403BB" w:rsidRDefault="00AD7DF5" w:rsidP="00C33708">
    <w:pPr>
      <w:pStyle w:val="En-tte"/>
    </w:pPr>
    <w:r>
      <w:rPr>
        <w:noProof/>
      </w:rPr>
      <w:drawing>
        <wp:anchor distT="0" distB="0" distL="114300" distR="114300" simplePos="0" relativeHeight="251657728" behindDoc="0" locked="0" layoutInCell="1" allowOverlap="1" wp14:anchorId="608998FA" wp14:editId="2E6C287E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5ADE17D" w14:textId="77777777" w:rsidR="000C537F" w:rsidRDefault="000C537F" w:rsidP="00C33708">
    <w:pPr>
      <w:pStyle w:val="En-tte"/>
    </w:pPr>
  </w:p>
  <w:p w14:paraId="3AB05D6A" w14:textId="77777777" w:rsidR="000C537F" w:rsidRDefault="000C537F" w:rsidP="00C33708">
    <w:pPr>
      <w:pStyle w:val="En-tte"/>
    </w:pPr>
  </w:p>
  <w:p w14:paraId="1AFC7FA8" w14:textId="77777777" w:rsidR="002B6624" w:rsidRDefault="002B6624" w:rsidP="00C33708">
    <w:pPr>
      <w:pStyle w:val="En-tte"/>
    </w:pPr>
  </w:p>
  <w:p w14:paraId="63BA02D5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20072364">
    <w:abstractNumId w:val="3"/>
  </w:num>
  <w:num w:numId="2" w16cid:durableId="238753352">
    <w:abstractNumId w:val="1"/>
  </w:num>
  <w:num w:numId="3" w16cid:durableId="2053382687">
    <w:abstractNumId w:val="2"/>
  </w:num>
  <w:num w:numId="4" w16cid:durableId="781071907">
    <w:abstractNumId w:val="0"/>
  </w:num>
  <w:num w:numId="5" w16cid:durableId="61984094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12763"/>
    <w:rsid w:val="0002040F"/>
    <w:rsid w:val="000348B0"/>
    <w:rsid w:val="00041203"/>
    <w:rsid w:val="000559E0"/>
    <w:rsid w:val="0006017E"/>
    <w:rsid w:val="00062ADB"/>
    <w:rsid w:val="00072C91"/>
    <w:rsid w:val="00074FA8"/>
    <w:rsid w:val="00082223"/>
    <w:rsid w:val="0008323D"/>
    <w:rsid w:val="000969A2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338D"/>
    <w:rsid w:val="00117E76"/>
    <w:rsid w:val="001347E9"/>
    <w:rsid w:val="00135F15"/>
    <w:rsid w:val="00142155"/>
    <w:rsid w:val="00143A68"/>
    <w:rsid w:val="0014535B"/>
    <w:rsid w:val="00166A45"/>
    <w:rsid w:val="001A2103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16CF3"/>
    <w:rsid w:val="00324548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4544E"/>
    <w:rsid w:val="00472EDC"/>
    <w:rsid w:val="00480C74"/>
    <w:rsid w:val="00482B00"/>
    <w:rsid w:val="00485715"/>
    <w:rsid w:val="004876DA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7D400E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4F29"/>
    <w:rsid w:val="008C596E"/>
    <w:rsid w:val="008C6552"/>
    <w:rsid w:val="008E1AA0"/>
    <w:rsid w:val="008E646A"/>
    <w:rsid w:val="008F31DD"/>
    <w:rsid w:val="009055E9"/>
    <w:rsid w:val="009700FA"/>
    <w:rsid w:val="00976910"/>
    <w:rsid w:val="00977374"/>
    <w:rsid w:val="00984836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B2081"/>
    <w:rsid w:val="00AB2B36"/>
    <w:rsid w:val="00AC1FFE"/>
    <w:rsid w:val="00AC7A85"/>
    <w:rsid w:val="00AD6BED"/>
    <w:rsid w:val="00AD72A6"/>
    <w:rsid w:val="00AD7DF5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B789F"/>
    <w:rsid w:val="00DE5DA2"/>
    <w:rsid w:val="00E03041"/>
    <w:rsid w:val="00E16E99"/>
    <w:rsid w:val="00E22FE0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62BA7F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7A1F94-E168-4DD9-B529-25562E860DF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C582C3C-4C43-45C9-A0AB-3E82E733C6A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CB387C6-E8F9-40B6-87F2-A1ED300FD6AF}">
  <ds:schemaRefs>
    <ds:schemaRef ds:uri="http://schemas.microsoft.com/office/2006/documentManagement/types"/>
    <ds:schemaRef ds:uri="http://purl.org/dc/elements/1.1/"/>
    <ds:schemaRef ds:uri="http://www.w3.org/XML/1998/namespace"/>
    <ds:schemaRef ds:uri="http://purl.org/dc/dcmitype/"/>
    <ds:schemaRef ds:uri="http://schemas.microsoft.com/office/infopath/2007/PartnerControls"/>
    <ds:schemaRef ds:uri="http://schemas.openxmlformats.org/package/2006/metadata/core-properties"/>
    <ds:schemaRef ds:uri="d486a57a-bb99-4dc9-bf99-6c7c10447675"/>
    <ds:schemaRef ds:uri="0ad0e0a9-ab9a-4e6f-9f02-d25f1222e6d5"/>
    <ds:schemaRef ds:uri="http://schemas.microsoft.com/office/2006/metadata/properties"/>
    <ds:schemaRef ds:uri="http://purl.org/dc/terms/"/>
  </ds:schemaRefs>
</ds:datastoreItem>
</file>

<file path=customXml/itemProps4.xml><?xml version="1.0" encoding="utf-8"?>
<ds:datastoreItem xmlns:ds="http://schemas.openxmlformats.org/officeDocument/2006/customXml" ds:itemID="{A5BE5CA6-2FFF-40D7-87DB-F2DD662F69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CERTIFICAT-TRAIGO 80 SERIE 9 60-80.dotx</Template>
  <TotalTime>1</TotalTime>
  <Pages>1</Pages>
  <Words>253</Words>
  <Characters>1719</Characters>
  <Application>Microsoft Office Word</Application>
  <DocSecurity>0</DocSecurity>
  <Lines>14</Lines>
  <Paragraphs>3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16</vt:i4>
      </vt:variant>
    </vt:vector>
  </HeadingPairs>
  <TitlesOfParts>
    <vt:vector size="17" baseType="lpstr">
      <vt:lpstr/>
      <vt:lpstr>    Définir l’implantation des composants électriques, mécaniques et hydrauliques</vt:lpstr>
      <vt:lpstr>    Utiliser le display avec ses différents menus.</vt:lpstr>
      <vt:lpstr>    Utiliser l’application CB TruckCom dans les procédures de mise à jour, étalonnag</vt:lpstr>
      <vt:lpstr>    Dépanner à partir d’un code erreur et avec les ressources du constructeur</vt:lpstr>
      <vt:lpstr>    </vt:lpstr>
      <vt:lpstr>    </vt:lpstr>
      <vt:lpstr>    Parties électriques : la batterie, le circuit électrique, ces composants et le c</vt:lpstr>
      <vt:lpstr>    Composants mécaniques et hydrauliques : la traction, le levage, le circuit de fr</vt:lpstr>
      <vt:lpstr>    Parties hydrauliques : les différents circuits pour le levage, la direction, le </vt:lpstr>
      <vt:lpstr>    Utilisation de la machine</vt:lpstr>
      <vt:lpstr>    Utilisation du display : gestion des utilisateurs, les réglages avec Tuning, Opt</vt:lpstr>
      <vt:lpstr>    Rapport et Sauvegarde de paramètres</vt:lpstr>
      <vt:lpstr>    Réglages et étalonnages</vt:lpstr>
      <vt:lpstr>    Mise à jour des cartes et display</vt:lpstr>
      <vt:lpstr>    Diagnostics, lecture de valeurs et signaux.</vt:lpstr>
      <vt:lpstr>    </vt:lpstr>
    </vt:vector>
  </TitlesOfParts>
  <Company/>
  <LinksUpToDate>false</LinksUpToDate>
  <CharactersWithSpaces>1969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DESANDIEGO Christophe</dc:creator>
  <cp:keywords/>
  <cp:lastModifiedBy>DESANDIEGO Christophe</cp:lastModifiedBy>
  <cp:revision>2</cp:revision>
  <cp:lastPrinted>2023-02-10T10:33:00Z</cp:lastPrinted>
  <dcterms:created xsi:type="dcterms:W3CDTF">2025-11-03T15:00:00Z</dcterms:created>
  <dcterms:modified xsi:type="dcterms:W3CDTF">2025-11-03T15:00:00Z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2024-01-29T09:42:13Z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