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35A13F5" w14:textId="3A4725A6" w:rsidR="003D196D" w:rsidRPr="003D196D" w:rsidRDefault="00A55DF2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E67331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7AABD192" wp14:editId="376BB68E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1BC6C62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6A796DFD" w14:textId="77777777" w:rsidTr="003D196D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54969EED" w14:textId="130D987E" w:rsidR="003D196D" w:rsidRPr="003D196D" w:rsidRDefault="006D51A4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097710" w:rsidRPr="00060013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VACHER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097710" w:rsidRPr="00060013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Julien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315BD433" w14:textId="1651F3E5" w:rsidR="003D196D" w:rsidRPr="002E50F3" w:rsidRDefault="00097710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097710">
              <w:rPr>
                <w:rFonts w:ascii="Titillium" w:hAnsi="Titillium" w:cs="Arial"/>
                <w:b/>
                <w:sz w:val="24"/>
                <w:szCs w:val="24"/>
              </w:rPr>
              <w:t>A participé et validé</w:t>
            </w:r>
            <w:r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="003D196D"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2AE863CC" w14:textId="77777777" w:rsidR="001E09F6" w:rsidRPr="003D196D" w:rsidRDefault="001E09F6" w:rsidP="001E09F6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>Chariots Electriques</w:t>
            </w:r>
            <w:r>
              <w:rPr>
                <w:rFonts w:ascii="Titillium" w:hAnsi="Titillium" w:cs="Arial"/>
                <w:bCs/>
                <w:sz w:val="24"/>
                <w:szCs w:val="24"/>
              </w:rPr>
              <w:t xml:space="preserve"> Préparateurs de Commandes</w:t>
            </w: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 </w:t>
            </w:r>
          </w:p>
          <w:p w14:paraId="30495696" w14:textId="4D8CC873" w:rsidR="001E09F6" w:rsidRDefault="006D51A4" w:rsidP="001E09F6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="00097710" w:rsidRPr="00060013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LITHIUM-ION TMHMS &amp; TMHMI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</w:p>
          <w:p w14:paraId="088B8B4B" w14:textId="0D3DF69A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Pr="00C95E2B">
              <w:rPr>
                <w:rFonts w:ascii="Titillium" w:hAnsi="Titillium" w:cs="Arial"/>
              </w:rPr>
              <w:t xml:space="preserve">du </w:t>
            </w:r>
            <w:r w:rsidR="006D51A4">
              <w:rPr>
                <w:rFonts w:ascii="Titillium" w:hAnsi="Titillium" w:cs="Arial"/>
                <w:b/>
                <w:bCs/>
              </w:rPr>
              <w:fldChar w:fldCharType="begin"/>
            </w:r>
            <w:r w:rsidR="006D51A4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6D51A4">
              <w:rPr>
                <w:rFonts w:ascii="Titillium" w:hAnsi="Titillium" w:cs="Arial"/>
                <w:b/>
                <w:bCs/>
              </w:rPr>
              <w:fldChar w:fldCharType="separate"/>
            </w:r>
            <w:r w:rsidR="00097710" w:rsidRPr="00060013">
              <w:rPr>
                <w:rFonts w:ascii="Titillium" w:hAnsi="Titillium" w:cs="Arial"/>
                <w:b/>
                <w:bCs/>
                <w:noProof/>
              </w:rPr>
              <w:t>2025-11-17 13:00</w:t>
            </w:r>
            <w:r w:rsidR="006D51A4">
              <w:rPr>
                <w:rFonts w:ascii="Titillium" w:hAnsi="Titillium" w:cs="Arial"/>
                <w:b/>
                <w:bCs/>
              </w:rPr>
              <w:fldChar w:fldCharType="end"/>
            </w:r>
            <w:r w:rsidR="006D51A4">
              <w:rPr>
                <w:rFonts w:ascii="Titillium" w:hAnsi="Titillium" w:cs="Arial"/>
                <w:b/>
                <w:bCs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au </w:t>
            </w:r>
            <w:r w:rsidR="006D51A4">
              <w:rPr>
                <w:rFonts w:ascii="Titillium" w:hAnsi="Titillium" w:cs="Arial"/>
                <w:b/>
                <w:bCs/>
              </w:rPr>
              <w:fldChar w:fldCharType="begin"/>
            </w:r>
            <w:r w:rsidR="006D51A4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6D51A4">
              <w:rPr>
                <w:rFonts w:ascii="Titillium" w:hAnsi="Titillium" w:cs="Arial"/>
                <w:b/>
                <w:bCs/>
              </w:rPr>
              <w:fldChar w:fldCharType="separate"/>
            </w:r>
            <w:r w:rsidR="00097710" w:rsidRPr="00060013">
              <w:rPr>
                <w:rFonts w:ascii="Titillium" w:hAnsi="Titillium" w:cs="Arial"/>
                <w:b/>
                <w:bCs/>
                <w:noProof/>
              </w:rPr>
              <w:t>2025-11-18 17:00</w:t>
            </w:r>
            <w:r w:rsidR="006D51A4">
              <w:rPr>
                <w:rFonts w:ascii="Titillium" w:hAnsi="Titillium" w:cs="Arial"/>
                <w:b/>
                <w:bCs/>
              </w:rPr>
              <w:fldChar w:fldCharType="end"/>
            </w:r>
            <w:r w:rsidR="006D51A4">
              <w:rPr>
                <w:rFonts w:ascii="Titillium" w:hAnsi="Titillium" w:cs="Arial"/>
                <w:b/>
                <w:bCs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pour une durée de </w:t>
            </w:r>
            <w:r w:rsidR="006D51A4">
              <w:rPr>
                <w:rFonts w:ascii="Titillium" w:hAnsi="Titillium" w:cs="Arial"/>
              </w:rPr>
              <w:fldChar w:fldCharType="begin"/>
            </w:r>
            <w:r w:rsidR="006D51A4">
              <w:rPr>
                <w:rFonts w:ascii="Titillium" w:hAnsi="Titillium" w:cs="Arial"/>
              </w:rPr>
              <w:instrText xml:space="preserve"> MERGEFIELD duration_in_hours </w:instrText>
            </w:r>
            <w:r w:rsidR="006D51A4">
              <w:rPr>
                <w:rFonts w:ascii="Titillium" w:hAnsi="Titillium" w:cs="Arial"/>
              </w:rPr>
              <w:fldChar w:fldCharType="separate"/>
            </w:r>
            <w:r w:rsidR="00097710" w:rsidRPr="00060013">
              <w:rPr>
                <w:rFonts w:ascii="Titillium" w:hAnsi="Titillium" w:cs="Arial"/>
                <w:noProof/>
              </w:rPr>
              <w:t>12</w:t>
            </w:r>
            <w:r w:rsidR="006D51A4">
              <w:rPr>
                <w:rFonts w:ascii="Titillium" w:hAnsi="Titillium" w:cs="Arial"/>
              </w:rPr>
              <w:fldChar w:fldCharType="end"/>
            </w:r>
            <w:r w:rsidR="006D51A4">
              <w:rPr>
                <w:rFonts w:ascii="Titillium" w:hAnsi="Titillium" w:cs="Arial"/>
              </w:rPr>
              <w:t>hrs</w:t>
            </w:r>
            <w:r w:rsidRPr="00C95E2B">
              <w:rPr>
                <w:rFonts w:ascii="Titillium" w:hAnsi="Titillium" w:cs="Arial"/>
              </w:rPr>
              <w:t>.</w:t>
            </w:r>
          </w:p>
          <w:p w14:paraId="6C6B64B4" w14:textId="7B4A12BA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6D51A4">
              <w:rPr>
                <w:rFonts w:ascii="Titillium" w:hAnsi="Titillium" w:cs="Arial"/>
                <w:sz w:val="24"/>
              </w:rPr>
              <w:fldChar w:fldCharType="begin"/>
            </w:r>
            <w:r w:rsidR="006D51A4">
              <w:rPr>
                <w:rFonts w:ascii="Titillium" w:hAnsi="Titillium" w:cs="Arial"/>
                <w:sz w:val="24"/>
              </w:rPr>
              <w:instrText xml:space="preserve"> MERGEFIELD fmc </w:instrText>
            </w:r>
            <w:r w:rsidR="006D51A4">
              <w:rPr>
                <w:rFonts w:ascii="Titillium" w:hAnsi="Titillium" w:cs="Arial"/>
                <w:sz w:val="24"/>
              </w:rPr>
              <w:fldChar w:fldCharType="separate"/>
            </w:r>
            <w:r w:rsidR="00097710" w:rsidRPr="00060013">
              <w:rPr>
                <w:rFonts w:ascii="Titillium" w:hAnsi="Titillium" w:cs="Arial"/>
                <w:noProof/>
                <w:sz w:val="24"/>
              </w:rPr>
              <w:t>BUSSY</w:t>
            </w:r>
            <w:r w:rsidR="006D51A4">
              <w:rPr>
                <w:rFonts w:ascii="Titillium" w:hAnsi="Titillium" w:cs="Arial"/>
                <w:sz w:val="24"/>
              </w:rPr>
              <w:fldChar w:fldCharType="end"/>
            </w:r>
          </w:p>
          <w:p w14:paraId="6F0350E3" w14:textId="6B58E852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6D51A4">
              <w:rPr>
                <w:rFonts w:ascii="Titillium" w:hAnsi="Titillium" w:cs="Arial"/>
                <w:szCs w:val="16"/>
              </w:rPr>
              <w:fldChar w:fldCharType="begin"/>
            </w:r>
            <w:r w:rsidR="006D51A4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6D51A4">
              <w:rPr>
                <w:rFonts w:ascii="Titillium" w:hAnsi="Titillium" w:cs="Arial"/>
                <w:szCs w:val="16"/>
              </w:rPr>
              <w:fldChar w:fldCharType="separate"/>
            </w:r>
            <w:r w:rsidR="00097710" w:rsidRPr="00060013">
              <w:rPr>
                <w:rFonts w:ascii="Titillium" w:hAnsi="Titillium" w:cs="Arial"/>
                <w:noProof/>
                <w:szCs w:val="16"/>
              </w:rPr>
              <w:t>1404-T2-TE-61</w:t>
            </w:r>
            <w:r w:rsidR="006D51A4">
              <w:rPr>
                <w:rFonts w:ascii="Titillium" w:hAnsi="Titillium" w:cs="Arial"/>
                <w:szCs w:val="16"/>
              </w:rPr>
              <w:fldChar w:fldCharType="end"/>
            </w:r>
          </w:p>
          <w:p w14:paraId="6D430C46" w14:textId="02F68DF0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 </w:t>
            </w:r>
            <w:r w:rsidR="006D51A4">
              <w:rPr>
                <w:rFonts w:ascii="Titillium" w:hAnsi="Titillium" w:cs="Arial"/>
              </w:rPr>
              <w:fldChar w:fldCharType="begin"/>
            </w:r>
            <w:r w:rsidR="006D51A4">
              <w:rPr>
                <w:rFonts w:ascii="Titillium" w:hAnsi="Titillium" w:cs="Arial"/>
              </w:rPr>
              <w:instrText xml:space="preserve"> MERGEFIELD formateur </w:instrText>
            </w:r>
            <w:r w:rsidR="006D51A4">
              <w:rPr>
                <w:rFonts w:ascii="Titillium" w:hAnsi="Titillium" w:cs="Arial"/>
              </w:rPr>
              <w:fldChar w:fldCharType="separate"/>
            </w:r>
            <w:r w:rsidR="00097710" w:rsidRPr="00060013">
              <w:rPr>
                <w:rFonts w:ascii="Titillium" w:hAnsi="Titillium" w:cs="Arial"/>
                <w:noProof/>
              </w:rPr>
              <w:t>______________</w:t>
            </w:r>
            <w:r w:rsidR="006D51A4">
              <w:rPr>
                <w:rFonts w:ascii="Titillium" w:hAnsi="Titillium" w:cs="Arial"/>
              </w:rPr>
              <w:fldChar w:fldCharType="end"/>
            </w:r>
            <w:r w:rsidR="006D51A4">
              <w:rPr>
                <w:rFonts w:ascii="Titillium" w:hAnsi="Titillium" w:cs="Arial"/>
              </w:rPr>
              <w:t xml:space="preserve"> 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403AC45A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298B9254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4F7D7C12" w14:textId="77777777" w:rsidR="001E09F6" w:rsidRPr="005E39A3" w:rsidRDefault="001E09F6" w:rsidP="009645B3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1C0D8D5E" w14:textId="77777777" w:rsidR="001E09F6" w:rsidRPr="005A53B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A53BB">
        <w:rPr>
          <w:rFonts w:ascii="Titillium" w:hAnsi="Titillium" w:cs="Arial"/>
          <w:bCs/>
          <w:color w:val="000000"/>
          <w:sz w:val="18"/>
          <w:szCs w:val="18"/>
        </w:rPr>
        <w:t>Définir l’implantation des composants électriques, mécaniques et hydrauliques</w:t>
      </w:r>
    </w:p>
    <w:p w14:paraId="4EF505EC" w14:textId="77777777" w:rsidR="001E09F6" w:rsidRPr="005A53B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A53BB">
        <w:rPr>
          <w:rFonts w:ascii="Titillium" w:hAnsi="Titillium" w:cs="Arial"/>
          <w:bCs/>
          <w:color w:val="000000"/>
          <w:sz w:val="18"/>
          <w:szCs w:val="18"/>
        </w:rPr>
        <w:t>Utiliser la clé CAN dans les procédures de réglages, d’étalonnages et en diagnostic.</w:t>
      </w:r>
    </w:p>
    <w:p w14:paraId="28F1001C" w14:textId="77777777" w:rsidR="003D5A8D" w:rsidRPr="005A53BB" w:rsidRDefault="003D5A8D" w:rsidP="003D5A8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A53BB">
        <w:rPr>
          <w:rFonts w:ascii="Titillium" w:hAnsi="Titillium" w:cs="Arial"/>
          <w:bCs/>
          <w:color w:val="000000"/>
          <w:sz w:val="18"/>
          <w:szCs w:val="18"/>
        </w:rPr>
        <w:t>Utiliser l’application TruckCom Toyota BT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et WH Service,</w:t>
      </w:r>
      <w:r w:rsidRPr="005A53BB">
        <w:rPr>
          <w:rFonts w:ascii="Titillium" w:hAnsi="Titillium" w:cs="Arial"/>
          <w:bCs/>
          <w:color w:val="000000"/>
          <w:sz w:val="18"/>
          <w:szCs w:val="18"/>
        </w:rPr>
        <w:t xml:space="preserve"> dans les procédures de service telle que la mise à jour,</w:t>
      </w:r>
    </w:p>
    <w:p w14:paraId="409DEFB0" w14:textId="77777777" w:rsidR="001E09F6" w:rsidRPr="005A53B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A53BB">
        <w:rPr>
          <w:rFonts w:ascii="Titillium" w:hAnsi="Titillium" w:cs="Arial"/>
          <w:bCs/>
          <w:color w:val="000000"/>
          <w:sz w:val="18"/>
          <w:szCs w:val="18"/>
        </w:rPr>
        <w:t>Dépanner à partir d’un code erreur et avec les ressources du constructeur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456"/>
      </w:tblGrid>
      <w:tr w:rsidR="003D196D" w:rsidRPr="005E39A3" w14:paraId="3E706303" w14:textId="77777777" w:rsidTr="003D196D">
        <w:tc>
          <w:tcPr>
            <w:tcW w:w="10456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060111A7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720ED78E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789350D0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46903CE3" w14:textId="77777777" w:rsidR="003D196D" w:rsidRPr="005E39A3" w:rsidRDefault="003D196D" w:rsidP="003D196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267CBE16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1A9521DE" w14:textId="77777777" w:rsidR="001E09F6" w:rsidRPr="006412EB" w:rsidRDefault="001E09F6" w:rsidP="001E09F6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Ensembles et sous-ensembles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66410D40" w14:textId="77777777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Parties électriques</w:t>
      </w:r>
      <w:r w:rsidRPr="006412EB">
        <w:rPr>
          <w:rFonts w:ascii="Calibri" w:hAnsi="Calibri" w:cs="Calibri"/>
          <w:color w:val="000000"/>
          <w:sz w:val="18"/>
          <w:szCs w:val="18"/>
        </w:rPr>
        <w:t> </w:t>
      </w:r>
      <w:r w:rsidRPr="006412EB">
        <w:rPr>
          <w:rFonts w:ascii="Titillium" w:hAnsi="Titillium" w:cs="Arial"/>
          <w:color w:val="000000"/>
          <w:sz w:val="18"/>
          <w:szCs w:val="18"/>
        </w:rPr>
        <w:t>: la batterie, le circuit électrique, ces composants et le circuit Can Bus.</w:t>
      </w:r>
    </w:p>
    <w:p w14:paraId="68A634A7" w14:textId="77777777" w:rsidR="001E09F6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Composants mécaniques et hydrauliques</w:t>
      </w:r>
      <w:r w:rsidRPr="006412EB">
        <w:rPr>
          <w:rFonts w:ascii="Calibri" w:hAnsi="Calibri" w:cs="Calibri"/>
          <w:color w:val="000000"/>
          <w:sz w:val="18"/>
          <w:szCs w:val="18"/>
        </w:rPr>
        <w:t> </w:t>
      </w:r>
      <w:r w:rsidRPr="006412EB">
        <w:rPr>
          <w:rFonts w:ascii="Titillium" w:hAnsi="Titillium" w:cs="Arial"/>
          <w:color w:val="000000"/>
          <w:sz w:val="18"/>
          <w:szCs w:val="18"/>
        </w:rPr>
        <w:t>: la traction</w:t>
      </w:r>
      <w:r>
        <w:rPr>
          <w:rFonts w:ascii="Titillium" w:hAnsi="Titillium" w:cs="Arial"/>
          <w:color w:val="000000"/>
          <w:sz w:val="18"/>
          <w:szCs w:val="18"/>
        </w:rPr>
        <w:t xml:space="preserve"> et le</w:t>
      </w:r>
      <w:r w:rsidRPr="006412EB">
        <w:rPr>
          <w:rFonts w:ascii="Titillium" w:hAnsi="Titillium" w:cs="Arial"/>
          <w:color w:val="000000"/>
          <w:sz w:val="18"/>
          <w:szCs w:val="18"/>
        </w:rPr>
        <w:t xml:space="preserve"> levage</w:t>
      </w:r>
      <w:r>
        <w:rPr>
          <w:rFonts w:ascii="Titillium" w:hAnsi="Titillium" w:cs="Arial"/>
          <w:color w:val="000000"/>
          <w:sz w:val="18"/>
          <w:szCs w:val="18"/>
        </w:rPr>
        <w:t>.</w:t>
      </w:r>
    </w:p>
    <w:p w14:paraId="4B3ED3CB" w14:textId="77777777" w:rsidR="001E09F6" w:rsidRPr="005A53B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Lecture des schémas électriques et hydrauliques.</w:t>
      </w:r>
    </w:p>
    <w:p w14:paraId="444FE684" w14:textId="77777777" w:rsidR="001E09F6" w:rsidRPr="002D3250" w:rsidRDefault="001E09F6" w:rsidP="001E09F6">
      <w:pPr>
        <w:rPr>
          <w:rFonts w:ascii="Titillium" w:hAnsi="Titillium"/>
          <w:sz w:val="8"/>
          <w:szCs w:val="8"/>
        </w:rPr>
      </w:pPr>
    </w:p>
    <w:p w14:paraId="484B32A4" w14:textId="77777777" w:rsidR="001E09F6" w:rsidRPr="006412EB" w:rsidRDefault="001E09F6" w:rsidP="001E09F6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Prise en main machine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 xml:space="preserve">: </w:t>
      </w:r>
    </w:p>
    <w:p w14:paraId="07E28B82" w14:textId="77777777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Utilisation de la machine</w:t>
      </w:r>
    </w:p>
    <w:p w14:paraId="190EAA1C" w14:textId="77777777" w:rsidR="001E09F6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A53BB">
        <w:rPr>
          <w:rFonts w:ascii="Titillium" w:hAnsi="Titillium" w:cs="Arial"/>
          <w:color w:val="000000"/>
          <w:sz w:val="18"/>
          <w:szCs w:val="18"/>
        </w:rPr>
        <w:t>Manipulation des protections et plateformes</w:t>
      </w:r>
      <w:r w:rsidRPr="006412EB">
        <w:rPr>
          <w:rFonts w:ascii="Titillium" w:hAnsi="Titillium" w:cs="Arial"/>
          <w:color w:val="000000"/>
          <w:sz w:val="18"/>
          <w:szCs w:val="18"/>
        </w:rPr>
        <w:t xml:space="preserve"> </w:t>
      </w:r>
    </w:p>
    <w:p w14:paraId="62A0AA45" w14:textId="77777777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Procédure de mise en sécurité en intervention</w:t>
      </w:r>
    </w:p>
    <w:p w14:paraId="48B0F873" w14:textId="77777777" w:rsidR="001E09F6" w:rsidRPr="002D3250" w:rsidRDefault="001E09F6" w:rsidP="001E09F6">
      <w:pPr>
        <w:rPr>
          <w:rFonts w:ascii="Titillium" w:hAnsi="Titillium"/>
          <w:sz w:val="8"/>
          <w:szCs w:val="8"/>
        </w:rPr>
      </w:pPr>
    </w:p>
    <w:p w14:paraId="48383662" w14:textId="77777777" w:rsidR="001E09F6" w:rsidRPr="006412EB" w:rsidRDefault="001E09F6" w:rsidP="001E09F6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 xml:space="preserve">Utilisation </w:t>
      </w:r>
      <w:r>
        <w:rPr>
          <w:rFonts w:ascii="Titillium" w:hAnsi="Titillium" w:cs="Arial"/>
          <w:b/>
          <w:sz w:val="18"/>
          <w:szCs w:val="18"/>
        </w:rPr>
        <w:t xml:space="preserve">de la clé CAN et </w:t>
      </w:r>
      <w:r w:rsidRPr="006412EB">
        <w:rPr>
          <w:rFonts w:ascii="Titillium" w:hAnsi="Titillium" w:cs="Arial"/>
          <w:b/>
          <w:sz w:val="18"/>
          <w:szCs w:val="18"/>
        </w:rPr>
        <w:t>du TruckCom</w:t>
      </w:r>
      <w:r>
        <w:rPr>
          <w:rFonts w:ascii="Titillium" w:hAnsi="Titillium" w:cs="Arial"/>
          <w:b/>
          <w:sz w:val="18"/>
          <w:szCs w:val="18"/>
        </w:rPr>
        <w:t xml:space="preserve"> Toyota BT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2F8B28F1" w14:textId="77777777" w:rsidR="001E09F6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Présentation des menus de l’afficheur</w:t>
      </w:r>
    </w:p>
    <w:p w14:paraId="08AE6924" w14:textId="77777777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Rapport et Sauvegarde de paramètres</w:t>
      </w:r>
    </w:p>
    <w:p w14:paraId="26043769" w14:textId="77777777" w:rsidR="001E09F6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Réglages</w:t>
      </w:r>
      <w:r>
        <w:rPr>
          <w:rFonts w:ascii="Titillium" w:hAnsi="Titillium" w:cs="Arial"/>
          <w:color w:val="000000"/>
          <w:sz w:val="18"/>
          <w:szCs w:val="18"/>
        </w:rPr>
        <w:t>, configuration pour les utilisateurs, codes PIN et paramètres.</w:t>
      </w:r>
    </w:p>
    <w:p w14:paraId="0ACE8CDE" w14:textId="77777777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E</w:t>
      </w:r>
      <w:r w:rsidRPr="006412EB">
        <w:rPr>
          <w:rFonts w:ascii="Titillium" w:hAnsi="Titillium" w:cs="Arial"/>
          <w:color w:val="000000"/>
          <w:sz w:val="18"/>
          <w:szCs w:val="18"/>
        </w:rPr>
        <w:t>talonnages</w:t>
      </w:r>
    </w:p>
    <w:p w14:paraId="30FECC55" w14:textId="77777777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Mise à jour des cartes</w:t>
      </w:r>
    </w:p>
    <w:p w14:paraId="39F1AEBF" w14:textId="77777777" w:rsidR="001E09F6" w:rsidRPr="002D3250" w:rsidRDefault="001E09F6" w:rsidP="001E09F6">
      <w:pPr>
        <w:rPr>
          <w:rFonts w:ascii="Titillium" w:hAnsi="Titillium"/>
          <w:sz w:val="8"/>
          <w:szCs w:val="8"/>
        </w:rPr>
      </w:pPr>
    </w:p>
    <w:p w14:paraId="07C9B560" w14:textId="77777777" w:rsidR="001E09F6" w:rsidRPr="006412EB" w:rsidRDefault="001E09F6" w:rsidP="001E09F6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Dépannages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603FCB23" w14:textId="77777777" w:rsidR="001E09F6" w:rsidRPr="001E09F6" w:rsidRDefault="001E09F6" w:rsidP="009645B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  <w:r w:rsidRPr="001E09F6">
        <w:rPr>
          <w:rFonts w:ascii="Titillium" w:hAnsi="Titillium" w:cs="Arial"/>
          <w:color w:val="000000"/>
          <w:sz w:val="18"/>
          <w:szCs w:val="18"/>
        </w:rPr>
        <w:t>Diagnostics, lecture de valeurs et signaux.</w:t>
      </w:r>
    </w:p>
    <w:p w14:paraId="0A60DE73" w14:textId="77777777" w:rsidR="003D196D" w:rsidRPr="001E09F6" w:rsidRDefault="001E09F6" w:rsidP="009645B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  <w:r w:rsidRPr="001E09F6">
        <w:rPr>
          <w:rFonts w:ascii="Titillium" w:hAnsi="Titillium" w:cs="Arial"/>
          <w:color w:val="000000"/>
          <w:sz w:val="18"/>
          <w:szCs w:val="18"/>
        </w:rPr>
        <w:t>Interprétation des codes erreurs</w:t>
      </w:r>
    </w:p>
    <w:p w14:paraId="4142A85C" w14:textId="726D319C" w:rsidR="003D196D" w:rsidRPr="005E39A3" w:rsidRDefault="00E67331" w:rsidP="003D196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>
        <w:rPr>
          <w:rFonts w:ascii="Arial" w:hAnsi="Arial" w:cs="Arial"/>
          <w:noProof/>
        </w:rPr>
        <w:drawing>
          <wp:anchor distT="0" distB="0" distL="114300" distR="114300" simplePos="0" relativeHeight="251657216" behindDoc="0" locked="0" layoutInCell="1" allowOverlap="1" wp14:anchorId="2C93D6DC" wp14:editId="2A96B367">
            <wp:simplePos x="0" y="0"/>
            <wp:positionH relativeFrom="column">
              <wp:posOffset>725170</wp:posOffset>
            </wp:positionH>
            <wp:positionV relativeFrom="paragraph">
              <wp:posOffset>55880</wp:posOffset>
            </wp:positionV>
            <wp:extent cx="2631440" cy="1222375"/>
            <wp:effectExtent l="0" t="0" r="0" b="0"/>
            <wp:wrapNone/>
            <wp:docPr id="55" name="Imag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3D196D" w:rsidRPr="005E39A3">
        <w:rPr>
          <w:rFonts w:ascii="Titillium" w:hAnsi="Titillium" w:cs="Arial"/>
          <w:b/>
          <w:color w:val="000000"/>
          <w:sz w:val="18"/>
          <w:szCs w:val="18"/>
        </w:rPr>
        <w:t xml:space="preserve">Cette formation </w:t>
      </w:r>
      <w:r w:rsidR="003D196D">
        <w:rPr>
          <w:rFonts w:ascii="Titillium" w:hAnsi="Titillium" w:cs="Arial"/>
          <w:b/>
          <w:color w:val="000000"/>
          <w:sz w:val="18"/>
          <w:szCs w:val="18"/>
        </w:rPr>
        <w:t xml:space="preserve">a </w:t>
      </w:r>
      <w:r w:rsidR="003D196D" w:rsidRPr="005E39A3">
        <w:rPr>
          <w:rFonts w:ascii="Titillium" w:hAnsi="Titillium" w:cs="Arial"/>
          <w:b/>
          <w:color w:val="000000"/>
          <w:sz w:val="18"/>
          <w:szCs w:val="18"/>
        </w:rPr>
        <w:t>fait l’objet d’une certification des acquis par un QCM de fin de stage</w:t>
      </w:r>
    </w:p>
    <w:p w14:paraId="3541AF4F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33EF3407" w14:textId="01472AED" w:rsidR="002B6624" w:rsidRPr="002B6624" w:rsidRDefault="002B6624" w:rsidP="002B6624">
      <w:pPr>
        <w:ind w:left="5670"/>
        <w:rPr>
          <w:rFonts w:ascii="Arial" w:hAnsi="Arial" w:cs="Arial"/>
        </w:rPr>
      </w:pPr>
      <w:r w:rsidRPr="00FF5D80">
        <w:rPr>
          <w:rFonts w:ascii="Arial" w:hAnsi="Arial" w:cs="Arial"/>
        </w:rPr>
        <w:t xml:space="preserve">Fait à </w:t>
      </w:r>
      <w:r w:rsidR="006D51A4">
        <w:rPr>
          <w:rFonts w:ascii="Arial" w:hAnsi="Arial" w:cs="Arial"/>
        </w:rPr>
        <w:fldChar w:fldCharType="begin"/>
      </w:r>
      <w:r w:rsidR="006D51A4">
        <w:rPr>
          <w:rFonts w:ascii="Arial" w:hAnsi="Arial" w:cs="Arial"/>
        </w:rPr>
        <w:instrText xml:space="preserve"> MERGEFIELD fmc </w:instrText>
      </w:r>
      <w:r w:rsidR="006D51A4">
        <w:rPr>
          <w:rFonts w:ascii="Arial" w:hAnsi="Arial" w:cs="Arial"/>
        </w:rPr>
        <w:fldChar w:fldCharType="separate"/>
      </w:r>
      <w:r w:rsidR="00097710" w:rsidRPr="00060013">
        <w:rPr>
          <w:rFonts w:ascii="Arial" w:hAnsi="Arial" w:cs="Arial"/>
          <w:noProof/>
        </w:rPr>
        <w:t>BUSSY</w:t>
      </w:r>
      <w:r w:rsidR="006D51A4">
        <w:rPr>
          <w:rFonts w:ascii="Arial" w:hAnsi="Arial" w:cs="Arial"/>
        </w:rPr>
        <w:fldChar w:fldCharType="end"/>
      </w:r>
      <w:r w:rsidR="006D51A4">
        <w:rPr>
          <w:rFonts w:ascii="Arial" w:hAnsi="Arial" w:cs="Arial"/>
        </w:rPr>
        <w:t xml:space="preserve"> </w:t>
      </w:r>
      <w:r w:rsidRPr="00FF5D80">
        <w:rPr>
          <w:rFonts w:ascii="Arial" w:hAnsi="Arial" w:cs="Arial"/>
        </w:rPr>
        <w:t xml:space="preserve">le </w:t>
      </w:r>
      <w:r w:rsidR="006D51A4">
        <w:rPr>
          <w:rFonts w:ascii="Arial" w:hAnsi="Arial" w:cs="Arial"/>
          <w:b/>
          <w:bCs/>
        </w:rPr>
        <w:fldChar w:fldCharType="begin"/>
      </w:r>
      <w:r w:rsidR="006D51A4">
        <w:rPr>
          <w:rFonts w:ascii="Arial" w:hAnsi="Arial" w:cs="Arial"/>
          <w:b/>
          <w:bCs/>
        </w:rPr>
        <w:instrText xml:space="preserve"> TIME \@ "dd/MM/yyyy" </w:instrText>
      </w:r>
      <w:r w:rsidR="006D51A4">
        <w:rPr>
          <w:rFonts w:ascii="Arial" w:hAnsi="Arial" w:cs="Arial"/>
          <w:b/>
          <w:bCs/>
        </w:rPr>
        <w:fldChar w:fldCharType="separate"/>
      </w:r>
      <w:r w:rsidR="00097710">
        <w:rPr>
          <w:rFonts w:ascii="Arial" w:hAnsi="Arial" w:cs="Arial"/>
          <w:b/>
          <w:bCs/>
          <w:noProof/>
        </w:rPr>
        <w:t>03/11/2025</w:t>
      </w:r>
      <w:r w:rsidR="006D51A4">
        <w:rPr>
          <w:rFonts w:ascii="Arial" w:hAnsi="Arial" w:cs="Arial"/>
          <w:b/>
          <w:bCs/>
        </w:rPr>
        <w:fldChar w:fldCharType="end"/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72963E1" w14:textId="77777777" w:rsidR="00CE0299" w:rsidRDefault="00CE0299">
      <w:r>
        <w:separator/>
      </w:r>
    </w:p>
  </w:endnote>
  <w:endnote w:type="continuationSeparator" w:id="0">
    <w:p w14:paraId="6A6C5E03" w14:textId="77777777" w:rsidR="00CE0299" w:rsidRDefault="00CE029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346D451" w14:textId="1238E6A1" w:rsidR="002B6624" w:rsidRDefault="002B6624" w:rsidP="002B6624">
    <w:pPr>
      <w:pStyle w:val="TMHfooter"/>
      <w:ind w:left="5670"/>
      <w:rPr>
        <w:sz w:val="20"/>
        <w:lang w:val="fr-FR"/>
      </w:rPr>
    </w:pPr>
    <w:r>
      <w:rPr>
        <w:sz w:val="20"/>
        <w:lang w:val="fr-FR"/>
      </w:rPr>
      <w:t>Signature :</w:t>
    </w:r>
  </w:p>
  <w:p w14:paraId="2F4C12F3" w14:textId="56BCBA26" w:rsidR="002B6624" w:rsidRDefault="00E67331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2848" behindDoc="1" locked="0" layoutInCell="1" allowOverlap="1" wp14:anchorId="3883967D" wp14:editId="5692BF2B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6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4165D77" w14:textId="4CD17A20" w:rsidR="002B6624" w:rsidRDefault="006D51A4" w:rsidP="002B6624">
    <w:pPr>
      <w:pStyle w:val="TMHfooter"/>
      <w:ind w:left="5670" w:firstLine="702"/>
      <w:rPr>
        <w:lang w:val="fr-FR"/>
      </w:rPr>
    </w:pPr>
    <w:r>
      <w:rPr>
        <w:sz w:val="20"/>
        <w:lang w:val="fr-FR"/>
      </w:rPr>
      <w:fldChar w:fldCharType="begin"/>
    </w:r>
    <w:r>
      <w:rPr>
        <w:sz w:val="20"/>
        <w:lang w:val="fr-FR"/>
      </w:rPr>
      <w:instrText xml:space="preserve"> MERGEFIELD formateur </w:instrText>
    </w:r>
    <w:r>
      <w:rPr>
        <w:sz w:val="20"/>
        <w:lang w:val="fr-FR"/>
      </w:rPr>
      <w:fldChar w:fldCharType="separate"/>
    </w:r>
    <w:r w:rsidR="00097710" w:rsidRPr="00097710">
      <w:rPr>
        <w:noProof/>
        <w:lang w:val="fr-FR"/>
      </w:rPr>
      <w:t>______________</w:t>
    </w:r>
    <w:r>
      <w:rPr>
        <w:sz w:val="20"/>
        <w:lang w:val="fr-FR"/>
      </w:rPr>
      <w:fldChar w:fldCharType="end"/>
    </w:r>
  </w:p>
  <w:p w14:paraId="690C51C7" w14:textId="1B1D313A" w:rsidR="002403BB" w:rsidRPr="000D30DE" w:rsidRDefault="00E67331" w:rsidP="002403BB">
    <w:pPr>
      <w:pStyle w:val="TMHfooter"/>
      <w:rPr>
        <w:lang w:val="fr-FR"/>
      </w:rPr>
    </w:pPr>
    <w:r>
      <w:rPr>
        <w:noProof/>
      </w:rPr>
      <w:drawing>
        <wp:anchor distT="0" distB="0" distL="114300" distR="114300" simplePos="0" relativeHeight="251661824" behindDoc="1" locked="0" layoutInCell="1" allowOverlap="1" wp14:anchorId="2B310191" wp14:editId="732CDCBD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9776" behindDoc="0" locked="0" layoutInCell="1" allowOverlap="1" wp14:anchorId="1215EE72" wp14:editId="422AE932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752" behindDoc="0" locked="0" layoutInCell="1" allowOverlap="1" wp14:anchorId="6E694BED" wp14:editId="4798A4DE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0D30DE">
      <w:rPr>
        <w:lang w:val="fr-FR"/>
      </w:rPr>
      <w:t>Toyota Material Handling France</w:t>
    </w:r>
  </w:p>
  <w:p w14:paraId="18AA3E4D" w14:textId="1A6A4285" w:rsidR="002403BB" w:rsidRDefault="00E67331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6704" behindDoc="1" locked="0" layoutInCell="1" allowOverlap="1" wp14:anchorId="5892ABFF" wp14:editId="64AEA12E">
          <wp:simplePos x="0" y="0"/>
          <wp:positionH relativeFrom="column">
            <wp:posOffset>5247005</wp:posOffset>
          </wp:positionH>
          <wp:positionV relativeFrom="paragraph">
            <wp:posOffset>11430</wp:posOffset>
          </wp:positionV>
          <wp:extent cx="1612265" cy="41275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12265" cy="4127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60800" behindDoc="0" locked="0" layoutInCell="1" allowOverlap="1" wp14:anchorId="0DDD3ADE" wp14:editId="235AD9C1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5624BEE0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5ABB8C56" w14:textId="122DEB60" w:rsidR="002403BB" w:rsidRPr="005575E2" w:rsidRDefault="00E67331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5680" behindDoc="0" locked="0" layoutInCell="0" allowOverlap="1" wp14:anchorId="7B281955" wp14:editId="22903AD6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492970011" name="MSIPCMe2ce4db6ade4a27c4ed1b0b9" descr="{&quot;HashCode&quot;:1662020960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BC4E741" w14:textId="77777777" w:rsidR="002403BB" w:rsidRPr="00B41D03" w:rsidRDefault="002403BB" w:rsidP="002403BB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B281955" id="_x0000_t202" coordsize="21600,21600" o:spt="202" path="m,l,21600r21600,l21600,xe">
              <v:stroke joinstyle="miter"/>
              <v:path gradientshapeok="t" o:connecttype="rect"/>
            </v:shapetype>
            <v:shape id="MSIPCMe2ce4db6ade4a27c4ed1b0b9" o:spid="_x0000_s1026" type="#_x0000_t202" alt="{&quot;HashCode&quot;:1662020960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68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7BC4E741" w14:textId="77777777" w:rsidR="002403BB" w:rsidRPr="00B41D03" w:rsidRDefault="002403BB" w:rsidP="002403BB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B41D03">
                      <w:rPr>
                        <w:rFonts w:ascii="Calibri" w:hAnsi="Calibri" w:cs="Calibri"/>
                        <w:color w:val="00000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6803ADD6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7030C87A" w14:textId="6F2703A2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E67331" w:rsidRPr="003E65D4">
      <w:rPr>
        <w:noProof/>
        <w:sz w:val="18"/>
      </w:rPr>
      <w:drawing>
        <wp:anchor distT="0" distB="0" distL="114300" distR="114300" simplePos="0" relativeHeight="251654656" behindDoc="0" locked="0" layoutInCell="1" allowOverlap="1" wp14:anchorId="4C60C50B" wp14:editId="3CD26986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E67331" w:rsidRPr="003E65D4">
      <w:rPr>
        <w:noProof/>
        <w:sz w:val="18"/>
      </w:rPr>
      <w:drawing>
        <wp:anchor distT="0" distB="0" distL="114300" distR="114300" simplePos="0" relativeHeight="251653632" behindDoc="0" locked="0" layoutInCell="1" allowOverlap="1" wp14:anchorId="377417E1" wp14:editId="23F86D70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50E92B9" w14:textId="77777777" w:rsidR="00CE0299" w:rsidRDefault="00CE0299">
      <w:r>
        <w:separator/>
      </w:r>
    </w:p>
  </w:footnote>
  <w:footnote w:type="continuationSeparator" w:id="0">
    <w:p w14:paraId="34940128" w14:textId="77777777" w:rsidR="00CE0299" w:rsidRDefault="00CE029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CA050ED" w14:textId="6A3CC6EE" w:rsidR="002403BB" w:rsidRDefault="00E67331" w:rsidP="00C33708">
    <w:pPr>
      <w:pStyle w:val="En-tte"/>
    </w:pPr>
    <w:r>
      <w:rPr>
        <w:noProof/>
      </w:rPr>
      <w:drawing>
        <wp:anchor distT="0" distB="0" distL="114300" distR="114300" simplePos="0" relativeHeight="251657728" behindDoc="0" locked="0" layoutInCell="1" allowOverlap="1" wp14:anchorId="4F0A84CB" wp14:editId="0DF0CEDE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D4D55CF" w14:textId="77777777" w:rsidR="000C537F" w:rsidRDefault="000C537F" w:rsidP="00C33708">
    <w:pPr>
      <w:pStyle w:val="En-tte"/>
    </w:pPr>
  </w:p>
  <w:p w14:paraId="2AE1CB81" w14:textId="77777777" w:rsidR="000C537F" w:rsidRDefault="000C537F" w:rsidP="00C33708">
    <w:pPr>
      <w:pStyle w:val="En-tte"/>
    </w:pPr>
  </w:p>
  <w:p w14:paraId="3348DD85" w14:textId="77777777" w:rsidR="002B6624" w:rsidRDefault="002B6624" w:rsidP="00C33708">
    <w:pPr>
      <w:pStyle w:val="En-tte"/>
    </w:pPr>
  </w:p>
  <w:p w14:paraId="0D670000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4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32391482">
    <w:abstractNumId w:val="3"/>
  </w:num>
  <w:num w:numId="2" w16cid:durableId="1003047455">
    <w:abstractNumId w:val="1"/>
  </w:num>
  <w:num w:numId="3" w16cid:durableId="1054698667">
    <w:abstractNumId w:val="2"/>
  </w:num>
  <w:num w:numId="4" w16cid:durableId="751858553">
    <w:abstractNumId w:val="0"/>
  </w:num>
  <w:num w:numId="5" w16cid:durableId="660475139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41203"/>
    <w:rsid w:val="000559E0"/>
    <w:rsid w:val="0006017E"/>
    <w:rsid w:val="00062ADB"/>
    <w:rsid w:val="00072C91"/>
    <w:rsid w:val="00074FA8"/>
    <w:rsid w:val="00082223"/>
    <w:rsid w:val="0008323D"/>
    <w:rsid w:val="00096C15"/>
    <w:rsid w:val="00097040"/>
    <w:rsid w:val="00097710"/>
    <w:rsid w:val="000A01F4"/>
    <w:rsid w:val="000A7841"/>
    <w:rsid w:val="000B1025"/>
    <w:rsid w:val="000C537F"/>
    <w:rsid w:val="000F3B83"/>
    <w:rsid w:val="00100C6F"/>
    <w:rsid w:val="0010634C"/>
    <w:rsid w:val="00117E76"/>
    <w:rsid w:val="001347E9"/>
    <w:rsid w:val="00142155"/>
    <w:rsid w:val="00143A68"/>
    <w:rsid w:val="00144A2D"/>
    <w:rsid w:val="0014535B"/>
    <w:rsid w:val="00160857"/>
    <w:rsid w:val="00166A45"/>
    <w:rsid w:val="001B09EB"/>
    <w:rsid w:val="001B12C2"/>
    <w:rsid w:val="001B3D25"/>
    <w:rsid w:val="001C1362"/>
    <w:rsid w:val="001D53D0"/>
    <w:rsid w:val="001E03C3"/>
    <w:rsid w:val="001E09F6"/>
    <w:rsid w:val="0022517F"/>
    <w:rsid w:val="00225577"/>
    <w:rsid w:val="002259AA"/>
    <w:rsid w:val="002403BB"/>
    <w:rsid w:val="002404F3"/>
    <w:rsid w:val="002435A2"/>
    <w:rsid w:val="002616F6"/>
    <w:rsid w:val="00261BA0"/>
    <w:rsid w:val="00261E4C"/>
    <w:rsid w:val="00283F57"/>
    <w:rsid w:val="00284078"/>
    <w:rsid w:val="00287F3D"/>
    <w:rsid w:val="00296832"/>
    <w:rsid w:val="002A7BEE"/>
    <w:rsid w:val="002B51A8"/>
    <w:rsid w:val="002B6624"/>
    <w:rsid w:val="002E2E21"/>
    <w:rsid w:val="002F6529"/>
    <w:rsid w:val="00305412"/>
    <w:rsid w:val="003129E8"/>
    <w:rsid w:val="00314B10"/>
    <w:rsid w:val="00324548"/>
    <w:rsid w:val="00353D8F"/>
    <w:rsid w:val="00362471"/>
    <w:rsid w:val="00393EF9"/>
    <w:rsid w:val="003940A0"/>
    <w:rsid w:val="003948CA"/>
    <w:rsid w:val="003A0987"/>
    <w:rsid w:val="003B6F2A"/>
    <w:rsid w:val="003D02BD"/>
    <w:rsid w:val="003D196D"/>
    <w:rsid w:val="003D5A8D"/>
    <w:rsid w:val="003F0F90"/>
    <w:rsid w:val="003F50AD"/>
    <w:rsid w:val="003F72BD"/>
    <w:rsid w:val="00420BFD"/>
    <w:rsid w:val="004236AB"/>
    <w:rsid w:val="0044544E"/>
    <w:rsid w:val="00472EDC"/>
    <w:rsid w:val="00480C74"/>
    <w:rsid w:val="00482B00"/>
    <w:rsid w:val="00485715"/>
    <w:rsid w:val="004A203A"/>
    <w:rsid w:val="004B58E8"/>
    <w:rsid w:val="004C0597"/>
    <w:rsid w:val="004C1533"/>
    <w:rsid w:val="004C68E9"/>
    <w:rsid w:val="004E531B"/>
    <w:rsid w:val="004E6EC0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B10B0"/>
    <w:rsid w:val="005B2B2B"/>
    <w:rsid w:val="005D5F33"/>
    <w:rsid w:val="005D6503"/>
    <w:rsid w:val="00602C04"/>
    <w:rsid w:val="00607CAD"/>
    <w:rsid w:val="00615310"/>
    <w:rsid w:val="00651E88"/>
    <w:rsid w:val="00653755"/>
    <w:rsid w:val="00661B1B"/>
    <w:rsid w:val="0066682C"/>
    <w:rsid w:val="00685E58"/>
    <w:rsid w:val="006A2D51"/>
    <w:rsid w:val="006A3D93"/>
    <w:rsid w:val="006C58E6"/>
    <w:rsid w:val="006D07D0"/>
    <w:rsid w:val="006D3F10"/>
    <w:rsid w:val="006D51A4"/>
    <w:rsid w:val="006E3013"/>
    <w:rsid w:val="00705A63"/>
    <w:rsid w:val="007062FC"/>
    <w:rsid w:val="00715980"/>
    <w:rsid w:val="007479FF"/>
    <w:rsid w:val="00756F1D"/>
    <w:rsid w:val="00767561"/>
    <w:rsid w:val="00796796"/>
    <w:rsid w:val="007C3D6B"/>
    <w:rsid w:val="007D2C83"/>
    <w:rsid w:val="007D5D8E"/>
    <w:rsid w:val="007F6E26"/>
    <w:rsid w:val="0080436A"/>
    <w:rsid w:val="00815B42"/>
    <w:rsid w:val="0082455A"/>
    <w:rsid w:val="00824963"/>
    <w:rsid w:val="008260BF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596E"/>
    <w:rsid w:val="008C6552"/>
    <w:rsid w:val="008E1AA0"/>
    <w:rsid w:val="008E646A"/>
    <w:rsid w:val="008F31DD"/>
    <w:rsid w:val="009055E9"/>
    <w:rsid w:val="009645B3"/>
    <w:rsid w:val="009700FA"/>
    <w:rsid w:val="00976910"/>
    <w:rsid w:val="00977374"/>
    <w:rsid w:val="00997156"/>
    <w:rsid w:val="009A37EC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51D3A"/>
    <w:rsid w:val="00A55DF2"/>
    <w:rsid w:val="00A7186B"/>
    <w:rsid w:val="00A911AD"/>
    <w:rsid w:val="00AB2081"/>
    <w:rsid w:val="00AB2B36"/>
    <w:rsid w:val="00AC1FFE"/>
    <w:rsid w:val="00AC7A85"/>
    <w:rsid w:val="00AD6BED"/>
    <w:rsid w:val="00AD72A6"/>
    <w:rsid w:val="00AE0466"/>
    <w:rsid w:val="00AF642E"/>
    <w:rsid w:val="00B07A43"/>
    <w:rsid w:val="00B100D2"/>
    <w:rsid w:val="00B17C55"/>
    <w:rsid w:val="00B27B37"/>
    <w:rsid w:val="00B33344"/>
    <w:rsid w:val="00B344A1"/>
    <w:rsid w:val="00B35B87"/>
    <w:rsid w:val="00B460B3"/>
    <w:rsid w:val="00B5280F"/>
    <w:rsid w:val="00B70A5D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C58A7"/>
    <w:rsid w:val="00CD2A64"/>
    <w:rsid w:val="00CD3CF3"/>
    <w:rsid w:val="00CE0299"/>
    <w:rsid w:val="00CE5C9D"/>
    <w:rsid w:val="00D05F79"/>
    <w:rsid w:val="00D32941"/>
    <w:rsid w:val="00D33685"/>
    <w:rsid w:val="00D51CAE"/>
    <w:rsid w:val="00D71D47"/>
    <w:rsid w:val="00D73A2F"/>
    <w:rsid w:val="00D846C0"/>
    <w:rsid w:val="00D84780"/>
    <w:rsid w:val="00D930BE"/>
    <w:rsid w:val="00DA00BD"/>
    <w:rsid w:val="00DA6254"/>
    <w:rsid w:val="00DE5DA2"/>
    <w:rsid w:val="00E03041"/>
    <w:rsid w:val="00E16E99"/>
    <w:rsid w:val="00E42B44"/>
    <w:rsid w:val="00E61F03"/>
    <w:rsid w:val="00E67331"/>
    <w:rsid w:val="00E814A4"/>
    <w:rsid w:val="00EA46C1"/>
    <w:rsid w:val="00EA7566"/>
    <w:rsid w:val="00EA78A9"/>
    <w:rsid w:val="00EC755C"/>
    <w:rsid w:val="00EE35F3"/>
    <w:rsid w:val="00EF1A1B"/>
    <w:rsid w:val="00F4747A"/>
    <w:rsid w:val="00F558A8"/>
    <w:rsid w:val="00F670DC"/>
    <w:rsid w:val="00F70A0C"/>
    <w:rsid w:val="00FA3747"/>
    <w:rsid w:val="00FA4D91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3B73AE3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C56C685-8CB6-40C9-8A05-1E7C740775E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50E2B903-A76C-4E2D-ADA2-46CCC5ABA519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5C0460FD-0291-4E32-9D90-CAF33A786DFE}">
  <ds:schemaRefs>
    <ds:schemaRef ds:uri="http://schemas.openxmlformats.org/package/2006/metadata/core-properties"/>
    <ds:schemaRef ds:uri="http://schemas.microsoft.com/office/infopath/2007/PartnerControls"/>
    <ds:schemaRef ds:uri="http://www.w3.org/XML/1998/namespace"/>
    <ds:schemaRef ds:uri="http://purl.org/dc/elements/1.1/"/>
    <ds:schemaRef ds:uri="http://purl.org/dc/terms/"/>
    <ds:schemaRef ds:uri="http://schemas.microsoft.com/office/2006/metadata/properties"/>
    <ds:schemaRef ds:uri="http://schemas.microsoft.com/office/2006/documentManagement/types"/>
    <ds:schemaRef ds:uri="0ad0e0a9-ab9a-4e6f-9f02-d25f1222e6d5"/>
    <ds:schemaRef ds:uri="d486a57a-bb99-4dc9-bf99-6c7c10447675"/>
    <ds:schemaRef ds:uri="http://purl.org/dc/dcmitype/"/>
  </ds:schemaRefs>
</ds:datastoreItem>
</file>

<file path=customXml/itemProps4.xml><?xml version="1.0" encoding="utf-8"?>
<ds:datastoreItem xmlns:ds="http://schemas.openxmlformats.org/officeDocument/2006/customXml" ds:itemID="{E5E1F396-0F01-4C48-BB73-F74FC396541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CERTIFICAT-OSE.dotx</Template>
  <TotalTime>3</TotalTime>
  <Pages>1</Pages>
  <Words>267</Words>
  <Characters>1792</Characters>
  <Application>Microsoft Office Word</Application>
  <DocSecurity>0</DocSecurity>
  <Lines>14</Lines>
  <Paragraphs>4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Titres</vt:lpstr>
      </vt:variant>
      <vt:variant>
        <vt:i4>19</vt:i4>
      </vt:variant>
    </vt:vector>
  </HeadingPairs>
  <TitlesOfParts>
    <vt:vector size="20" baseType="lpstr">
      <vt:lpstr/>
      <vt:lpstr>    Définir l’implantation des composants électriques, mécaniques et hydrauliques</vt:lpstr>
      <vt:lpstr>    Utiliser la clé CAN dans les procédures de réglages, d’étalonnages et en diagnos</vt:lpstr>
      <vt:lpstr>    Utiliser l’application TruckCom Toyota BT et WH Service, dans les procédures de </vt:lpstr>
      <vt:lpstr>    Dépanner à partir d’un code erreur et avec les ressources du constructeur</vt:lpstr>
      <vt:lpstr>    </vt:lpstr>
      <vt:lpstr>    </vt:lpstr>
      <vt:lpstr>    Parties électriques : la batterie, le circuit électrique, ces composants et le c</vt:lpstr>
      <vt:lpstr>    Composants mécaniques et hydrauliques : la traction et le levage.</vt:lpstr>
      <vt:lpstr>    Lecture des schémas électriques et hydrauliques.</vt:lpstr>
      <vt:lpstr>    Utilisation de la machine</vt:lpstr>
      <vt:lpstr>    Manipulation des protections et plateformes </vt:lpstr>
      <vt:lpstr>    Procédure de mise en sécurité en intervention</vt:lpstr>
      <vt:lpstr>    Présentation des menus de l’afficheur</vt:lpstr>
      <vt:lpstr>    Rapport et Sauvegarde de paramètres</vt:lpstr>
      <vt:lpstr>    Réglages, configuration pour les utilisateurs, codes PIN et paramètres.</vt:lpstr>
      <vt:lpstr>    Etalonnages</vt:lpstr>
      <vt:lpstr>    Mise à jour des cartes</vt:lpstr>
      <vt:lpstr>    Diagnostics, lecture de valeurs et signaux.</vt:lpstr>
      <vt:lpstr>    Interprétation des codes erreurs</vt:lpstr>
    </vt:vector>
  </TitlesOfParts>
  <Company/>
  <LinksUpToDate>false</LinksUpToDate>
  <CharactersWithSpaces>2055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DESANDIEGO Christophe</dc:creator>
  <cp:keywords/>
  <cp:lastModifiedBy>DESANDIEGO Christophe</cp:lastModifiedBy>
  <cp:revision>4</cp:revision>
  <cp:lastPrinted>2023-02-10T10:33:00Z</cp:lastPrinted>
  <dcterms:created xsi:type="dcterms:W3CDTF">2025-11-03T08:51:00Z</dcterms:created>
  <dcterms:modified xsi:type="dcterms:W3CDTF">2025-11-03T14:50:00Z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2024-01-29T09:36:09Z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