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0"/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参数定义的影响：</w:t>
      </w:r>
    </w:p>
    <w:p>
      <w:pPr>
        <w:outlineLvl w:val="1"/>
        <w:rPr>
          <w:b/>
          <w:bCs/>
          <w:sz w:val="24"/>
          <w:szCs w:val="28"/>
          <w:lang w:val="en-US"/>
        </w:rPr>
      </w:pPr>
      <w:r>
        <w:rPr>
          <w:b/>
          <w:bCs/>
          <w:sz w:val="24"/>
          <w:szCs w:val="28"/>
          <w:lang w:val="en-US"/>
        </w:rPr>
        <w:t>Gf</w:t>
      </w:r>
      <w:r>
        <w:rPr>
          <w:rFonts w:hint="eastAsia"/>
          <w:b/>
          <w:bCs/>
          <w:sz w:val="24"/>
          <w:szCs w:val="28"/>
          <w:lang w:val="en-US" w:eastAsia="zh-CN"/>
        </w:rPr>
        <w:t>和Gm以及viscous的影响（仅0°板）：</w:t>
      </w:r>
    </w:p>
    <w:tbl>
      <w:tblPr>
        <w:tblStyle w:val="4"/>
        <w:tblW w:w="10269" w:type="dxa"/>
        <w:jc w:val="center"/>
        <w:tblInd w:w="-9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密度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G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m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G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f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v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Pro3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  <w:t>3</w:t>
            </w: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G10_60-V0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10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G10_60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V5e-3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10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_60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_600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60</w:t>
            </w:r>
            <w:r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  <w:t>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_600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60</w:t>
            </w:r>
            <w:r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  <w:t>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_60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_60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_exp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exp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left="0" w:leftChars="0" w:right="-108" w:rightChars="0" w:firstLine="0" w:firstLineChars="0"/>
        <w:jc w:val="both"/>
        <w:textAlignment w:val="auto"/>
        <w:outlineLvl w:val="9"/>
        <w:rPr>
          <w:rFonts w:hint="eastAsia"/>
          <w:b/>
          <w:bCs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left="0" w:leftChars="0" w:right="-108" w:rightChars="0" w:firstLine="0" w:firstLineChars="0"/>
        <w:jc w:val="both"/>
        <w:textAlignment w:val="auto"/>
        <w:outlineLvl w:val="2"/>
        <w:rPr>
          <w:rFonts w:hint="eastAsia"/>
          <w:b/>
          <w:bCs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viscous的影响</w:t>
      </w:r>
      <w:r>
        <w:rPr>
          <w:rFonts w:hint="default"/>
          <w:b/>
          <w:bCs/>
          <w:sz w:val="24"/>
          <w:szCs w:val="28"/>
          <w:lang w:val="en-US" w:eastAsia="zh-CN"/>
        </w:rPr>
        <w:t>:</w:t>
      </w:r>
    </w:p>
    <w:tbl>
      <w:tblPr>
        <w:tblStyle w:val="4"/>
        <w:tblW w:w="10269" w:type="dxa"/>
        <w:jc w:val="center"/>
        <w:tblInd w:w="-9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G10_60-V0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10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G10_60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V5e-3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10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left="0" w:leftChars="0" w:right="-108" w:rightChars="0" w:firstLine="0" w:firstLineChars="0"/>
        <w:jc w:val="both"/>
        <w:textAlignment w:val="auto"/>
        <w:outlineLvl w:val="9"/>
        <w:rPr>
          <w:rFonts w:hint="eastAsia"/>
          <w:b/>
          <w:bCs/>
          <w:lang w:val="en-US"/>
        </w:rPr>
      </w:pPr>
      <w:r>
        <w:drawing>
          <wp:inline distT="0" distB="0" distL="114300" distR="114300">
            <wp:extent cx="2257425" cy="1952625"/>
            <wp:effectExtent l="0" t="0" r="9525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left="0" w:leftChars="0" w:right="-108" w:rightChars="0" w:firstLine="0" w:firstLineChars="0"/>
        <w:jc w:val="both"/>
        <w:textAlignment w:val="auto"/>
        <w:outlineLvl w:val="9"/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2096770" cy="1857375"/>
            <wp:effectExtent l="0" t="0" r="17780" b="9525"/>
            <wp:docPr id="29" name="图片 29" descr="G10_60-V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G10_60-V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677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2086610" cy="1877060"/>
            <wp:effectExtent l="0" t="0" r="8890" b="8890"/>
            <wp:docPr id="28" name="图片 28" descr="G10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G10_60_V0.00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left="0" w:leftChars="0" w:right="-108" w:rightChars="0" w:firstLine="0" w:firstLineChars="0"/>
        <w:jc w:val="both"/>
        <w:textAlignment w:val="auto"/>
        <w:outlineLvl w:val="9"/>
        <w:rPr>
          <w:rFonts w:hint="eastAsia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粘性系数太大会造成损伤的延迟，太小会造成计算不收敛。但是在这里取0时都可以收敛，所以不需要考虑。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left="0" w:leftChars="0" w:right="-108" w:rightChars="0" w:firstLine="0" w:firstLineChars="0"/>
        <w:jc w:val="both"/>
        <w:textAlignment w:val="auto"/>
        <w:outlineLvl w:val="2"/>
        <w:rPr>
          <w:rFonts w:hint="eastAsia"/>
          <w:b/>
          <w:bCs/>
          <w:lang w:val="en-US"/>
        </w:rPr>
      </w:pPr>
      <w:r>
        <w:rPr>
          <w:rFonts w:hint="default"/>
          <w:b/>
          <w:bCs/>
          <w:lang w:val="en-US"/>
        </w:rPr>
        <w:t>Gf</w:t>
      </w:r>
      <w:r>
        <w:rPr>
          <w:rFonts w:hint="eastAsia"/>
          <w:b/>
          <w:bCs/>
          <w:lang w:val="en-US" w:eastAsia="zh-CN"/>
        </w:rPr>
        <w:t>和Gm的区别：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21840" cy="1811655"/>
            <wp:effectExtent l="0" t="0" r="16510" b="17145"/>
            <wp:docPr id="22" name="图片 22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_0-matri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000885" cy="1795780"/>
            <wp:effectExtent l="0" t="0" r="18415" b="13970"/>
            <wp:docPr id="23" name="图片 23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pro3-0-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1551" w:type="dxa"/>
        <w:jc w:val="center"/>
        <w:tblInd w:w="-9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58670" cy="1816100"/>
            <wp:effectExtent l="0" t="0" r="17780" b="12700"/>
            <wp:docPr id="24" name="图片 24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G0.5_600_V0.005_ex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037715" cy="1816735"/>
            <wp:effectExtent l="0" t="0" r="635" b="12065"/>
            <wp:docPr id="25" name="图片 25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G0.5_600_V0.0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1551" w:type="dxa"/>
        <w:jc w:val="center"/>
        <w:tblInd w:w="-9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94230" cy="1863090"/>
            <wp:effectExtent l="0" t="0" r="1270" b="3810"/>
            <wp:docPr id="26" name="图片 26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G0.5_60_V0.005_ex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109470" cy="1884680"/>
            <wp:effectExtent l="0" t="0" r="5080" b="1270"/>
            <wp:docPr id="27" name="图片 27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G0.5_60_V0.0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1551" w:type="dxa"/>
        <w:jc w:val="center"/>
        <w:tblInd w:w="-9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60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left="0" w:leftChars="0" w:right="-108" w:rightChars="0" w:firstLine="0" w:firstLineChars="0"/>
        <w:jc w:val="both"/>
        <w:textAlignment w:val="auto"/>
        <w:outlineLvl w:val="9"/>
        <w:rPr>
          <w:rFonts w:hint="eastAsia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结合计算结果（针对0°板而言）以及其他论文，Gm取0.5-1之间，Gf取50-100之间比较合适。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left="0" w:leftChars="0" w:right="-108" w:rightChars="0" w:firstLine="0" w:firstLineChars="0"/>
        <w:jc w:val="both"/>
        <w:textAlignment w:val="auto"/>
        <w:outlineLvl w:val="2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其他论文中的参数：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left="0" w:leftChars="0" w:right="-108" w:rightChars="0" w:firstLine="0" w:firstLineChars="0"/>
        <w:jc w:val="both"/>
        <w:textAlignment w:val="auto"/>
        <w:outlineLvl w:val="9"/>
        <w:rPr>
          <w:b/>
          <w:bCs/>
        </w:rPr>
      </w:pPr>
      <w:r>
        <w:rPr>
          <w:rFonts w:hint="eastAsia"/>
          <w:b/>
          <w:bCs/>
        </w:rPr>
        <w:t>A continuum damage model for composite laminates: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b/>
          <w:bCs/>
        </w:rPr>
        <w:t>Part II – Computational implementation and validation</w:t>
      </w:r>
    </w:p>
    <w:p>
      <w:pPr>
        <w:spacing w:before="156" w:beforeLines="50" w:line="360" w:lineRule="auto"/>
        <w:ind w:right="-105"/>
        <w:jc w:val="both"/>
      </w:pPr>
      <w:r>
        <w:drawing>
          <wp:inline distT="0" distB="0" distL="114300" distR="114300">
            <wp:extent cx="4533265" cy="857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jc w:val="both"/>
        <w:rPr>
          <w:b/>
          <w:bCs/>
        </w:rPr>
      </w:pPr>
      <w:r>
        <w:rPr>
          <w:rFonts w:hint="default"/>
          <w:b/>
          <w:bCs/>
        </w:rPr>
        <w:t>Laminate damage model for composite structures</w:t>
      </w:r>
    </w:p>
    <w:p>
      <w:pPr>
        <w:spacing w:before="156" w:beforeLines="50" w:line="360" w:lineRule="auto"/>
        <w:ind w:right="-105"/>
        <w:jc w:val="both"/>
      </w:pPr>
      <w:r>
        <w:drawing>
          <wp:inline distT="0" distB="0" distL="114300" distR="114300">
            <wp:extent cx="3999865" cy="7239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Prediction of size effects in notched laminates using continuum damage mechanics</w:t>
      </w:r>
    </w:p>
    <w:p>
      <w:pPr>
        <w:spacing w:before="156" w:beforeLines="50" w:line="360" w:lineRule="auto"/>
        <w:ind w:right="-105"/>
        <w:jc w:val="both"/>
      </w:pPr>
      <w:r>
        <w:drawing>
          <wp:inline distT="0" distB="0" distL="114300" distR="114300">
            <wp:extent cx="4714240" cy="129540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99965" cy="11620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jc w:val="both"/>
        <w:rPr>
          <w:b/>
          <w:bCs/>
        </w:rPr>
      </w:pPr>
      <w:r>
        <w:rPr>
          <w:rFonts w:hint="eastAsia"/>
          <w:b/>
          <w:bCs/>
        </w:rPr>
        <w:t>Progressive damage modeling in fiber-reinforced materials</w:t>
      </w:r>
    </w:p>
    <w:p>
      <w:pPr>
        <w:spacing w:before="156" w:beforeLines="50" w:line="360" w:lineRule="auto"/>
        <w:ind w:right="-105"/>
        <w:jc w:val="both"/>
      </w:pPr>
      <w:r>
        <w:drawing>
          <wp:inline distT="0" distB="0" distL="114300" distR="114300">
            <wp:extent cx="4780915" cy="105727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jc w:val="both"/>
        <w:rPr>
          <w:rFonts w:hint="eastAsia"/>
          <w:lang w:val="en-US" w:eastAsia="zh-CN"/>
        </w:rPr>
      </w:pPr>
    </w:p>
    <w:p>
      <w:pPr>
        <w:spacing w:before="156" w:beforeLines="50" w:line="360" w:lineRule="auto"/>
        <w:ind w:right="-105"/>
        <w:jc w:val="both"/>
        <w:outlineLvl w:val="1"/>
        <w:rPr>
          <w:rFonts w:hint="eastAsia" w:ascii="Times New Roman" w:hAnsi="Times New Roman" w:cs="Times New Roman"/>
          <w:b/>
          <w:bCs/>
          <w:szCs w:val="21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Cs w:val="21"/>
          <w:lang w:val="en-US" w:eastAsia="zh-CN"/>
        </w:rPr>
        <w:t>材料密度（mass density）的影响：</w:t>
      </w:r>
    </w:p>
    <w:tbl>
      <w:tblPr>
        <w:tblStyle w:val="4"/>
        <w:tblW w:w="851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9"/>
        <w:gridCol w:w="829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1439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829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密度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Gf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Gm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Pro3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Density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100</w:t>
            </w:r>
          </w:p>
        </w:tc>
        <w:tc>
          <w:tcPr>
            <w:tcW w:w="829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100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10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Density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0.001</w:t>
            </w:r>
          </w:p>
        </w:tc>
        <w:tc>
          <w:tcPr>
            <w:tcW w:w="829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01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10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</w:p>
        </w:tc>
      </w:tr>
    </w:tbl>
    <w:p>
      <w:pPr>
        <w:jc w:val="center"/>
      </w:pPr>
      <w:r>
        <w:drawing>
          <wp:inline distT="0" distB="0" distL="114300" distR="114300">
            <wp:extent cx="2296795" cy="1861185"/>
            <wp:effectExtent l="0" t="0" r="8255" b="57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45</w:t>
      </w:r>
    </w:p>
    <w:p>
      <w:pPr>
        <w:jc w:val="center"/>
      </w:pPr>
      <w:r>
        <w:drawing>
          <wp:inline distT="0" distB="0" distL="114300" distR="114300">
            <wp:extent cx="2486025" cy="2089785"/>
            <wp:effectExtent l="0" t="0" r="9525" b="571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</w:t>
      </w:r>
    </w:p>
    <w:p>
      <w:pPr>
        <w:jc w:val="center"/>
      </w:pPr>
      <w:r>
        <w:drawing>
          <wp:inline distT="0" distB="0" distL="114300" distR="114300">
            <wp:extent cx="2599690" cy="2198370"/>
            <wp:effectExtent l="0" t="0" r="10160" b="1143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19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0-90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不同的密度对位移载荷曲线影响较大，对失效图几乎没有影响。当密度取1和取0.001时，极限载荷已经没有区别，所以当密度取1时已经可以得到正确的结果，但是密度0.001可以使得增量步更小。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指数退化和线性退化：</w:t>
      </w:r>
    </w:p>
    <w:tbl>
      <w:tblPr>
        <w:tblStyle w:val="4"/>
        <w:tblW w:w="10269" w:type="dxa"/>
        <w:jc w:val="center"/>
        <w:tblInd w:w="-9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Pro3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3</w:t>
            </w:r>
            <w:r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  <w:t>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Pro3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-exp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3</w:t>
            </w:r>
            <w:r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  <w:t>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_600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  <w:t>60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_600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  <w:t>60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_60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_60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_exp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exp</w:t>
            </w:r>
          </w:p>
        </w:tc>
      </w:tr>
    </w:tbl>
    <w:p>
      <w:pPr>
        <w:jc w:val="center"/>
      </w:pPr>
      <w:r>
        <w:drawing>
          <wp:inline distT="0" distB="0" distL="114300" distR="114300">
            <wp:extent cx="4130675" cy="3402330"/>
            <wp:effectExtent l="0" t="0" r="317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在同样的材料参数下，指数和线性退化的位移载荷曲线的区别不大。0.5和600的结果和试验相差太大。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21840" cy="1811655"/>
            <wp:effectExtent l="0" t="0" r="16510" b="17145"/>
            <wp:docPr id="7" name="图片 7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_0-matri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000885" cy="1795780"/>
            <wp:effectExtent l="0" t="0" r="18415" b="13970"/>
            <wp:docPr id="8" name="图片 8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pro3-0-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1551" w:type="dxa"/>
        <w:jc w:val="center"/>
        <w:tblInd w:w="-9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58670" cy="1816100"/>
            <wp:effectExtent l="0" t="0" r="17780" b="12700"/>
            <wp:docPr id="10" name="图片 10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G0.5_600_V0.005_ex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037715" cy="1816735"/>
            <wp:effectExtent l="0" t="0" r="635" b="12065"/>
            <wp:docPr id="9" name="图片 9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G0.5_600_V0.0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1551" w:type="dxa"/>
        <w:jc w:val="center"/>
        <w:tblInd w:w="-9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94230" cy="1863090"/>
            <wp:effectExtent l="0" t="0" r="1270" b="3810"/>
            <wp:docPr id="20" name="图片 20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G0.5_60_V0.005_ex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109470" cy="1884680"/>
            <wp:effectExtent l="0" t="0" r="5080" b="1270"/>
            <wp:docPr id="19" name="图片 19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G0.5_60_V0.0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1551" w:type="dxa"/>
        <w:jc w:val="center"/>
        <w:tblInd w:w="-9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60</w:t>
            </w:r>
          </w:p>
        </w:tc>
      </w:tr>
    </w:tbl>
    <w:p>
      <w:p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在同样的材料参数下，指数和线性退化的失效图的差别不是太大（针对0°铺层而言）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1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剪切强度参数的影响：</w:t>
      </w:r>
    </w:p>
    <w:tbl>
      <w:tblPr>
        <w:tblStyle w:val="4"/>
        <w:tblW w:w="94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2"/>
        <w:gridCol w:w="1269"/>
        <w:gridCol w:w="1372"/>
        <w:gridCol w:w="1042"/>
        <w:gridCol w:w="1206"/>
        <w:gridCol w:w="1205"/>
        <w:gridCol w:w="1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131</w:t>
            </w:r>
          </w:p>
        </w:tc>
        <w:tc>
          <w:tcPr>
            <w:tcW w:w="1269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1451.55</w:t>
            </w:r>
          </w:p>
        </w:tc>
        <w:tc>
          <w:tcPr>
            <w:tcW w:w="1372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725.78</w:t>
            </w:r>
          </w:p>
        </w:tc>
        <w:tc>
          <w:tcPr>
            <w:tcW w:w="1042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35.99</w:t>
            </w:r>
          </w:p>
        </w:tc>
        <w:tc>
          <w:tcPr>
            <w:tcW w:w="120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160.28</w:t>
            </w:r>
          </w:p>
        </w:tc>
        <w:tc>
          <w:tcPr>
            <w:tcW w:w="120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131</w:t>
            </w:r>
          </w:p>
        </w:tc>
        <w:tc>
          <w:tcPr>
            <w:tcW w:w="120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Pro2</w:t>
            </w:r>
          </w:p>
        </w:tc>
        <w:tc>
          <w:tcPr>
            <w:tcW w:w="1269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15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2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8.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7</w:t>
            </w:r>
          </w:p>
        </w:tc>
        <w:tc>
          <w:tcPr>
            <w:tcW w:w="1372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7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64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.3</w:t>
            </w:r>
          </w:p>
        </w:tc>
        <w:tc>
          <w:tcPr>
            <w:tcW w:w="1042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120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160.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3</w:t>
            </w:r>
          </w:p>
        </w:tc>
        <w:tc>
          <w:tcPr>
            <w:tcW w:w="120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90.25</w:t>
            </w:r>
          </w:p>
        </w:tc>
        <w:tc>
          <w:tcPr>
            <w:tcW w:w="120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Pro3</w:t>
            </w:r>
          </w:p>
        </w:tc>
        <w:tc>
          <w:tcPr>
            <w:tcW w:w="126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137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104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120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120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120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</w:tr>
    </w:tbl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400425" cy="2915285"/>
            <wp:effectExtent l="0" t="0" r="9525" b="184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1057275" cy="5781675"/>
            <wp:effectExtent l="0" t="0" r="9525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从失效图来看，三种剪切强度情况下的裂纹扩展差别不大，从位移载荷曲线的45°板来看，并结合试验测试结果，</w:t>
      </w:r>
      <w:r>
        <w:rPr>
          <w:rFonts w:hint="eastAsia"/>
          <w:color w:val="FF0000"/>
          <w:lang w:val="en-US" w:eastAsia="zh-CN"/>
        </w:rPr>
        <w:t>Sxy为90更加符合实验。</w:t>
      </w:r>
    </w:p>
    <w:p>
      <w:pPr>
        <w:jc w:val="both"/>
        <w:rPr>
          <w:rFonts w:hint="eastAsia"/>
          <w:color w:val="FF0000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修正后的材料参数：</w:t>
      </w:r>
    </w:p>
    <w:tbl>
      <w:tblPr>
        <w:tblStyle w:val="4"/>
        <w:tblW w:w="10269" w:type="dxa"/>
        <w:jc w:val="center"/>
        <w:tblInd w:w="-9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_60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90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0000FF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_90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-V5e-3(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修正2</w:t>
            </w:r>
            <w:bookmarkStart w:id="0" w:name="_GoBack"/>
            <w:bookmarkEnd w:id="0"/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)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90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9</w:t>
            </w:r>
            <w:r>
              <w:rPr>
                <w:rFonts w:hint="default" w:ascii="Times New Roman" w:hAnsi="Times New Roman" w:cs="Times New Roman"/>
                <w:color w:val="0000FF"/>
                <w:szCs w:val="21"/>
                <w:lang w:val="en-US" w:eastAsia="zh-CN"/>
              </w:rPr>
              <w:t>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修正3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90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1.5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修正4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90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0.5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6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修正5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90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90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2.5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</w:tbl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Sxy提高从60到90后</w:t>
      </w:r>
      <w:r>
        <w:rPr>
          <w:rFonts w:hint="eastAsia"/>
          <w:color w:val="0070C0"/>
          <w:lang w:val="en-US" w:eastAsia="zh-CN"/>
        </w:rPr>
        <w:t>0°的失效图</w:t>
      </w:r>
      <w:r>
        <w:rPr>
          <w:rFonts w:hint="eastAsia"/>
          <w:lang w:val="en-US" w:eastAsia="zh-CN"/>
        </w:rPr>
        <w:t>不符合（无论Gf是60还是90）。故只能将Sxy回复到60。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50465" cy="2178685"/>
            <wp:effectExtent l="0" t="0" r="6985" b="12065"/>
            <wp:docPr id="16" name="图片 16" descr="0-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-lin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最后使用的材料参数：</w:t>
      </w:r>
    </w:p>
    <w:tbl>
      <w:tblPr>
        <w:tblStyle w:val="4"/>
        <w:tblW w:w="10269" w:type="dxa"/>
        <w:jc w:val="center"/>
        <w:tblInd w:w="-9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_90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764.3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60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此时的0和45比较符合，但是0/90出现问题（由于是Gm为0.5太小）。</w:t>
      </w:r>
    </w:p>
    <w:tbl>
      <w:tblPr>
        <w:tblStyle w:val="4"/>
        <w:tblW w:w="10269" w:type="dxa"/>
        <w:jc w:val="center"/>
        <w:tblInd w:w="-9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_90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764.3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  <w:t>60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dm太大（=5）时，0°的裂纹不对，dm太小的时候（=0.5），0/90的裂纹不对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使用的参数：</w:t>
      </w:r>
    </w:p>
    <w:tbl>
      <w:tblPr>
        <w:tblStyle w:val="4"/>
        <w:tblW w:w="10269" w:type="dxa"/>
        <w:jc w:val="center"/>
        <w:tblInd w:w="-9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_90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764.3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60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2.</w:t>
            </w:r>
            <w:r>
              <w:rPr>
                <w:rFonts w:hint="default" w:ascii="Times New Roman" w:hAnsi="Times New Roman" w:cs="Times New Roman"/>
                <w:color w:val="0000FF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b/>
                <w:bCs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</w:tbl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6904355" cy="3298190"/>
            <wp:effectExtent l="0" t="0" r="10795" b="165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04355" cy="329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可以看出对三种不同的dm而言，dm=2.5和dm=5的极限失效载荷数值差别并不大，而从失效图来看dm=2.5差不多可以兼顾0以及0/90.所以最后综合考虑的话：</w:t>
      </w:r>
    </w:p>
    <w:p>
      <w:pPr>
        <w:jc w:val="both"/>
        <w:rPr>
          <w:rFonts w:hint="eastAsia"/>
          <w:lang w:val="en-US" w:eastAsia="zh-CN"/>
        </w:rPr>
      </w:pPr>
    </w:p>
    <w:tbl>
      <w:tblPr>
        <w:tblStyle w:val="4"/>
        <w:tblW w:w="9509" w:type="dxa"/>
        <w:jc w:val="center"/>
        <w:tblInd w:w="-9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_90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764.3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60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2.</w:t>
            </w:r>
            <w:r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不同的铺层以及不同的孔径：</w:t>
      </w:r>
    </w:p>
    <w:p>
      <w:pPr>
        <w:jc w:val="both"/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屈曲极限载荷：</w:t>
      </w:r>
    </w:p>
    <w:tbl>
      <w:tblPr>
        <w:tblW w:w="11186" w:type="dxa"/>
        <w:tblCellSpacing w:w="0" w:type="dxa"/>
        <w:tblInd w:w="15" w:type="dxa"/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atLeast"/>
          <w:tblCellSpacing w:w="0" w:type="dxa"/>
        </w:trPr>
        <w:tc>
          <w:tcPr>
            <w:tcW w:w="146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b/>
                <w:color w:val="FFFFFF"/>
                <w:sz w:val="24"/>
                <w:szCs w:val="24"/>
                <w:bdr w:val="none" w:color="auto" w:sz="0" w:space="0"/>
              </w:rPr>
              <w:t>Comparing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b/>
                <w:color w:val="FFFFFF"/>
                <w:sz w:val="24"/>
                <w:szCs w:val="24"/>
                <w:bdr w:val="none" w:color="auto" w:sz="0" w:space="0"/>
              </w:rPr>
              <w:t>of  Ultimate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b/>
                <w:color w:val="FFFFFF"/>
                <w:sz w:val="24"/>
                <w:szCs w:val="24"/>
                <w:bdr w:val="none" w:color="auto" w:sz="0" w:space="0"/>
              </w:rPr>
              <w:t>loads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b/>
                <w:color w:val="FFFFFF"/>
                <w:sz w:val="24"/>
                <w:szCs w:val="24"/>
                <w:bdr w:val="none" w:color="auto" w:sz="0" w:space="0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b/>
                <w:color w:val="FFFFFF"/>
                <w:sz w:val="24"/>
                <w:szCs w:val="24"/>
                <w:bdr w:val="none" w:color="auto" w:sz="0" w:space="0"/>
              </w:rPr>
              <w:t>Size of cutout (Ф)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100mm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Relative error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b/>
                <w:color w:val="FFFFFF"/>
                <w:sz w:val="24"/>
                <w:szCs w:val="24"/>
                <w:bdr w:val="none" w:color="auto" w:sz="0" w:space="0"/>
              </w:rPr>
              <w:t>[0]10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97.69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78.23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-19.9%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76.11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69.73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-8.4%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52.82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35.00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-34%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b/>
                <w:color w:val="FFFFFF"/>
                <w:sz w:val="24"/>
                <w:szCs w:val="24"/>
                <w:bdr w:val="none" w:color="auto" w:sz="0" w:space="0"/>
              </w:rPr>
              <w:t>[0/90]5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56.91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59.32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4.0%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45.89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47.20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2.8%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32.99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37.54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12.1%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b/>
                <w:color w:val="FFFFFF"/>
                <w:sz w:val="24"/>
                <w:szCs w:val="24"/>
                <w:bdr w:val="none" w:color="auto" w:sz="0" w:space="0"/>
              </w:rPr>
              <w:t>[±45]5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22.46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28.72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21.8%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17.89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23.79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24.8%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13.42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17.60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23.8%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tbl>
      <w:tblPr>
        <w:tblW w:w="11186" w:type="dxa"/>
        <w:tblCellSpacing w:w="0" w:type="dxa"/>
        <w:tblInd w:w="15" w:type="dxa"/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atLeast"/>
          <w:tblCellSpacing w:w="0" w:type="dxa"/>
        </w:trPr>
        <w:tc>
          <w:tcPr>
            <w:tcW w:w="146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b/>
                <w:color w:val="FFFFFF"/>
                <w:sz w:val="24"/>
                <w:szCs w:val="24"/>
                <w:bdr w:val="none" w:color="auto" w:sz="0" w:space="0"/>
              </w:rPr>
              <w:t>Comparing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b/>
                <w:color w:val="FFFFFF"/>
                <w:sz w:val="24"/>
                <w:szCs w:val="24"/>
                <w:bdr w:val="none" w:color="auto" w:sz="0" w:space="0"/>
              </w:rPr>
              <w:t>of  Ultimate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b/>
                <w:color w:val="FFFFFF"/>
                <w:sz w:val="24"/>
                <w:szCs w:val="24"/>
                <w:bdr w:val="none" w:color="auto" w:sz="0" w:space="0"/>
              </w:rPr>
              <w:t>loads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b/>
                <w:color w:val="FFFFFF"/>
                <w:sz w:val="24"/>
                <w:szCs w:val="24"/>
                <w:bdr w:val="none" w:color="auto" w:sz="0" w:space="0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b/>
                <w:color w:val="FFFFFF"/>
                <w:sz w:val="24"/>
                <w:szCs w:val="24"/>
                <w:bdr w:val="none" w:color="auto" w:sz="0" w:space="0"/>
              </w:rPr>
              <w:t>Size of cutout (Ф)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100mm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Relative error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b/>
                <w:color w:val="FFFFFF"/>
                <w:sz w:val="24"/>
                <w:szCs w:val="24"/>
                <w:bdr w:val="none" w:color="auto" w:sz="0" w:space="0"/>
              </w:rPr>
              <w:t>[0]10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78.23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69.73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35.00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b/>
                <w:color w:val="FFFFFF"/>
                <w:sz w:val="24"/>
                <w:szCs w:val="24"/>
                <w:bdr w:val="none" w:color="auto" w:sz="0" w:space="0"/>
              </w:rPr>
              <w:t>[0/90]5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59.32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47.20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37.54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b/>
                <w:color w:val="FFFFFF"/>
                <w:sz w:val="24"/>
                <w:szCs w:val="24"/>
                <w:bdr w:val="none" w:color="auto" w:sz="0" w:space="0"/>
              </w:rPr>
              <w:t>[±45]5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28.72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23.79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bdr w:val="none" w:color="auto" w:sz="0" w:space="0"/>
              </w:rPr>
              <w:t>17.60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屈曲和失效：</w:t>
      </w:r>
    </w:p>
    <w:p>
      <w:pPr>
        <w:jc w:val="both"/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屈曲极限载荷：</w:t>
      </w:r>
    </w:p>
    <w:tbl>
      <w:tblPr>
        <w:tblStyle w:val="5"/>
        <w:tblW w:w="853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7"/>
        <w:gridCol w:w="831"/>
        <w:gridCol w:w="870"/>
        <w:gridCol w:w="754"/>
        <w:gridCol w:w="754"/>
        <w:gridCol w:w="754"/>
        <w:gridCol w:w="754"/>
        <w:gridCol w:w="756"/>
        <w:gridCol w:w="756"/>
        <w:gridCol w:w="746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40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90</w:t>
            </w:r>
          </w:p>
        </w:tc>
        <w:tc>
          <w:tcPr>
            <w:tcW w:w="75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75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110</w:t>
            </w:r>
          </w:p>
        </w:tc>
        <w:tc>
          <w:tcPr>
            <w:tcW w:w="74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120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106.25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62.88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41.93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30.80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24.40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20.18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17.12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15.43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13.33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238.21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132.99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80.73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52.53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36.72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27.67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22.54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19.55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17.61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131.79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81.79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55.01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39.36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29.79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23.80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20.27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18.43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17.79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tbl>
      <w:tblPr>
        <w:tblStyle w:val="5"/>
        <w:tblW w:w="8514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7"/>
        <w:gridCol w:w="831"/>
        <w:gridCol w:w="1836"/>
        <w:gridCol w:w="2250"/>
        <w:gridCol w:w="2040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83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225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204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hint="eastAsia" w:ascii="Cambria Math" w:hAnsi="Cambria Math" w:cs="Times New Roman" w:eastAsiaTheme="minorEastAsia"/>
                <w:color w:val="auto"/>
                <w:szCs w:val="21"/>
                <w:lang w:val="en-US" w:eastAsia="zh-CN"/>
                <w:oMath/>
              </w:rPr>
            </w:pPr>
            <w:r>
              <w:rPr>
                <w:rFonts w:hint="eastAsia" w:ascii="Cambria Math" w:hAnsi="Cambria Math" w:cs="Times New Roman"/>
                <w:color w:val="auto"/>
                <w:szCs w:val="21"/>
                <w:lang w:val="en-US" w:eastAsia="zh-CN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27</w:t>
            </w: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.</w:t>
            </w: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9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hint="eastAsia" w:ascii="Times New Roman" w:hAnsi="Times New Roman" w:cs="Times New Roman" w:eastAsiaTheme="minorEastAsia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33.56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  <w:lang w:val="en-US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  <w:lang w:val="en-US"/>
              </w:rPr>
              <w:t>26.78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continue"/>
          </w:tcPr>
          <w:p>
            <w:pPr>
              <w:jc w:val="right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hint="eastAsia" w:eastAsiaTheme="minor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hint="eastAsia" w:ascii="Times New Roman" w:hAnsi="Times New Roman" w:cs="Times New Roman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27.60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hint="eastAsia" w:ascii="Times New Roman" w:hAnsi="Times New Roman" w:cs="Times New Roman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33.53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hint="eastAsia" w:ascii="Times New Roman" w:hAnsi="Times New Roman" w:cs="Times New Roman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  <w:t>26.86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hint="eastAsia" w:ascii="Cambria Math" w:hAnsi="Cambria Math" w:cs="Times New Roman" w:eastAsiaTheme="minorEastAsia"/>
                <w:color w:val="auto"/>
                <w:szCs w:val="21"/>
                <w:lang w:val="en-US" w:eastAsia="zh-CN"/>
                <w:oMath/>
              </w:rPr>
            </w:pPr>
            <w:r>
              <w:rPr>
                <w:rFonts w:hint="eastAsia" w:ascii="Cambria Math" w:hAnsi="Cambria Math" w:cs="Times New Roman"/>
                <w:color w:val="auto"/>
                <w:szCs w:val="21"/>
                <w:lang w:val="en-US" w:eastAsia="zh-CN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hint="eastAsia" w:ascii="Times New Roman" w:hAnsi="Times New Roman" w:cs="Times New Roman" w:eastAsiaTheme="minorEastAsia"/>
                <w:color w:val="0000FF"/>
                <w:sz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  <w:lang w:val="en-US" w:eastAsia="zh-CN"/>
              </w:rPr>
              <w:t>11.06</w:t>
            </w:r>
            <w:r>
              <w:rPr>
                <w:rFonts w:hint="eastAsia" w:ascii="Times New Roman" w:hAnsi="Times New Roman" w:cs="Times New Roman"/>
                <w:color w:val="0000FF"/>
                <w:sz w:val="20"/>
                <w:szCs w:val="20"/>
                <w:lang w:val="en-US" w:eastAsia="zh-CN"/>
              </w:rPr>
              <w:t>（90层首先出现基体破坏）</w:t>
            </w:r>
            <w:r>
              <w:rPr>
                <w:rFonts w:hint="eastAsia" w:ascii="Times New Roman" w:hAnsi="Times New Roman" w:cs="Times New Roman"/>
                <w:color w:val="0000FF"/>
                <w:sz w:val="22"/>
                <w:lang w:val="en-US" w:eastAsia="zh-CN"/>
              </w:rPr>
              <w:t>13.41</w:t>
            </w:r>
            <w:r>
              <w:rPr>
                <w:rFonts w:hint="eastAsia" w:ascii="Times New Roman" w:hAnsi="Times New Roman" w:cs="Times New Roman"/>
                <w:color w:val="0000FF"/>
                <w:sz w:val="20"/>
                <w:szCs w:val="20"/>
                <w:lang w:val="en-US" w:eastAsia="zh-CN"/>
              </w:rPr>
              <w:t>（90层首先出现基体破坏；）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hint="eastAsia"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23669.4</w:t>
            </w:r>
            <w:r>
              <w:rPr>
                <w:rFonts w:hint="default" w:ascii="Times New Roman" w:hAnsi="Times New Roman" w:cs="Times New Roman"/>
                <w:color w:val="0000FF"/>
                <w:sz w:val="22"/>
                <w:lang w:val="en-US"/>
              </w:rPr>
              <w:t>()</w:t>
            </w:r>
          </w:p>
          <w:p>
            <w:pPr>
              <w:ind w:firstLine="660" w:firstLineChars="300"/>
              <w:jc w:val="both"/>
              <w:rPr>
                <w:rFonts w:hint="eastAsia"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13754.2</w:t>
            </w:r>
            <w:r>
              <w:rPr>
                <w:rFonts w:hint="default" w:ascii="Times New Roman" w:hAnsi="Times New Roman" w:cs="Times New Roman"/>
                <w:color w:val="0000FF"/>
                <w:sz w:val="22"/>
                <w:lang w:val="en-US"/>
              </w:rPr>
              <w:t>()</w:t>
            </w:r>
          </w:p>
          <w:p>
            <w:pPr>
              <w:jc w:val="both"/>
              <w:rPr>
                <w:rFonts w:ascii="Times New Roman" w:hAnsi="Times New Roman" w:cs="Times New Roman"/>
                <w:color w:val="0000FF"/>
                <w:sz w:val="22"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hint="eastAsia" w:ascii="Times New Roman" w:hAnsi="Times New Roman" w:cs="Times New Roman" w:eastAsiaTheme="minorEastAsia"/>
                <w:color w:val="0000FF"/>
                <w:sz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  <w:lang w:val="en-US" w:eastAsia="zh-CN"/>
              </w:rPr>
              <w:t>9.07</w:t>
            </w:r>
            <w:r>
              <w:rPr>
                <w:rFonts w:hint="eastAsia" w:ascii="Cambria Math" w:hAnsi="Cambria Math" w:cs="Times New Roman"/>
                <w:color w:val="0000FF"/>
                <w:szCs w:val="21"/>
                <w:lang w:val="en-US" w:eastAsia="zh-CN"/>
              </w:rPr>
              <w:t>（90层率先出线基体破坏）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continue"/>
          </w:tcPr>
          <w:p>
            <w:pPr>
              <w:jc w:val="center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hint="eastAsia" w:ascii="Cambria Math" w:hAnsi="Cambria Math" w:cs="Times New Roman" w:eastAsiaTheme="minorEastAsia"/>
                <w:color w:val="auto"/>
                <w:szCs w:val="21"/>
                <w:lang w:val="en-US" w:eastAsia="zh-CN"/>
                <w:oMath/>
              </w:rPr>
            </w:pPr>
            <w:r>
              <w:rPr>
                <w:rFonts w:hint="eastAsia" w:ascii="Cambria Math" w:hAnsi="Cambria Math" w:cs="Times New Roman"/>
                <w:color w:val="auto"/>
                <w:szCs w:val="21"/>
                <w:lang w:val="en-US" w:eastAsia="zh-CN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hint="eastAsia" w:ascii="Cambria Math" w:hAnsi="Cambria Math" w:cs="Times New Roman" w:eastAsiaTheme="minorEastAsia"/>
                <w:color w:val="0000FF"/>
                <w:szCs w:val="21"/>
                <w:lang w:val="en-US" w:eastAsia="zh-CN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  <w:lang w:val="en-US" w:eastAsia="zh-CN"/>
              </w:rPr>
              <w:t>8.01</w:t>
            </w:r>
            <w:r>
              <w:rPr>
                <w:rFonts w:hint="eastAsia" w:ascii="Cambria Math" w:hAnsi="Cambria Math" w:cs="Times New Roman"/>
                <w:color w:val="0000FF"/>
                <w:sz w:val="18"/>
                <w:szCs w:val="18"/>
                <w:lang w:val="en-US" w:eastAsia="zh-CN"/>
              </w:rPr>
              <w:t>(0和90层同时出现了基体破坏)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hint="eastAsia" w:ascii="Cambria Math" w:hAnsi="Cambria Math" w:cs="Times New Roman"/>
                <w:i w:val="0"/>
                <w:color w:val="0000FF"/>
                <w:szCs w:val="21"/>
              </w:rPr>
            </w:pPr>
            <w:r>
              <w:rPr>
                <w:rFonts w:hint="eastAsia" w:ascii="Cambria Math" w:hAnsi="Cambria Math" w:cs="Times New Roman"/>
                <w:i w:val="0"/>
                <w:color w:val="0000FF"/>
                <w:szCs w:val="21"/>
              </w:rPr>
              <w:t>13754.2</w:t>
            </w:r>
          </w:p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hint="eastAsia" w:ascii="Cambria Math" w:hAnsi="Cambria Math" w:cs="Times New Roman" w:eastAsiaTheme="minorEastAsia"/>
                <w:color w:val="0000FF"/>
                <w:szCs w:val="21"/>
                <w:lang w:val="en-US" w:eastAsia="zh-CN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  <w:lang w:val="en-US" w:eastAsia="zh-CN"/>
              </w:rPr>
              <w:t>9.07（90层率先出线基体破坏）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hint="eastAsia" w:ascii="Cambria Math" w:hAnsi="Cambria Math" w:cs="Times New Roman" w:eastAsiaTheme="minorEastAsia"/>
                <w:color w:val="auto"/>
                <w:szCs w:val="21"/>
                <w:lang w:val="en-US" w:eastAsia="zh-CN"/>
                <w:oMath/>
              </w:rPr>
            </w:pPr>
            <w:r>
              <w:rPr>
                <w:rFonts w:hint="eastAsia" w:ascii="Cambria Math" w:hAnsi="Cambria Math" w:cs="Times New Roman"/>
                <w:color w:val="auto"/>
                <w:szCs w:val="21"/>
                <w:lang w:val="en-US" w:eastAsia="zh-CN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hint="eastAsia" w:eastAsiaTheme="minorEastAsia"/>
                <w:color w:val="0000FF"/>
                <w:sz w:val="22"/>
                <w:lang w:val="en-US" w:eastAsia="zh-CN"/>
              </w:rPr>
            </w:pPr>
            <w:r>
              <w:rPr>
                <w:rFonts w:hint="eastAsia"/>
                <w:color w:val="0000FF"/>
                <w:sz w:val="22"/>
                <w:lang w:val="en-US" w:eastAsia="zh-CN"/>
              </w:rPr>
              <w:t>8.29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hint="eastAsia" w:eastAsiaTheme="minorEastAsia"/>
                <w:color w:val="0000FF"/>
                <w:sz w:val="22"/>
                <w:lang w:val="en-US" w:eastAsia="zh-CN"/>
              </w:rPr>
            </w:pPr>
            <w:r>
              <w:rPr>
                <w:rFonts w:hint="eastAsia"/>
                <w:color w:val="0000FF"/>
                <w:sz w:val="22"/>
                <w:lang w:val="en-US" w:eastAsia="zh-CN"/>
              </w:rPr>
              <w:t>8.15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color w:val="0000FF"/>
                <w:sz w:val="22"/>
                <w:lang w:val="en-US"/>
              </w:rPr>
            </w:pPr>
            <w:r>
              <w:rPr>
                <w:color w:val="0000FF"/>
                <w:sz w:val="22"/>
                <w:lang w:val="en-US"/>
              </w:rPr>
              <w:t>6.48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1557" w:type="dxa"/>
            <w:vMerge w:val="continue"/>
          </w:tcPr>
          <w:p>
            <w:pPr>
              <w:jc w:val="right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hint="eastAsia" w:ascii="Cambria Math" w:hAnsi="Cambria Math" w:cs="Times New Roman" w:eastAsiaTheme="minorEastAsia"/>
                <w:color w:val="auto"/>
                <w:szCs w:val="21"/>
                <w:lang w:val="en-US" w:eastAsia="zh-CN"/>
                <w:oMath/>
              </w:rPr>
            </w:pPr>
            <w:r>
              <w:rPr>
                <w:rFonts w:hint="eastAsia" w:ascii="Cambria Math" w:hAnsi="Cambria Math" w:cs="Times New Roman"/>
                <w:color w:val="auto"/>
                <w:szCs w:val="21"/>
                <w:lang w:val="en-US" w:eastAsia="zh-CN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hint="eastAsia" w:ascii="Cambria Math" w:hAnsi="Cambria Math" w:cs="Times New Roman" w:eastAsiaTheme="minorEastAsia"/>
                <w:color w:val="0000FF"/>
                <w:szCs w:val="21"/>
                <w:lang w:val="en-US" w:eastAsia="zh-CN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  <w:lang w:val="en-US" w:eastAsia="zh-CN"/>
              </w:rPr>
              <w:t>8.67</w:t>
            </w:r>
          </w:p>
        </w:tc>
        <w:tc>
          <w:tcPr>
            <w:tcW w:w="2250" w:type="dxa"/>
            <w:vAlign w:val="bottom"/>
          </w:tcPr>
          <w:p>
            <w:pPr>
              <w:jc w:val="right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hint="eastAsia" w:ascii="Cambria Math" w:hAnsi="Cambria Math" w:cs="Times New Roman" w:eastAsiaTheme="minorEastAsia"/>
                <w:color w:val="0000FF"/>
                <w:szCs w:val="21"/>
                <w:lang w:val="en-US" w:eastAsia="zh-CN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  <w:lang w:val="en-US" w:eastAsia="zh-CN"/>
              </w:rPr>
              <w:t>6.48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通过固定增量步，来看初始损伤时的载荷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剪切非线性：</w:t>
      </w:r>
    </w:p>
    <w:p>
      <w:pPr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60_0.5_60和60_2.5_60相比，从位移载荷曲线上来看，60_0.5_60更加符合试验，60_2.5_60失效太早，而且比较乱。</w:t>
      </w:r>
    </w:p>
    <w:p>
      <w:pPr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试验90_0.5_60,90_2.5_60,</w:t>
      </w:r>
    </w:p>
    <w:p>
      <w:pPr>
        <w:jc w:val="both"/>
        <w:rPr>
          <w:rFonts w:hint="eastAsia" w:ascii="宋体" w:hAnsi="宋体" w:eastAsia="宋体" w:cs="宋体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由于计算的太慢（增量步间隔太小），4000步都算不完，所以把密度从0.001增至1.。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0°铺层的层合板，发现位移载荷曲线符合试验，而失效图被剪切非线性破坏了，怀疑是N取小了，当N取到6时，0°铺层失效图变正常，但是45°。。。。。。。。。，而且N最好从试验数据获得。。。。。。。。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tabs>
          <w:tab w:val="left" w:pos="8244"/>
        </w:tabs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应力集中因子：</w:t>
      </w:r>
      <w:r>
        <w:rPr>
          <w:rFonts w:hint="default"/>
          <w:b/>
          <w:bCs/>
          <w:sz w:val="24"/>
          <w:szCs w:val="28"/>
          <w:lang w:val="en-US" w:eastAsia="zh-CN"/>
        </w:rPr>
        <w:tab/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cohensive单元：</w:t>
      </w:r>
    </w:p>
    <w:p>
      <w:pPr>
        <w:jc w:val="both"/>
        <w:rPr>
          <w:rFonts w:hint="eastAsia"/>
          <w:b/>
          <w:bCs/>
          <w:sz w:val="32"/>
          <w:szCs w:val="36"/>
          <w:lang w:val="en-US" w:eastAsia="zh-CN"/>
        </w:rPr>
      </w:pPr>
    </w:p>
    <w:p>
      <w:pPr>
        <w:jc w:val="both"/>
        <w:rPr>
          <w:rFonts w:hint="eastAsia"/>
          <w:b/>
          <w:bCs/>
          <w:sz w:val="32"/>
          <w:szCs w:val="36"/>
          <w:lang w:val="en-US" w:eastAsia="zh-CN"/>
        </w:rPr>
      </w:pPr>
      <w:r>
        <w:rPr>
          <w:rFonts w:hint="eastAsia"/>
          <w:b/>
          <w:bCs/>
          <w:sz w:val="32"/>
          <w:szCs w:val="36"/>
          <w:lang w:val="en-US" w:eastAsia="zh-CN"/>
        </w:rPr>
        <w:t>铺层和开孔大小</w:t>
      </w:r>
    </w:p>
    <w:p>
      <w:pPr>
        <w:jc w:val="both"/>
        <w:rPr>
          <w:rFonts w:hint="eastAsia"/>
          <w:b/>
          <w:bCs/>
          <w:sz w:val="32"/>
          <w:szCs w:val="36"/>
          <w:lang w:val="en-US" w:eastAsia="zh-CN"/>
        </w:rPr>
      </w:pPr>
      <w:r>
        <w:rPr>
          <w:rFonts w:hint="eastAsia"/>
          <w:b/>
          <w:bCs/>
          <w:sz w:val="32"/>
          <w:szCs w:val="36"/>
          <w:lang w:val="en-US" w:eastAsia="zh-CN"/>
        </w:rPr>
        <w:t>材料参数，密度，lin vs exp, 剪切非线性考虑N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B2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_x000B__x000C_">
    <w:altName w:val="Times New Roman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dvPSTim-B">
    <w:altName w:val="等线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imesNewRomanPSMT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Tw Cen MT">
    <w:panose1 w:val="020B0602020104020603"/>
    <w:charset w:val="00"/>
    <w:family w:val="auto"/>
    <w:pitch w:val="default"/>
    <w:sig w:usb0="00000003" w:usb1="00000000" w:usb2="00000000" w:usb3="00000000" w:csb0="20000003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@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@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imesNewRomanPS-BoldMT">
    <w:altName w:val="Segoe Print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fornian FB">
    <w:panose1 w:val="0207040306080B030204"/>
    <w:charset w:val="00"/>
    <w:family w:val="auto"/>
    <w:pitch w:val="default"/>
    <w:sig w:usb0="00000003" w:usb1="00000000" w:usb2="00000000" w:usb3="00000000" w:csb0="20000001" w:csb1="00000000"/>
  </w:font>
  <w:font w:name="Calisto MT">
    <w:panose1 w:val="02040603050505030304"/>
    <w:charset w:val="00"/>
    <w:family w:val="auto"/>
    <w:pitch w:val="default"/>
    <w:sig w:usb0="00000003" w:usb1="00000000" w:usb2="00000000" w:usb3="00000000" w:csb0="20000001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entury Schoolbook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Chiller">
    <w:panose1 w:val="04020404031007020602"/>
    <w:charset w:val="00"/>
    <w:family w:val="auto"/>
    <w:pitch w:val="default"/>
    <w:sig w:usb0="00000003" w:usb1="00000000" w:usb2="00000000" w:usb3="00000000" w:csb0="20000001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ooper Black">
    <w:panose1 w:val="0208090404030B020404"/>
    <w:charset w:val="00"/>
    <w:family w:val="auto"/>
    <w:pitch w:val="default"/>
    <w:sig w:usb0="00000003" w:usb1="00000000" w:usb2="00000000" w:usb3="00000000" w:csb0="20000001" w:csb1="00000000"/>
  </w:font>
  <w:font w:name="Copperplate Gothic Bold">
    <w:panose1 w:val="020E0705020206020404"/>
    <w:charset w:val="00"/>
    <w:family w:val="auto"/>
    <w:pitch w:val="default"/>
    <w:sig w:usb0="00000003" w:usb1="00000000" w:usb2="00000000" w:usb3="00000000" w:csb0="20000001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Tempus Sans ITC">
    <w:panose1 w:val="04020404030D07020202"/>
    <w:charset w:val="00"/>
    <w:family w:val="auto"/>
    <w:pitch w:val="default"/>
    <w:sig w:usb0="00000003" w:usb1="00000000" w:usb2="00000000" w:usb3="00000000" w:csb0="20000001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Univers">
    <w:altName w:val="Arial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Batang">
    <w:altName w:val="Malgun Gothic"/>
    <w:panose1 w:val="02030600000101010101"/>
    <w:charset w:val="81"/>
    <w:family w:val="roman"/>
    <w:pitch w:val="default"/>
    <w:sig w:usb0="00000000" w:usb1="00000000" w:usb2="00000030" w:usb3="00000000" w:csb0="0008009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alibri">
    <w:panose1 w:val="020F0502020204030204"/>
    <w:charset w:val="A1"/>
    <w:family w:val="auto"/>
    <w:pitch w:val="default"/>
    <w:sig w:usb0="E0002AFF" w:usb1="C000247B" w:usb2="00000009" w:usb3="00000000" w:csb0="200001FF" w:csb1="00000000"/>
  </w:font>
  <w:font w:name="TimesNewRomanPSMT">
    <w:altName w:val="Times New Roman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B5+CAJ FNT00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B6+CAJSymbolA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Times-Bold">
    <w:altName w:val="Segoe Print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Times-Roman">
    <w:altName w:val="Times New Roman"/>
    <w:panose1 w:val="00000000000000000000"/>
    <w:charset w:val="80"/>
    <w:family w:val="auto"/>
    <w:pitch w:val="default"/>
    <w:sig w:usb0="00000000" w:usb1="00000000" w:usb2="00000000" w:usb3="00000000" w:csb0="00020000" w:csb1="00000000"/>
  </w:font>
  <w:font w:name="Times-Roman">
    <w:altName w:val="Times New Roman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Times-Italic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Times-Bold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TimesNewRomanPS-ItalicMT">
    <w:altName w:val="Segoe Print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B4+CAJ FNT00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Times-Italic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MinionPro-Regular">
    <w:altName w:val="宋体"/>
    <w:panose1 w:val="00000000000000000000"/>
    <w:charset w:val="86"/>
    <w:family w:val="roman"/>
    <w:pitch w:val="default"/>
    <w:sig w:usb0="00000000" w:usb1="00000000" w:usb2="00000000" w:usb3="00000000" w:csb0="00040000" w:csb1="00000000"/>
  </w:font>
  <w:font w:name="MinionPro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dvTimes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AdvEPSTIM">
    <w:altName w:val="Yu Gothic"/>
    <w:panose1 w:val="00000000000000000000"/>
    <w:charset w:val="80"/>
    <w:family w:val="auto"/>
    <w:pitch w:val="default"/>
    <w:sig w:usb0="00000000" w:usb1="00000000" w:usb2="00000000" w:usb3="00000000" w:csb0="00020000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Tw Cen MT Condensed Extra Bold">
    <w:panose1 w:val="020B0803020202020204"/>
    <w:charset w:val="00"/>
    <w:family w:val="auto"/>
    <w:pitch w:val="default"/>
    <w:sig w:usb0="00000003" w:usb1="00000000" w:usb2="00000000" w:usb3="00000000" w:csb0="20000003" w:csb1="00000000"/>
  </w:font>
  <w:font w:name="Tw Cen MT Condensed">
    <w:panose1 w:val="020B0606020104020203"/>
    <w:charset w:val="00"/>
    <w:family w:val="auto"/>
    <w:pitch w:val="default"/>
    <w:sig w:usb0="00000003" w:usb1="00000000" w:usb2="00000000" w:usb3="00000000" w:csb0="20000003" w:csb1="00000000"/>
  </w:font>
  <w:font w:name="DY3+ZHTEJI-3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DY2+ZHTEJI-2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AdobeHeitiStd-Regular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DY426+ZHTELw-426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DY1+ZHTEJI-1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DY10+ZHTEJI-10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DY8+ZDVGNq-10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DY77+ZDVGNv-80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DY4+ZDVGNq-4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DY1+ZDVGNq-1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DY16+ZDVGNr-19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SymbolMT">
    <w:altName w:val="Yu Gothic"/>
    <w:panose1 w:val="00000000000000000000"/>
    <w:charset w:val="80"/>
    <w:family w:val="auto"/>
    <w:pitch w:val="default"/>
    <w:sig w:usb0="00000000" w:usb1="00000000" w:usb2="00000000" w:usb3="00000000" w:csb0="00020000" w:csb1="00000000"/>
  </w:font>
  <w:font w:name="TimesNewRoman">
    <w:altName w:val="Segoe Print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Wingdings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AdvGulliv-R">
    <w:altName w:val="Segoe Print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445F4"/>
    <w:rsid w:val="003D23DA"/>
    <w:rsid w:val="00923A89"/>
    <w:rsid w:val="00A424D0"/>
    <w:rsid w:val="0172042E"/>
    <w:rsid w:val="01CB23E9"/>
    <w:rsid w:val="01DF6A01"/>
    <w:rsid w:val="026F0ADA"/>
    <w:rsid w:val="02C811D0"/>
    <w:rsid w:val="03121E86"/>
    <w:rsid w:val="032E3CB0"/>
    <w:rsid w:val="03516F9F"/>
    <w:rsid w:val="036E6ACC"/>
    <w:rsid w:val="03D26AE8"/>
    <w:rsid w:val="03EE102B"/>
    <w:rsid w:val="04480F3E"/>
    <w:rsid w:val="0480007E"/>
    <w:rsid w:val="054F641F"/>
    <w:rsid w:val="055A01DB"/>
    <w:rsid w:val="055B4F15"/>
    <w:rsid w:val="05BE3FE0"/>
    <w:rsid w:val="0684298A"/>
    <w:rsid w:val="06893CD7"/>
    <w:rsid w:val="06FE5383"/>
    <w:rsid w:val="0710614A"/>
    <w:rsid w:val="07E874B2"/>
    <w:rsid w:val="08D9070B"/>
    <w:rsid w:val="09174702"/>
    <w:rsid w:val="097D546F"/>
    <w:rsid w:val="09DD1C2D"/>
    <w:rsid w:val="0A1A4DCB"/>
    <w:rsid w:val="0A232C61"/>
    <w:rsid w:val="0A6F2C61"/>
    <w:rsid w:val="0A986DD3"/>
    <w:rsid w:val="0B7E4BB4"/>
    <w:rsid w:val="0BDC1117"/>
    <w:rsid w:val="0C256186"/>
    <w:rsid w:val="0C2825D0"/>
    <w:rsid w:val="0D3A3FF9"/>
    <w:rsid w:val="0E4E73AC"/>
    <w:rsid w:val="0EBE2BD4"/>
    <w:rsid w:val="0EBF6291"/>
    <w:rsid w:val="0F044F84"/>
    <w:rsid w:val="0F20488A"/>
    <w:rsid w:val="0F685945"/>
    <w:rsid w:val="0FAC4228"/>
    <w:rsid w:val="0FB41768"/>
    <w:rsid w:val="0FEC2B29"/>
    <w:rsid w:val="108F3C2F"/>
    <w:rsid w:val="109E56C9"/>
    <w:rsid w:val="109F2F9A"/>
    <w:rsid w:val="10C267A4"/>
    <w:rsid w:val="10E457C2"/>
    <w:rsid w:val="10E87786"/>
    <w:rsid w:val="114119C9"/>
    <w:rsid w:val="11635E77"/>
    <w:rsid w:val="11973504"/>
    <w:rsid w:val="12091A49"/>
    <w:rsid w:val="12A017CE"/>
    <w:rsid w:val="12B81497"/>
    <w:rsid w:val="12C6485B"/>
    <w:rsid w:val="13442538"/>
    <w:rsid w:val="14095AE1"/>
    <w:rsid w:val="14484130"/>
    <w:rsid w:val="14616FF8"/>
    <w:rsid w:val="14E729C6"/>
    <w:rsid w:val="152F3F0E"/>
    <w:rsid w:val="153B27F0"/>
    <w:rsid w:val="15D514E8"/>
    <w:rsid w:val="167B6946"/>
    <w:rsid w:val="16AC0699"/>
    <w:rsid w:val="172C125F"/>
    <w:rsid w:val="179B54D5"/>
    <w:rsid w:val="185C3FBB"/>
    <w:rsid w:val="18EB10A1"/>
    <w:rsid w:val="1908065B"/>
    <w:rsid w:val="19472C4B"/>
    <w:rsid w:val="19847F3C"/>
    <w:rsid w:val="19B8481F"/>
    <w:rsid w:val="19EF7FDA"/>
    <w:rsid w:val="19F50FE6"/>
    <w:rsid w:val="1A140B10"/>
    <w:rsid w:val="1A3F0339"/>
    <w:rsid w:val="1A4271CF"/>
    <w:rsid w:val="1A6B4CA0"/>
    <w:rsid w:val="1B7674BF"/>
    <w:rsid w:val="1BA256EB"/>
    <w:rsid w:val="1BB51A51"/>
    <w:rsid w:val="1BDC44F4"/>
    <w:rsid w:val="1BEA0ADD"/>
    <w:rsid w:val="1BEF664D"/>
    <w:rsid w:val="1C0F3271"/>
    <w:rsid w:val="1C1B778A"/>
    <w:rsid w:val="1C612A19"/>
    <w:rsid w:val="1C736F12"/>
    <w:rsid w:val="1CA77C96"/>
    <w:rsid w:val="1D3D137B"/>
    <w:rsid w:val="1D770AAF"/>
    <w:rsid w:val="1E2274E0"/>
    <w:rsid w:val="1E92060D"/>
    <w:rsid w:val="1F721387"/>
    <w:rsid w:val="1FB14881"/>
    <w:rsid w:val="1FF52342"/>
    <w:rsid w:val="204B31A3"/>
    <w:rsid w:val="20A40CAE"/>
    <w:rsid w:val="20DE2601"/>
    <w:rsid w:val="21643A09"/>
    <w:rsid w:val="21A633AD"/>
    <w:rsid w:val="21E86B6E"/>
    <w:rsid w:val="221C6A11"/>
    <w:rsid w:val="22447F5B"/>
    <w:rsid w:val="22554577"/>
    <w:rsid w:val="22AB20F1"/>
    <w:rsid w:val="23455095"/>
    <w:rsid w:val="23AF12AB"/>
    <w:rsid w:val="2413161E"/>
    <w:rsid w:val="24262E30"/>
    <w:rsid w:val="24416575"/>
    <w:rsid w:val="24424667"/>
    <w:rsid w:val="245715D5"/>
    <w:rsid w:val="24A55856"/>
    <w:rsid w:val="25143EDA"/>
    <w:rsid w:val="252A3904"/>
    <w:rsid w:val="25F24B28"/>
    <w:rsid w:val="260F5425"/>
    <w:rsid w:val="262C4442"/>
    <w:rsid w:val="267B586C"/>
    <w:rsid w:val="26C51C61"/>
    <w:rsid w:val="26E24D70"/>
    <w:rsid w:val="27397939"/>
    <w:rsid w:val="27A61872"/>
    <w:rsid w:val="27B013E3"/>
    <w:rsid w:val="286D653C"/>
    <w:rsid w:val="28725480"/>
    <w:rsid w:val="28913F03"/>
    <w:rsid w:val="28A04F76"/>
    <w:rsid w:val="28D659FD"/>
    <w:rsid w:val="292D76DB"/>
    <w:rsid w:val="29586B30"/>
    <w:rsid w:val="29661F16"/>
    <w:rsid w:val="29B34D0C"/>
    <w:rsid w:val="2A421456"/>
    <w:rsid w:val="2A63473D"/>
    <w:rsid w:val="2A675560"/>
    <w:rsid w:val="2AAD0495"/>
    <w:rsid w:val="2AEC3080"/>
    <w:rsid w:val="2B094330"/>
    <w:rsid w:val="2B221D09"/>
    <w:rsid w:val="2B2E5887"/>
    <w:rsid w:val="2B5557AA"/>
    <w:rsid w:val="2B587021"/>
    <w:rsid w:val="2B640976"/>
    <w:rsid w:val="2B805D2F"/>
    <w:rsid w:val="2B876B10"/>
    <w:rsid w:val="2B97688C"/>
    <w:rsid w:val="2BB532FD"/>
    <w:rsid w:val="2BB84D31"/>
    <w:rsid w:val="2BDD63DC"/>
    <w:rsid w:val="2C9877D6"/>
    <w:rsid w:val="2D8B5BC0"/>
    <w:rsid w:val="2DF6136E"/>
    <w:rsid w:val="2E6A4E08"/>
    <w:rsid w:val="2E8B4381"/>
    <w:rsid w:val="2EBB1967"/>
    <w:rsid w:val="2EC77644"/>
    <w:rsid w:val="2FF512ED"/>
    <w:rsid w:val="3041266B"/>
    <w:rsid w:val="30CD497A"/>
    <w:rsid w:val="311D62FE"/>
    <w:rsid w:val="31C24263"/>
    <w:rsid w:val="32073AC4"/>
    <w:rsid w:val="32504309"/>
    <w:rsid w:val="3295665C"/>
    <w:rsid w:val="32A30720"/>
    <w:rsid w:val="33497974"/>
    <w:rsid w:val="33764A24"/>
    <w:rsid w:val="3378526A"/>
    <w:rsid w:val="3397705D"/>
    <w:rsid w:val="33E13BF2"/>
    <w:rsid w:val="342A761B"/>
    <w:rsid w:val="349E4E2E"/>
    <w:rsid w:val="34F919FB"/>
    <w:rsid w:val="352D7F2E"/>
    <w:rsid w:val="35827398"/>
    <w:rsid w:val="35867F0F"/>
    <w:rsid w:val="358B6B96"/>
    <w:rsid w:val="3609390F"/>
    <w:rsid w:val="36177B0F"/>
    <w:rsid w:val="36274FFB"/>
    <w:rsid w:val="36C23C09"/>
    <w:rsid w:val="36EE622B"/>
    <w:rsid w:val="371B041A"/>
    <w:rsid w:val="37345B80"/>
    <w:rsid w:val="380C5EEB"/>
    <w:rsid w:val="3813154A"/>
    <w:rsid w:val="38774D20"/>
    <w:rsid w:val="389E7DB9"/>
    <w:rsid w:val="38BE712E"/>
    <w:rsid w:val="38FA475D"/>
    <w:rsid w:val="3965189D"/>
    <w:rsid w:val="39CE12B1"/>
    <w:rsid w:val="3A0600D9"/>
    <w:rsid w:val="3AFA1B97"/>
    <w:rsid w:val="3B334FBC"/>
    <w:rsid w:val="3B3C586C"/>
    <w:rsid w:val="3BA35933"/>
    <w:rsid w:val="3BB01E61"/>
    <w:rsid w:val="3BB130BC"/>
    <w:rsid w:val="3BD81559"/>
    <w:rsid w:val="3BE76F23"/>
    <w:rsid w:val="3BFA7D4D"/>
    <w:rsid w:val="3C3B6BCE"/>
    <w:rsid w:val="3C543EFC"/>
    <w:rsid w:val="3C830D57"/>
    <w:rsid w:val="3C8960E5"/>
    <w:rsid w:val="3D261A29"/>
    <w:rsid w:val="3D4167E2"/>
    <w:rsid w:val="3D5E4DFE"/>
    <w:rsid w:val="3D8201A2"/>
    <w:rsid w:val="3DBA10DB"/>
    <w:rsid w:val="3DD1644E"/>
    <w:rsid w:val="3DF83A2F"/>
    <w:rsid w:val="3E7548D5"/>
    <w:rsid w:val="3E7D0A0B"/>
    <w:rsid w:val="3E860C7C"/>
    <w:rsid w:val="3EE701A3"/>
    <w:rsid w:val="3F69126D"/>
    <w:rsid w:val="401F61F0"/>
    <w:rsid w:val="4127324F"/>
    <w:rsid w:val="412E37A0"/>
    <w:rsid w:val="412F57F1"/>
    <w:rsid w:val="419B3734"/>
    <w:rsid w:val="41B410BF"/>
    <w:rsid w:val="41C92624"/>
    <w:rsid w:val="41F37B2C"/>
    <w:rsid w:val="4226114D"/>
    <w:rsid w:val="42733EC5"/>
    <w:rsid w:val="427B2CEE"/>
    <w:rsid w:val="42A218DA"/>
    <w:rsid w:val="433D5F74"/>
    <w:rsid w:val="43DD7B2E"/>
    <w:rsid w:val="441B41BF"/>
    <w:rsid w:val="44425C32"/>
    <w:rsid w:val="45EF09C2"/>
    <w:rsid w:val="460823EC"/>
    <w:rsid w:val="465E3984"/>
    <w:rsid w:val="4695464B"/>
    <w:rsid w:val="46F653C8"/>
    <w:rsid w:val="4746551E"/>
    <w:rsid w:val="479A2137"/>
    <w:rsid w:val="47D0077F"/>
    <w:rsid w:val="47D43DAD"/>
    <w:rsid w:val="47E977B2"/>
    <w:rsid w:val="48026C35"/>
    <w:rsid w:val="48CD458E"/>
    <w:rsid w:val="48E515CA"/>
    <w:rsid w:val="49202F79"/>
    <w:rsid w:val="49207158"/>
    <w:rsid w:val="49D401D9"/>
    <w:rsid w:val="4A412010"/>
    <w:rsid w:val="4A5058E0"/>
    <w:rsid w:val="4B342575"/>
    <w:rsid w:val="4B5A2D08"/>
    <w:rsid w:val="4BAE0BC6"/>
    <w:rsid w:val="4BD225ED"/>
    <w:rsid w:val="4CD725D9"/>
    <w:rsid w:val="4D1F6E35"/>
    <w:rsid w:val="4D690C14"/>
    <w:rsid w:val="4DFB6561"/>
    <w:rsid w:val="4E6A6D4F"/>
    <w:rsid w:val="4F7114E5"/>
    <w:rsid w:val="50E0381E"/>
    <w:rsid w:val="50EB2C70"/>
    <w:rsid w:val="51076E21"/>
    <w:rsid w:val="51716CF3"/>
    <w:rsid w:val="51C43E75"/>
    <w:rsid w:val="52395CBC"/>
    <w:rsid w:val="52601335"/>
    <w:rsid w:val="52C1696B"/>
    <w:rsid w:val="53106394"/>
    <w:rsid w:val="531F6210"/>
    <w:rsid w:val="531F7124"/>
    <w:rsid w:val="53500A6D"/>
    <w:rsid w:val="53990FA1"/>
    <w:rsid w:val="53A4725D"/>
    <w:rsid w:val="53D16D8A"/>
    <w:rsid w:val="54552FA4"/>
    <w:rsid w:val="54DF6CE3"/>
    <w:rsid w:val="559C1205"/>
    <w:rsid w:val="55C5547F"/>
    <w:rsid w:val="56157CD6"/>
    <w:rsid w:val="561A6C4A"/>
    <w:rsid w:val="56894861"/>
    <w:rsid w:val="56D16E01"/>
    <w:rsid w:val="571E394C"/>
    <w:rsid w:val="57A94A35"/>
    <w:rsid w:val="57CC360B"/>
    <w:rsid w:val="57DE159C"/>
    <w:rsid w:val="580C03A8"/>
    <w:rsid w:val="58527703"/>
    <w:rsid w:val="5861221E"/>
    <w:rsid w:val="591C14C7"/>
    <w:rsid w:val="595E5955"/>
    <w:rsid w:val="59660B06"/>
    <w:rsid w:val="59746435"/>
    <w:rsid w:val="5A42028B"/>
    <w:rsid w:val="5A487A7C"/>
    <w:rsid w:val="5A6E1C1E"/>
    <w:rsid w:val="5A847F92"/>
    <w:rsid w:val="5AC83630"/>
    <w:rsid w:val="5AFB0FE6"/>
    <w:rsid w:val="5B3A3B70"/>
    <w:rsid w:val="5C071A61"/>
    <w:rsid w:val="5C2C6FBF"/>
    <w:rsid w:val="5C816536"/>
    <w:rsid w:val="5CB9453F"/>
    <w:rsid w:val="5CC63369"/>
    <w:rsid w:val="5CD95312"/>
    <w:rsid w:val="5CF52C51"/>
    <w:rsid w:val="5CF775D3"/>
    <w:rsid w:val="5D017F3D"/>
    <w:rsid w:val="5DA1227D"/>
    <w:rsid w:val="5DFD6B5A"/>
    <w:rsid w:val="5E5F3282"/>
    <w:rsid w:val="5E885411"/>
    <w:rsid w:val="5ED023C0"/>
    <w:rsid w:val="5F16440C"/>
    <w:rsid w:val="5F5E1EBD"/>
    <w:rsid w:val="5FAD5F60"/>
    <w:rsid w:val="5FF07480"/>
    <w:rsid w:val="602435F7"/>
    <w:rsid w:val="603173E2"/>
    <w:rsid w:val="606C2D8A"/>
    <w:rsid w:val="61283677"/>
    <w:rsid w:val="61810E0B"/>
    <w:rsid w:val="61966A11"/>
    <w:rsid w:val="61A90516"/>
    <w:rsid w:val="61BF4695"/>
    <w:rsid w:val="61C97BEF"/>
    <w:rsid w:val="62021437"/>
    <w:rsid w:val="620B4E2D"/>
    <w:rsid w:val="622A55EE"/>
    <w:rsid w:val="627F02C8"/>
    <w:rsid w:val="629C5D1F"/>
    <w:rsid w:val="630118A5"/>
    <w:rsid w:val="630A20ED"/>
    <w:rsid w:val="63652557"/>
    <w:rsid w:val="63D95048"/>
    <w:rsid w:val="64235710"/>
    <w:rsid w:val="643E6FD4"/>
    <w:rsid w:val="64425738"/>
    <w:rsid w:val="6476303F"/>
    <w:rsid w:val="64C725E7"/>
    <w:rsid w:val="658E7586"/>
    <w:rsid w:val="65E35A92"/>
    <w:rsid w:val="65E50F40"/>
    <w:rsid w:val="67223D83"/>
    <w:rsid w:val="67247DED"/>
    <w:rsid w:val="6733172D"/>
    <w:rsid w:val="673365A9"/>
    <w:rsid w:val="68377397"/>
    <w:rsid w:val="689A6857"/>
    <w:rsid w:val="69183DA2"/>
    <w:rsid w:val="694A2342"/>
    <w:rsid w:val="69C3499E"/>
    <w:rsid w:val="69E223AC"/>
    <w:rsid w:val="6A5A197E"/>
    <w:rsid w:val="6A622448"/>
    <w:rsid w:val="6A634CC0"/>
    <w:rsid w:val="6AD50CEB"/>
    <w:rsid w:val="6B4A0AE9"/>
    <w:rsid w:val="6B8349B3"/>
    <w:rsid w:val="6BB9040B"/>
    <w:rsid w:val="6C2F1BC2"/>
    <w:rsid w:val="6C3E22FF"/>
    <w:rsid w:val="6C8A0B7C"/>
    <w:rsid w:val="6CBE36F5"/>
    <w:rsid w:val="6D181166"/>
    <w:rsid w:val="6D242186"/>
    <w:rsid w:val="6D904237"/>
    <w:rsid w:val="6E2E0D9D"/>
    <w:rsid w:val="6E9A28DF"/>
    <w:rsid w:val="6ECB3EDD"/>
    <w:rsid w:val="6EF80AD5"/>
    <w:rsid w:val="6F8C1822"/>
    <w:rsid w:val="6FB01D5D"/>
    <w:rsid w:val="6FC5720E"/>
    <w:rsid w:val="703D6F5E"/>
    <w:rsid w:val="7067425A"/>
    <w:rsid w:val="70DD7445"/>
    <w:rsid w:val="7147403E"/>
    <w:rsid w:val="71783072"/>
    <w:rsid w:val="72932EDD"/>
    <w:rsid w:val="72A11797"/>
    <w:rsid w:val="72E064DE"/>
    <w:rsid w:val="73596993"/>
    <w:rsid w:val="737527EA"/>
    <w:rsid w:val="73D64DF6"/>
    <w:rsid w:val="73DB404F"/>
    <w:rsid w:val="744E4932"/>
    <w:rsid w:val="74936D8E"/>
    <w:rsid w:val="74B9029E"/>
    <w:rsid w:val="75030E5A"/>
    <w:rsid w:val="755D0965"/>
    <w:rsid w:val="758065F0"/>
    <w:rsid w:val="75B6231B"/>
    <w:rsid w:val="75C018E2"/>
    <w:rsid w:val="75CD59A0"/>
    <w:rsid w:val="75DE5BE9"/>
    <w:rsid w:val="76260F81"/>
    <w:rsid w:val="7629577E"/>
    <w:rsid w:val="7657754F"/>
    <w:rsid w:val="76947686"/>
    <w:rsid w:val="76F11DA3"/>
    <w:rsid w:val="771B2ED0"/>
    <w:rsid w:val="777E0580"/>
    <w:rsid w:val="778C5C71"/>
    <w:rsid w:val="77CD1915"/>
    <w:rsid w:val="780904A6"/>
    <w:rsid w:val="7823053F"/>
    <w:rsid w:val="785D4D88"/>
    <w:rsid w:val="78D1398A"/>
    <w:rsid w:val="790E2AB3"/>
    <w:rsid w:val="795D2BB4"/>
    <w:rsid w:val="79733044"/>
    <w:rsid w:val="798657CA"/>
    <w:rsid w:val="799F2A29"/>
    <w:rsid w:val="79AB6F27"/>
    <w:rsid w:val="79C46F95"/>
    <w:rsid w:val="7A1D552A"/>
    <w:rsid w:val="7A4135D3"/>
    <w:rsid w:val="7A507AB9"/>
    <w:rsid w:val="7A9767EA"/>
    <w:rsid w:val="7BB20A4E"/>
    <w:rsid w:val="7C280D48"/>
    <w:rsid w:val="7D076ADB"/>
    <w:rsid w:val="7D97668D"/>
    <w:rsid w:val="7E8D0665"/>
    <w:rsid w:val="7E92134B"/>
    <w:rsid w:val="7EB85743"/>
    <w:rsid w:val="7ECB4D25"/>
    <w:rsid w:val="7F0F3DE4"/>
    <w:rsid w:val="7FF64D0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5">
    <w:name w:val="Table Grid"/>
    <w:basedOn w:val="4"/>
    <w:qFormat/>
    <w:uiPriority w:val="0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2017-10-09T07:25:00Z</dcterms:created>
  <dc:creator>lenovo</dc:creator>
  <cp:lastModifiedBy>lenovo</cp:lastModifiedBy>
  <dcterms:modified xsi:type="dcterms:W3CDTF">2017-12-19T15:08:06Z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