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参数定义的影响：</w:t>
      </w:r>
    </w:p>
    <w:p>
      <w:pPr>
        <w:outlineLvl w:val="1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Gf</w:t>
      </w:r>
      <w:r>
        <w:rPr>
          <w:rFonts w:hint="eastAsia"/>
          <w:b/>
          <w:bCs/>
          <w:sz w:val="24"/>
          <w:szCs w:val="28"/>
        </w:rPr>
        <w:t>和Gm以及viscous的影响（仅0°板）：</w:t>
      </w:r>
    </w:p>
    <w:tbl>
      <w:tblPr>
        <w:tblStyle w:val="10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密度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hint="eastAsia" w:ascii="Times New Roman" w:hAnsi="Times New Roman" w:cs="Times New Roman"/>
                <w:szCs w:val="21"/>
              </w:rPr>
              <w:t>m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hint="eastAsia" w:ascii="Times New Roman" w:hAnsi="Times New Roman" w:cs="Times New Roman"/>
                <w:szCs w:val="21"/>
              </w:rPr>
              <w:t>f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G10_60-V0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hint="eastAsia" w:ascii="Times New Roman" w:hAnsi="Times New Roman" w:cs="Times New Roman"/>
                <w:szCs w:val="21"/>
              </w:rPr>
              <w:t>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hint="eastAsia" w:ascii="Times New Roman" w:hAnsi="Times New Roman" w:cs="Times New Roman"/>
                <w:szCs w:val="21"/>
              </w:rPr>
              <w:t>_exp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</w:tbl>
    <w:p>
      <w:pPr>
        <w:spacing w:before="156" w:beforeLines="50"/>
        <w:ind w:right="-108"/>
        <w:rPr>
          <w:b/>
          <w:bCs/>
        </w:rPr>
      </w:pPr>
    </w:p>
    <w:p>
      <w:pPr>
        <w:spacing w:before="156" w:beforeLines="50"/>
        <w:ind w:right="-108"/>
        <w:outlineLvl w:val="2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viscous的影响</w:t>
      </w:r>
      <w:r>
        <w:rPr>
          <w:b/>
          <w:bCs/>
          <w:sz w:val="24"/>
          <w:szCs w:val="28"/>
        </w:rPr>
        <w:t>:</w:t>
      </w:r>
    </w:p>
    <w:tbl>
      <w:tblPr>
        <w:tblStyle w:val="10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G10_60-V0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hint="eastAsia" w:ascii="Times New Roman" w:hAnsi="Times New Roman" w:cs="Times New Roman"/>
                <w:szCs w:val="21"/>
              </w:rPr>
              <w:t>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>
      <w:pPr>
        <w:spacing w:before="156" w:beforeLines="50"/>
        <w:ind w:right="-108"/>
        <w:rPr>
          <w:b/>
          <w:bCs/>
        </w:rPr>
      </w:pPr>
      <w:r>
        <w:drawing>
          <wp:inline distT="0" distB="0" distL="114300" distR="114300">
            <wp:extent cx="2257425" cy="1952625"/>
            <wp:effectExtent l="0" t="0" r="9525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  <w:ind w:right="-108"/>
        <w:rPr>
          <w:b/>
          <w:bCs/>
        </w:rPr>
      </w:pPr>
      <w:r>
        <w:rPr>
          <w:rFonts w:hint="eastAsia"/>
          <w:b/>
          <w:bCs/>
        </w:rPr>
        <w:drawing>
          <wp:inline distT="0" distB="0" distL="114300" distR="114300">
            <wp:extent cx="2096770" cy="1857375"/>
            <wp:effectExtent l="0" t="0" r="17780" b="9525"/>
            <wp:docPr id="29" name="图片 29" descr="G10_60-V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G10_60-V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677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drawing>
          <wp:inline distT="0" distB="0" distL="114300" distR="114300">
            <wp:extent cx="2086610" cy="1877060"/>
            <wp:effectExtent l="0" t="0" r="8890" b="8890"/>
            <wp:docPr id="28" name="图片 28" descr="G10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G10_60_V0.00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/>
        <w:ind w:right="-108"/>
      </w:pPr>
      <w:r>
        <w:rPr>
          <w:rFonts w:hint="eastAsia"/>
        </w:rPr>
        <w:t>粘性系数太大会造成损伤的延迟，太小会造成计算不收敛。但是在这里取0时都可以收敛，所以不需要考虑。</w:t>
      </w:r>
    </w:p>
    <w:p>
      <w:pPr>
        <w:spacing w:before="156" w:beforeLines="50"/>
        <w:ind w:right="-108"/>
        <w:outlineLvl w:val="2"/>
        <w:rPr>
          <w:b/>
          <w:bCs/>
        </w:rPr>
      </w:pPr>
      <w:r>
        <w:rPr>
          <w:b/>
          <w:bCs/>
        </w:rPr>
        <w:t>Gf</w:t>
      </w:r>
      <w:r>
        <w:rPr>
          <w:rFonts w:hint="eastAsia"/>
          <w:b/>
          <w:bCs/>
        </w:rPr>
        <w:t>和Gm的区别：</w:t>
      </w: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21840" cy="1811655"/>
            <wp:effectExtent l="0" t="0" r="16510" b="17145"/>
            <wp:docPr id="22" name="图片 22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0_0-matri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00885" cy="1795780"/>
            <wp:effectExtent l="0" t="0" r="18415" b="13970"/>
            <wp:docPr id="23" name="图片 23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pro3-0-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0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58670" cy="1816100"/>
            <wp:effectExtent l="0" t="0" r="17780" b="12700"/>
            <wp:docPr id="24" name="图片 24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G0.5_600_V0.005_ex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37715" cy="1816735"/>
            <wp:effectExtent l="0" t="0" r="635" b="12065"/>
            <wp:docPr id="25" name="图片 25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G0.5_600_V0.0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0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94230" cy="1863090"/>
            <wp:effectExtent l="0" t="0" r="1270" b="3810"/>
            <wp:docPr id="26" name="图片 26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G0.5_60_V0.005_ex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109470" cy="1884680"/>
            <wp:effectExtent l="0" t="0" r="5080" b="1270"/>
            <wp:docPr id="27" name="图片 27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G0.5_60_V0.0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0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>
      <w:pPr>
        <w:spacing w:before="156" w:beforeLines="50"/>
        <w:ind w:right="-108"/>
      </w:pPr>
      <w:r>
        <w:rPr>
          <w:rFonts w:hint="eastAsia"/>
        </w:rPr>
        <w:t>结合计算结果（针对0°板而言）以及其他论文，Gm取0.5-1之间，Gf取50-100之间比较合适。</w:t>
      </w:r>
    </w:p>
    <w:p>
      <w:pPr>
        <w:spacing w:before="156" w:beforeLines="50"/>
        <w:ind w:right="-108"/>
        <w:outlineLvl w:val="2"/>
        <w:rPr>
          <w:b/>
          <w:bCs/>
        </w:rPr>
      </w:pPr>
      <w:r>
        <w:rPr>
          <w:rFonts w:hint="eastAsia"/>
          <w:b/>
          <w:bCs/>
        </w:rPr>
        <w:t>其他论文中的参数：</w:t>
      </w:r>
    </w:p>
    <w:p>
      <w:pPr>
        <w:spacing w:before="156" w:beforeLines="50"/>
        <w:ind w:right="-108"/>
        <w:rPr>
          <w:b/>
          <w:bCs/>
        </w:rPr>
      </w:pPr>
      <w:r>
        <w:rPr>
          <w:rFonts w:hint="eastAsia"/>
          <w:b/>
          <w:bCs/>
        </w:rPr>
        <w:t>A continuum damage model for composite laminates: Part II – Computational implementation and validation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4533265" cy="857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rPr>
          <w:b/>
          <w:bCs/>
        </w:rPr>
      </w:pPr>
      <w:r>
        <w:rPr>
          <w:b/>
          <w:bCs/>
        </w:rPr>
        <w:t>Laminate damage model for composite structures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3999865" cy="7239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>Prediction of size effects in notched laminates using continuum damage mechanics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4714240" cy="129540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99965" cy="11620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>Progressive damage modeling in fiber-reinforced materials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4780915" cy="105727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</w:pPr>
    </w:p>
    <w:p>
      <w:pPr>
        <w:spacing w:before="156" w:beforeLines="50" w:line="360" w:lineRule="auto"/>
        <w:ind w:right="-105"/>
        <w:outlineLvl w:val="1"/>
        <w:rPr>
          <w:rFonts w:ascii="Times New Roman" w:hAnsi="Times New Roman" w:cs="Times New Roman"/>
          <w:b/>
          <w:bCs/>
          <w:szCs w:val="21"/>
        </w:rPr>
      </w:pPr>
      <w:r>
        <w:rPr>
          <w:rFonts w:hint="eastAsia" w:ascii="Times New Roman" w:hAnsi="Times New Roman" w:cs="Times New Roman"/>
          <w:b/>
          <w:bCs/>
          <w:szCs w:val="21"/>
        </w:rPr>
        <w:t>材料密度（mass density）的影响：</w:t>
      </w:r>
    </w:p>
    <w:tbl>
      <w:tblPr>
        <w:tblStyle w:val="10"/>
        <w:tblW w:w="851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9"/>
        <w:gridCol w:w="829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密度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Gf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Gm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100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0.001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  <w:r>
        <w:drawing>
          <wp:inline distT="0" distB="0" distL="114300" distR="114300">
            <wp:extent cx="2296795" cy="1861185"/>
            <wp:effectExtent l="0" t="0" r="8255" b="57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45</w:t>
      </w:r>
    </w:p>
    <w:p>
      <w:pPr>
        <w:jc w:val="center"/>
      </w:pPr>
      <w:r>
        <w:drawing>
          <wp:inline distT="0" distB="0" distL="114300" distR="114300">
            <wp:extent cx="2486025" cy="2089785"/>
            <wp:effectExtent l="0" t="0" r="9525" b="571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0</w:t>
      </w:r>
    </w:p>
    <w:p>
      <w:pPr>
        <w:jc w:val="center"/>
      </w:pPr>
      <w:r>
        <w:drawing>
          <wp:inline distT="0" distB="0" distL="114300" distR="114300">
            <wp:extent cx="2599690" cy="2198370"/>
            <wp:effectExtent l="0" t="0" r="10160" b="1143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198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0-90</w:t>
      </w:r>
    </w:p>
    <w:p>
      <w:r>
        <w:rPr>
          <w:rFonts w:hint="eastAsia"/>
        </w:rPr>
        <w:t>不同的密度对位移载荷曲线影响较大，对失效图几乎没有影响。当密度取1和取0.001时，极限载荷已经没有区别，所以当密度取1时已经可以得到正确的结果，但是密度0.001可以使得增量步更小。</w:t>
      </w:r>
    </w:p>
    <w:p/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指数退化和线性退化：</w:t>
      </w:r>
    </w:p>
    <w:tbl>
      <w:tblPr>
        <w:tblStyle w:val="10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  <w:r>
              <w:rPr>
                <w:rFonts w:ascii="Times New Roman" w:hAnsi="Times New Roman" w:cs="Times New Roman"/>
                <w:szCs w:val="21"/>
              </w:rPr>
              <w:t>-exp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hint="eastAsia" w:ascii="Times New Roman" w:hAnsi="Times New Roman" w:cs="Times New Roman"/>
                <w:szCs w:val="21"/>
              </w:rPr>
              <w:t>_exp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</w:tbl>
    <w:p>
      <w:pPr>
        <w:jc w:val="center"/>
      </w:pPr>
      <w:r>
        <w:drawing>
          <wp:inline distT="0" distB="0" distL="114300" distR="114300">
            <wp:extent cx="4130675" cy="3402330"/>
            <wp:effectExtent l="0" t="0" r="3175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在同样的材料参数下，指数和线性退化的位移载荷曲线的区别不大。0.5和600的结果和试验相差太大。</w:t>
      </w:r>
    </w:p>
    <w:p/>
    <w:p>
      <w:pPr>
        <w:jc w:val="center"/>
      </w:pPr>
      <w:r>
        <w:rPr>
          <w:rFonts w:hint="eastAsia"/>
        </w:rPr>
        <w:drawing>
          <wp:inline distT="0" distB="0" distL="114300" distR="114300">
            <wp:extent cx="2021840" cy="1811655"/>
            <wp:effectExtent l="0" t="0" r="16510" b="17145"/>
            <wp:docPr id="7" name="图片 7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_0-matri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00885" cy="1795780"/>
            <wp:effectExtent l="0" t="0" r="18415" b="13970"/>
            <wp:docPr id="8" name="图片 8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pro3-0-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0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58670" cy="1816100"/>
            <wp:effectExtent l="0" t="0" r="17780" b="12700"/>
            <wp:docPr id="10" name="图片 10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G0.5_600_V0.005_ex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37715" cy="1816735"/>
            <wp:effectExtent l="0" t="0" r="635" b="12065"/>
            <wp:docPr id="9" name="图片 9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G0.5_600_V0.0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0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94230" cy="1863090"/>
            <wp:effectExtent l="0" t="0" r="1270" b="3810"/>
            <wp:docPr id="20" name="图片 20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G0.5_60_V0.005_ex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109470" cy="1884680"/>
            <wp:effectExtent l="0" t="0" r="5080" b="1270"/>
            <wp:docPr id="19" name="图片 19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G0.5_60_V0.0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0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>
      <w:pPr>
        <w:ind w:firstLine="210" w:firstLineChars="100"/>
      </w:pPr>
      <w:r>
        <w:rPr>
          <w:rFonts w:hint="eastAsia"/>
        </w:rPr>
        <w:t>在同样的材料参数下，指数和线性退化的失效图的差别不是太大（针对0°铺层而言）</w:t>
      </w:r>
    </w:p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剪切强度参数的影响：</w:t>
      </w:r>
    </w:p>
    <w:tbl>
      <w:tblPr>
        <w:tblStyle w:val="10"/>
        <w:tblW w:w="94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2"/>
        <w:gridCol w:w="1269"/>
        <w:gridCol w:w="1372"/>
        <w:gridCol w:w="1042"/>
        <w:gridCol w:w="1206"/>
        <w:gridCol w:w="1205"/>
        <w:gridCol w:w="1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131</w:t>
            </w:r>
          </w:p>
        </w:tc>
        <w:tc>
          <w:tcPr>
            <w:tcW w:w="126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1451.55</w:t>
            </w:r>
          </w:p>
        </w:tc>
        <w:tc>
          <w:tcPr>
            <w:tcW w:w="137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725.78</w:t>
            </w:r>
          </w:p>
        </w:tc>
        <w:tc>
          <w:tcPr>
            <w:tcW w:w="104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35.99</w:t>
            </w:r>
          </w:p>
        </w:tc>
        <w:tc>
          <w:tcPr>
            <w:tcW w:w="120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160.28</w:t>
            </w:r>
          </w:p>
        </w:tc>
        <w:tc>
          <w:tcPr>
            <w:tcW w:w="120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131</w:t>
            </w:r>
          </w:p>
        </w:tc>
        <w:tc>
          <w:tcPr>
            <w:tcW w:w="120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Pro2</w:t>
            </w:r>
          </w:p>
        </w:tc>
        <w:tc>
          <w:tcPr>
            <w:tcW w:w="126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15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2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8.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7</w:t>
            </w:r>
          </w:p>
        </w:tc>
        <w:tc>
          <w:tcPr>
            <w:tcW w:w="137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7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64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.3</w:t>
            </w:r>
          </w:p>
        </w:tc>
        <w:tc>
          <w:tcPr>
            <w:tcW w:w="104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120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160.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3</w:t>
            </w:r>
          </w:p>
        </w:tc>
        <w:tc>
          <w:tcPr>
            <w:tcW w:w="120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90.25</w:t>
            </w:r>
          </w:p>
        </w:tc>
        <w:tc>
          <w:tcPr>
            <w:tcW w:w="120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126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137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104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120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120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120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</w:tr>
    </w:tbl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400425" cy="2915285"/>
            <wp:effectExtent l="0" t="0" r="9525" b="184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91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1057275" cy="5781675"/>
            <wp:effectExtent l="0" t="0" r="9525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</w:rPr>
        <w:t>从失效图来看，三种剪切强度情况下的裂纹扩展差别不大，从位移载荷曲线的45°板来看，并结合试验测试结果，</w:t>
      </w:r>
      <w:r>
        <w:rPr>
          <w:rFonts w:hint="eastAsia"/>
          <w:color w:val="FF0000"/>
        </w:rPr>
        <w:t>Sxy为90更加符合实验。</w:t>
      </w:r>
    </w:p>
    <w:p>
      <w:pPr>
        <w:rPr>
          <w:color w:val="FF0000"/>
        </w:rPr>
      </w:pPr>
    </w:p>
    <w:p/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修正后的材料参数：</w:t>
      </w:r>
    </w:p>
    <w:tbl>
      <w:tblPr>
        <w:tblStyle w:val="10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-V5e-3(</w:t>
            </w:r>
            <w:r>
              <w:rPr>
                <w:rFonts w:hint="eastAsia" w:ascii="Times New Roman" w:hAnsi="Times New Roman" w:cs="Times New Roman"/>
                <w:szCs w:val="21"/>
              </w:rPr>
              <w:t>修正2</w:t>
            </w:r>
            <w:r>
              <w:rPr>
                <w:rFonts w:ascii="Times New Roman" w:hAnsi="Times New Roman" w:cs="Times New Roman"/>
                <w:szCs w:val="21"/>
              </w:rPr>
              <w:t>)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修正3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1.5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修正4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修正5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2.5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>
      <w:r>
        <w:rPr>
          <w:rFonts w:hint="eastAsia"/>
        </w:rPr>
        <w:t>Sxy提高从60到90后</w:t>
      </w:r>
      <w:r>
        <w:rPr>
          <w:rFonts w:hint="eastAsia"/>
          <w:color w:val="0070C0"/>
        </w:rPr>
        <w:t>0°的失效图</w:t>
      </w:r>
      <w:r>
        <w:rPr>
          <w:rFonts w:hint="eastAsia"/>
        </w:rPr>
        <w:t>不符合（无论Gf是60还是90）。故只能将Sxy回复到60。</w:t>
      </w:r>
    </w:p>
    <w:p>
      <w:r>
        <w:rPr>
          <w:rFonts w:hint="eastAsia"/>
        </w:rPr>
        <w:drawing>
          <wp:inline distT="0" distB="0" distL="114300" distR="114300">
            <wp:extent cx="2450465" cy="2178685"/>
            <wp:effectExtent l="0" t="0" r="6985" b="12065"/>
            <wp:docPr id="16" name="图片 16" descr="0-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-lin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最后使用的材料参数：</w:t>
      </w:r>
    </w:p>
    <w:tbl>
      <w:tblPr>
        <w:tblStyle w:val="10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/>
    <w:p>
      <w:r>
        <w:rPr>
          <w:rFonts w:hint="eastAsia"/>
        </w:rPr>
        <w:t>此时的0和45比较符合，但是0/90出现问题（由于是Gm为0.5太小）。</w:t>
      </w:r>
    </w:p>
    <w:tbl>
      <w:tblPr>
        <w:tblStyle w:val="10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/>
    <w:p>
      <w:r>
        <w:rPr>
          <w:rFonts w:hint="eastAsia"/>
        </w:rPr>
        <w:t>dm太大（=5）时，0°的裂纹不对，dm太小的时候（=0.5），0/90的裂纹不对</w:t>
      </w:r>
    </w:p>
    <w:p/>
    <w:p>
      <w:r>
        <w:rPr>
          <w:rFonts w:hint="eastAsia"/>
        </w:rPr>
        <w:t>使用的参数：</w:t>
      </w:r>
    </w:p>
    <w:tbl>
      <w:tblPr>
        <w:tblStyle w:val="10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>
      <w:r>
        <w:drawing>
          <wp:inline distT="0" distB="0" distL="114300" distR="114300">
            <wp:extent cx="6904355" cy="3298190"/>
            <wp:effectExtent l="0" t="0" r="10795" b="1651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04355" cy="329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可以看出对三种不同的dm而言，dm=2.5和dm=5的极限失效载荷数值差别并不大，而从失效图来看dm=2.5差不多可以兼顾0以及0/90.所以最后综合考虑的话：</w:t>
      </w:r>
    </w:p>
    <w:p/>
    <w:tbl>
      <w:tblPr>
        <w:tblStyle w:val="10"/>
        <w:tblW w:w="950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</w:tr>
    </w:tbl>
    <w:p/>
    <w:p>
      <w:pPr>
        <w:pStyle w:val="2"/>
      </w:pPr>
      <w:r>
        <w:rPr>
          <w:rFonts w:hint="eastAsia"/>
        </w:rPr>
        <w:t>从试验重新计算材料参数：</w:t>
      </w:r>
    </w:p>
    <w:p>
      <w:pPr>
        <w:outlineLvl w:val="1"/>
        <w:rPr>
          <w:rFonts w:ascii="Times New Roman" w:hAnsi="Times New Roman" w:cs="Times New Roman"/>
          <w:szCs w:val="21"/>
        </w:rPr>
      </w:pPr>
      <w:bookmarkStart w:id="0" w:name="OLE_LINK13"/>
      <w:r>
        <w:rPr>
          <w:rFonts w:hint="eastAsia" w:ascii="Times New Roman" w:hAnsi="Times New Roman" w:cs="Times New Roman"/>
          <w:szCs w:val="21"/>
        </w:rPr>
        <w:t>纤维拉伸强度：</w:t>
      </w:r>
    </w:p>
    <w:tbl>
      <w:tblPr>
        <w:tblStyle w:val="11"/>
        <w:tblW w:w="106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005"/>
        <w:gridCol w:w="1110"/>
        <w:gridCol w:w="1140"/>
        <w:gridCol w:w="1170"/>
        <w:gridCol w:w="2775"/>
        <w:gridCol w:w="21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4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05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110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140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170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Mean</w:t>
            </w:r>
          </w:p>
        </w:tc>
        <w:tc>
          <w:tcPr>
            <w:tcW w:w="2775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强度(Mpa)</w:t>
            </w:r>
          </w:p>
        </w:tc>
        <w:tc>
          <w:tcPr>
            <w:tcW w:w="2158" w:type="dxa"/>
          </w:tcPr>
          <w:p>
            <w:pPr>
              <w:rPr>
                <w:rFonts w:hint="eastAsia"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4" w:type="dxa"/>
            <w:vMerge w:val="restart"/>
          </w:tcPr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[0]_10</w:t>
            </w:r>
          </w:p>
        </w:tc>
        <w:tc>
          <w:tcPr>
            <w:tcW w:w="1005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23263</w:t>
            </w:r>
          </w:p>
        </w:tc>
        <w:tc>
          <w:tcPr>
            <w:tcW w:w="1110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21804</w:t>
            </w:r>
          </w:p>
        </w:tc>
        <w:tc>
          <w:tcPr>
            <w:tcW w:w="1140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20474</w:t>
            </w:r>
          </w:p>
        </w:tc>
        <w:tc>
          <w:tcPr>
            <w:tcW w:w="1170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21847</w:t>
            </w:r>
          </w:p>
        </w:tc>
        <w:tc>
          <w:tcPr>
            <w:tcW w:w="2775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21847/(15*1.5)=970.98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 xml:space="preserve"> </w:t>
            </w:r>
          </w:p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21847/(15*1.58)=921.81</w:t>
            </w:r>
          </w:p>
        </w:tc>
        <w:tc>
          <w:tcPr>
            <w:tcW w:w="2158" w:type="dxa"/>
          </w:tcPr>
          <w:p>
            <w:pPr>
              <w:rPr>
                <w:rFonts w:hint="eastAsia"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（由于纤维方向不对，试验无效）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4" w:type="dxa"/>
            <w:vMerge w:val="continue"/>
          </w:tcPr>
          <w:p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05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47480.5</w:t>
            </w:r>
          </w:p>
        </w:tc>
        <w:tc>
          <w:tcPr>
            <w:tcW w:w="1110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43915.5</w:t>
            </w:r>
          </w:p>
        </w:tc>
        <w:tc>
          <w:tcPr>
            <w:tcW w:w="1140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45268</w:t>
            </w:r>
          </w:p>
        </w:tc>
        <w:tc>
          <w:tcPr>
            <w:tcW w:w="1170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45554.67</w:t>
            </w:r>
          </w:p>
        </w:tc>
        <w:tc>
          <w:tcPr>
            <w:tcW w:w="2775" w:type="dxa"/>
          </w:tcPr>
          <w:p>
            <w:pPr>
              <w:rPr>
                <w:rFonts w:ascii="宋体" w:hAnsi="宋体" w:eastAsia="宋体" w:cs="宋体"/>
                <w:strike/>
                <w:dstrike w:val="0"/>
                <w:szCs w:val="21"/>
              </w:rPr>
            </w:pPr>
            <w:r>
              <w:rPr>
                <w:rFonts w:hint="eastAsia" w:ascii="宋体" w:hAnsi="宋体" w:eastAsia="宋体" w:cs="宋体"/>
                <w:strike/>
                <w:dstrike w:val="0"/>
                <w:szCs w:val="21"/>
              </w:rPr>
              <w:t>45554.67</w:t>
            </w:r>
            <w:r>
              <w:rPr>
                <w:rFonts w:hint="eastAsia" w:ascii="Times New Roman" w:hAnsi="Times New Roman" w:cs="Times New Roman"/>
                <w:strike/>
                <w:dstrike w:val="0"/>
                <w:szCs w:val="21"/>
              </w:rPr>
              <w:t>/(2</w:t>
            </w:r>
            <w:r>
              <w:rPr>
                <w:rFonts w:hint="eastAsia" w:ascii="Times New Roman" w:hAnsi="Times New Roman" w:cs="Times New Roman"/>
                <w:strike/>
                <w:dstrike w:val="0"/>
                <w:szCs w:val="21"/>
                <w:lang w:val="en-US" w:eastAsia="zh-CN"/>
              </w:rPr>
              <w:t>5</w:t>
            </w:r>
            <w:r>
              <w:rPr>
                <w:rFonts w:hint="eastAsia" w:ascii="Times New Roman" w:hAnsi="Times New Roman" w:cs="Times New Roman"/>
                <w:strike/>
                <w:dstrike w:val="0"/>
                <w:szCs w:val="21"/>
              </w:rPr>
              <w:t>*1.5)=1214.79</w:t>
            </w:r>
          </w:p>
          <w:p>
            <w:pPr>
              <w:rPr>
                <w:rFonts w:ascii="Times New Roman" w:hAnsi="Times New Roman" w:cs="Times New Roman"/>
                <w:strike/>
                <w:dstrike w:val="0"/>
                <w:szCs w:val="21"/>
              </w:rPr>
            </w:pPr>
            <w:r>
              <w:rPr>
                <w:rFonts w:hint="eastAsia" w:ascii="宋体" w:hAnsi="宋体" w:eastAsia="宋体" w:cs="宋体"/>
                <w:strike/>
                <w:dstrike w:val="0"/>
                <w:szCs w:val="21"/>
              </w:rPr>
              <w:t>45554.67</w:t>
            </w:r>
            <w:r>
              <w:rPr>
                <w:rFonts w:hint="eastAsia" w:ascii="Times New Roman" w:hAnsi="Times New Roman" w:cs="Times New Roman"/>
                <w:strike/>
                <w:dstrike w:val="0"/>
                <w:szCs w:val="21"/>
              </w:rPr>
              <w:t>/(25*1.58)=1153.28</w:t>
            </w:r>
          </w:p>
          <w:p>
            <w:pPr>
              <w:rPr>
                <w:rFonts w:ascii="宋体" w:hAnsi="宋体" w:eastAsia="宋体" w:cs="宋体"/>
                <w:strike w:val="0"/>
                <w:szCs w:val="21"/>
              </w:rPr>
            </w:pPr>
            <w:r>
              <w:rPr>
                <w:rFonts w:hint="eastAsia" w:ascii="宋体" w:hAnsi="宋体" w:eastAsia="宋体" w:cs="宋体"/>
                <w:strike w:val="0"/>
                <w:szCs w:val="21"/>
              </w:rPr>
              <w:t>45554.67</w:t>
            </w:r>
            <w:r>
              <w:rPr>
                <w:rFonts w:hint="eastAsia" w:ascii="Times New Roman" w:hAnsi="Times New Roman" w:cs="Times New Roman"/>
                <w:strike w:val="0"/>
                <w:szCs w:val="21"/>
              </w:rPr>
              <w:t>/(20*1.5)=1518.49</w:t>
            </w:r>
          </w:p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宋体" w:hAnsi="宋体" w:eastAsia="宋体" w:cs="宋体"/>
                <w:strike w:val="0"/>
                <w:szCs w:val="21"/>
              </w:rPr>
              <w:t>45554.67</w:t>
            </w:r>
            <w:r>
              <w:rPr>
                <w:rFonts w:hint="eastAsia" w:ascii="Times New Roman" w:hAnsi="Times New Roman" w:cs="Times New Roman"/>
                <w:strike w:val="0"/>
                <w:szCs w:val="21"/>
              </w:rPr>
              <w:t>/(20*1.58)=</w:t>
            </w:r>
            <w:bookmarkStart w:id="1" w:name="OLE_LINK15"/>
            <w:r>
              <w:rPr>
                <w:rFonts w:hint="eastAsia" w:ascii="Times New Roman" w:hAnsi="Times New Roman" w:cs="Times New Roman"/>
                <w:strike w:val="0"/>
                <w:szCs w:val="21"/>
              </w:rPr>
              <w:t>1441.60</w:t>
            </w:r>
            <w:bookmarkEnd w:id="1"/>
          </w:p>
        </w:tc>
        <w:tc>
          <w:tcPr>
            <w:tcW w:w="2158" w:type="dxa"/>
          </w:tcPr>
          <w:p>
            <w:pPr>
              <w:rPr>
                <w:rFonts w:hint="eastAsia" w:ascii="宋体" w:hAnsi="宋体" w:eastAsia="宋体" w:cs="宋体"/>
                <w:strike w:val="0"/>
                <w:szCs w:val="21"/>
              </w:rPr>
            </w:pPr>
          </w:p>
        </w:tc>
      </w:tr>
    </w:tbl>
    <w:p>
      <w:pPr>
        <w:rPr>
          <w:rFonts w:ascii="Times New Roman" w:hAnsi="Times New Roman" w:cs="Times New Roman"/>
          <w:szCs w:val="21"/>
        </w:rPr>
      </w:pPr>
      <w:bookmarkStart w:id="2" w:name="OLE_LINK16"/>
      <w:r>
        <w:rPr>
          <w:position w:val="-6"/>
        </w:rPr>
        <w:object>
          <v:shape id="_x0000_i1029" o:spt="75" alt="" type="#_x0000_t75" style="height:14.25pt;width:66.55pt;" o:ole="t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Equation.3" ShapeID="_x0000_i1029" DrawAspect="Content" ObjectID="_1468075725" r:id="rId26">
            <o:LockedField>false</o:LockedField>
          </o:OLEObject>
        </w:object>
      </w:r>
      <w:bookmarkEnd w:id="2"/>
    </w:p>
    <w:p>
      <w:pPr>
        <w:rPr>
          <w:rFonts w:ascii="Times New Roman" w:hAnsi="Times New Roman" w:cs="Times New Roman"/>
          <w:szCs w:val="21"/>
        </w:rPr>
      </w:pPr>
    </w:p>
    <w:p>
      <w:pPr>
        <w:outlineLvl w:val="1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基体拉伸强度</w:t>
      </w:r>
    </w:p>
    <w:tbl>
      <w:tblPr>
        <w:tblStyle w:val="11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80"/>
        <w:gridCol w:w="1049"/>
        <w:gridCol w:w="1170"/>
        <w:gridCol w:w="1020"/>
        <w:gridCol w:w="1275"/>
        <w:gridCol w:w="43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0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49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170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20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275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Mean</w:t>
            </w:r>
          </w:p>
        </w:tc>
        <w:tc>
          <w:tcPr>
            <w:tcW w:w="4388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强度(Mpa)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0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[90]_10</w:t>
            </w:r>
          </w:p>
        </w:tc>
        <w:tc>
          <w:tcPr>
            <w:tcW w:w="1049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1252</w:t>
            </w:r>
          </w:p>
        </w:tc>
        <w:tc>
          <w:tcPr>
            <w:tcW w:w="1170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1476</w:t>
            </w:r>
          </w:p>
        </w:tc>
        <w:tc>
          <w:tcPr>
            <w:tcW w:w="1020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1321</w:t>
            </w:r>
          </w:p>
        </w:tc>
        <w:tc>
          <w:tcPr>
            <w:tcW w:w="1275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1349.67</w:t>
            </w:r>
          </w:p>
        </w:tc>
        <w:tc>
          <w:tcPr>
            <w:tcW w:w="4388" w:type="dxa"/>
          </w:tcPr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1349.67/(25*1.58)=34.17</w:t>
            </w:r>
          </w:p>
          <w:p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1349.67/(25*1.5)=35.99</w:t>
            </w:r>
          </w:p>
        </w:tc>
      </w:tr>
    </w:tbl>
    <w:p>
      <w:pPr>
        <w:rPr>
          <w:rFonts w:ascii="Times New Roman" w:hAnsi="Times New Roman" w:cs="Times New Roman"/>
          <w:szCs w:val="21"/>
        </w:rPr>
      </w:pPr>
      <w:r>
        <w:rPr>
          <w:position w:val="-6"/>
        </w:rPr>
        <w:object>
          <v:shape id="_x0000_i1030" o:spt="75" alt="" type="#_x0000_t75" style="height:14.25pt;width:41.35pt;" o:ole="t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Equation.3" ShapeID="_x0000_i1030" DrawAspect="Content" ObjectID="_1468075726" r:id="rId28">
            <o:LockedField>false</o:LockedField>
          </o:OLEObject>
        </w:object>
      </w:r>
    </w:p>
    <w:p>
      <w:pPr>
        <w:rPr>
          <w:rFonts w:ascii="Times New Roman" w:hAnsi="Times New Roman" w:cs="Times New Roman"/>
          <w:szCs w:val="21"/>
        </w:rPr>
      </w:pPr>
    </w:p>
    <w:p>
      <w:pPr>
        <w:outlineLvl w:val="1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剪切强度：</w:t>
      </w:r>
    </w:p>
    <w:tbl>
      <w:tblPr>
        <w:tblStyle w:val="11"/>
        <w:tblpPr w:leftFromText="180" w:rightFromText="180" w:vertAnchor="text" w:horzAnchor="page" w:tblpXSpec="center" w:tblpY="276"/>
        <w:tblOverlap w:val="never"/>
        <w:tblW w:w="1054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0"/>
        <w:gridCol w:w="2110"/>
        <w:gridCol w:w="2111"/>
        <w:gridCol w:w="2111"/>
        <w:gridCol w:w="2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110" w:type="dxa"/>
          </w:tcPr>
          <w:p>
            <w:pPr>
              <w:jc w:val="center"/>
            </w:pPr>
            <w:r>
              <w:rPr>
                <w:rFonts w:hint="eastAsia"/>
              </w:rPr>
              <w:t>试验次数</w:t>
            </w:r>
          </w:p>
        </w:tc>
        <w:tc>
          <w:tcPr>
            <w:tcW w:w="2110" w:type="dxa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111" w:type="dxa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111" w:type="dxa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102" w:type="dxa"/>
          </w:tcPr>
          <w:p>
            <w:pPr>
              <w:jc w:val="center"/>
            </w:pPr>
            <w:r>
              <w:rPr>
                <w:rFonts w:hint="eastAsia"/>
              </w:rPr>
              <w:t>平均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10" w:type="dxa"/>
          </w:tcPr>
          <w:p>
            <w:pPr>
              <w:jc w:val="center"/>
            </w:pPr>
            <w:r>
              <w:rPr>
                <w:rFonts w:ascii="Times New Roman" w:hAnsi="Times New Roman"/>
                <w:b/>
                <w:szCs w:val="24"/>
              </w:rPr>
              <w:t>[±45]5</w:t>
            </w:r>
          </w:p>
        </w:tc>
        <w:tc>
          <w:tcPr>
            <w:tcW w:w="2110" w:type="dxa"/>
          </w:tcPr>
          <w:p>
            <w:pPr>
              <w:jc w:val="center"/>
            </w:pPr>
            <w:r>
              <w:rPr>
                <w:rFonts w:hint="eastAsia"/>
              </w:rPr>
              <w:t>5701</w:t>
            </w:r>
          </w:p>
        </w:tc>
        <w:tc>
          <w:tcPr>
            <w:tcW w:w="2111" w:type="dxa"/>
          </w:tcPr>
          <w:p>
            <w:pPr>
              <w:jc w:val="center"/>
            </w:pPr>
            <w:r>
              <w:rPr>
                <w:rFonts w:hint="eastAsia"/>
              </w:rPr>
              <w:t>5596.5</w:t>
            </w:r>
          </w:p>
        </w:tc>
        <w:tc>
          <w:tcPr>
            <w:tcW w:w="2111" w:type="dxa"/>
          </w:tcPr>
          <w:p>
            <w:pPr>
              <w:jc w:val="center"/>
            </w:pPr>
            <w:r>
              <w:rPr>
                <w:rFonts w:hint="eastAsia"/>
              </w:rPr>
              <w:t>5810.5</w:t>
            </w:r>
          </w:p>
        </w:tc>
        <w:tc>
          <w:tcPr>
            <w:tcW w:w="2102" w:type="dxa"/>
          </w:tcPr>
          <w:p>
            <w:pPr>
              <w:jc w:val="center"/>
            </w:pPr>
            <w:r>
              <w:rPr>
                <w:rFonts w:hint="eastAsia" w:ascii="宋体" w:hAnsi="宋体" w:eastAsia="宋体" w:cs="宋体"/>
                <w:szCs w:val="21"/>
              </w:rPr>
              <w:t>5702.67N</w:t>
            </w:r>
          </w:p>
        </w:tc>
      </w:tr>
    </w:tbl>
    <w:p>
      <w:pPr>
        <w:jc w:val="left"/>
      </w:pPr>
    </w:p>
    <w:p>
      <w:pPr>
        <w:rPr>
          <w:position w:val="-44"/>
        </w:rPr>
      </w:pPr>
      <w:r>
        <w:rPr>
          <w:position w:val="-44"/>
        </w:rPr>
        <w:object>
          <v:shape id="_x0000_i1026" o:spt="75" alt="" type="#_x0000_t75" style="height:50.3pt;width:180.7pt;" o:ole="t" filled="f" o:preferrelative="t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  <o:OLEObject Type="Embed" ProgID="Equation.3" ShapeID="_x0000_i1026" DrawAspect="Content" ObjectID="_1468075727" r:id="rId30">
            <o:LockedField>false</o:LockedField>
          </o:OLEObject>
        </w:object>
      </w:r>
    </w:p>
    <w:tbl>
      <w:tblPr>
        <w:tblStyle w:val="11"/>
        <w:tblW w:w="9444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96"/>
        <w:gridCol w:w="1244"/>
        <w:gridCol w:w="903"/>
        <w:gridCol w:w="903"/>
        <w:gridCol w:w="903"/>
        <w:gridCol w:w="903"/>
        <w:gridCol w:w="1012"/>
        <w:gridCol w:w="1380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6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bookmarkStart w:id="3" w:name="OLE_LINK14"/>
            <w:r>
              <w:rPr>
                <w:rFonts w:ascii="Times New Roman" w:hAnsi="Times New Roman" w:cs="Times New Roman"/>
                <w:b/>
                <w:bCs/>
                <w:szCs w:val="21"/>
              </w:rPr>
              <w:t>弹性模量</w:t>
            </w:r>
          </w:p>
        </w:tc>
        <w:tc>
          <w:tcPr>
            <w:tcW w:w="1244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E1</w:t>
            </w:r>
          </w:p>
        </w:tc>
        <w:tc>
          <w:tcPr>
            <w:tcW w:w="903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E2</w:t>
            </w:r>
          </w:p>
        </w:tc>
        <w:tc>
          <w:tcPr>
            <w:tcW w:w="903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G12</w:t>
            </w:r>
          </w:p>
        </w:tc>
        <w:tc>
          <w:tcPr>
            <w:tcW w:w="903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G13</w:t>
            </w:r>
          </w:p>
        </w:tc>
        <w:tc>
          <w:tcPr>
            <w:tcW w:w="903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G23</w:t>
            </w:r>
          </w:p>
        </w:tc>
        <w:tc>
          <w:tcPr>
            <w:tcW w:w="2392" w:type="dxa"/>
            <w:gridSpan w:val="2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V12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6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old</w:t>
            </w:r>
          </w:p>
        </w:tc>
        <w:tc>
          <w:tcPr>
            <w:tcW w:w="1244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127.70</w:t>
            </w:r>
          </w:p>
        </w:tc>
        <w:tc>
          <w:tcPr>
            <w:tcW w:w="903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9.67</w:t>
            </w:r>
          </w:p>
        </w:tc>
        <w:tc>
          <w:tcPr>
            <w:tcW w:w="903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6.50</w:t>
            </w:r>
          </w:p>
        </w:tc>
        <w:tc>
          <w:tcPr>
            <w:tcW w:w="903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6.50</w:t>
            </w:r>
          </w:p>
        </w:tc>
        <w:tc>
          <w:tcPr>
            <w:tcW w:w="903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3.</w:t>
            </w:r>
            <w:r>
              <w:rPr>
                <w:rFonts w:hint="eastAsia" w:ascii="Times New Roman" w:hAnsi="Times New Roman" w:cs="Times New Roman"/>
                <w:szCs w:val="21"/>
              </w:rPr>
              <w:t>64</w:t>
            </w:r>
          </w:p>
        </w:tc>
        <w:tc>
          <w:tcPr>
            <w:tcW w:w="2392" w:type="dxa"/>
            <w:gridSpan w:val="2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0.3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hint="eastAsia" w:ascii="Times New Roman" w:hAnsi="Times New Roman" w:cs="Times New Roman"/>
                <w:b/>
                <w:bCs/>
                <w:szCs w:val="21"/>
              </w:rPr>
              <w:t>强度参数</w:t>
            </w:r>
          </w:p>
        </w:tc>
        <w:tc>
          <w:tcPr>
            <w:tcW w:w="124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szCs w:val="21"/>
              </w:rPr>
              <w:t>TX</w:t>
            </w:r>
          </w:p>
        </w:tc>
        <w:tc>
          <w:tcPr>
            <w:tcW w:w="90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szCs w:val="21"/>
              </w:rPr>
              <w:t>CX</w:t>
            </w:r>
          </w:p>
        </w:tc>
        <w:tc>
          <w:tcPr>
            <w:tcW w:w="90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szCs w:val="21"/>
              </w:rPr>
              <w:t xml:space="preserve">TY </w:t>
            </w:r>
          </w:p>
        </w:tc>
        <w:tc>
          <w:tcPr>
            <w:tcW w:w="90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szCs w:val="21"/>
              </w:rPr>
              <w:t>CY</w:t>
            </w:r>
          </w:p>
        </w:tc>
        <w:tc>
          <w:tcPr>
            <w:tcW w:w="90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szCs w:val="21"/>
              </w:rPr>
              <w:t>SXY</w:t>
            </w:r>
          </w:p>
        </w:tc>
        <w:tc>
          <w:tcPr>
            <w:tcW w:w="1012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Gm</w:t>
            </w:r>
          </w:p>
        </w:tc>
        <w:tc>
          <w:tcPr>
            <w:tcW w:w="1380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Gf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old</w:t>
            </w:r>
          </w:p>
        </w:tc>
        <w:tc>
          <w:tcPr>
            <w:tcW w:w="124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</w:t>
            </w:r>
            <w:r>
              <w:rPr>
                <w:rFonts w:hint="eastAsia" w:ascii="Times New Roman" w:hAnsi="Times New Roman" w:cs="Times New Roman"/>
                <w:szCs w:val="21"/>
              </w:rPr>
              <w:t>500</w:t>
            </w:r>
          </w:p>
        </w:tc>
        <w:tc>
          <w:tcPr>
            <w:tcW w:w="90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</w:t>
            </w:r>
            <w:r>
              <w:rPr>
                <w:rFonts w:hint="eastAsia" w:ascii="Times New Roman" w:hAnsi="Times New Roman" w:cs="Times New Roman"/>
                <w:szCs w:val="21"/>
              </w:rPr>
              <w:t>64.3</w:t>
            </w:r>
          </w:p>
        </w:tc>
        <w:tc>
          <w:tcPr>
            <w:tcW w:w="90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</w:t>
            </w:r>
            <w:r>
              <w:rPr>
                <w:rFonts w:hint="eastAsia" w:ascii="Times New Roman" w:hAnsi="Times New Roman" w:cs="Times New Roman"/>
                <w:szCs w:val="21"/>
              </w:rPr>
              <w:t>6</w:t>
            </w:r>
          </w:p>
        </w:tc>
        <w:tc>
          <w:tcPr>
            <w:tcW w:w="90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160</w:t>
            </w:r>
          </w:p>
        </w:tc>
        <w:tc>
          <w:tcPr>
            <w:tcW w:w="90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60/（90）</w:t>
            </w:r>
          </w:p>
        </w:tc>
        <w:tc>
          <w:tcPr>
            <w:tcW w:w="1012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0.5（5）</w:t>
            </w:r>
          </w:p>
        </w:tc>
        <w:tc>
          <w:tcPr>
            <w:tcW w:w="1380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new</w:t>
            </w:r>
          </w:p>
        </w:tc>
        <w:tc>
          <w:tcPr>
            <w:tcW w:w="124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bookmarkStart w:id="4" w:name="OLE_LINK24"/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</w:t>
            </w:r>
            <w:bookmarkEnd w:id="4"/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441</w:t>
            </w:r>
          </w:p>
        </w:tc>
        <w:tc>
          <w:tcPr>
            <w:tcW w:w="90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</w:p>
        </w:tc>
        <w:tc>
          <w:tcPr>
            <w:tcW w:w="90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</w:p>
        </w:tc>
        <w:tc>
          <w:tcPr>
            <w:tcW w:w="903" w:type="dxa"/>
          </w:tcPr>
          <w:p>
            <w:pPr>
              <w:spacing w:before="156" w:beforeLines="50" w:line="360" w:lineRule="auto"/>
              <w:ind w:right="-105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 xml:space="preserve">  </w:t>
            </w:r>
          </w:p>
        </w:tc>
        <w:tc>
          <w:tcPr>
            <w:tcW w:w="90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95.04</w:t>
            </w:r>
            <w:bookmarkStart w:id="21" w:name="_GoBack"/>
            <w:bookmarkEnd w:id="21"/>
          </w:p>
        </w:tc>
        <w:tc>
          <w:tcPr>
            <w:tcW w:w="2392" w:type="dxa"/>
            <w:gridSpan w:val="2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bookmarkEnd w:id="0"/>
      <w:bookmarkEnd w:id="3"/>
    </w:tbl>
    <w:p/>
    <w:p/>
    <w:p/>
    <w:p>
      <w:pPr>
        <w:pStyle w:val="2"/>
      </w:pPr>
      <w:r>
        <w:rPr>
          <w:rFonts w:hint="eastAsia"/>
        </w:rPr>
        <w:t>不同的铺层以及不同的孔径：</w:t>
      </w:r>
    </w:p>
    <w:tbl>
      <w:tblPr>
        <w:tblStyle w:val="10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atLeast"/>
          <w:tblCellSpacing w:w="0" w:type="dxa"/>
        </w:trPr>
        <w:tc>
          <w:tcPr>
            <w:tcW w:w="1460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>
            <w:pPr>
              <w:pStyle w:val="8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>
            <w:pPr>
              <w:pStyle w:val="8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>
            <w:pPr>
              <w:pStyle w:val="8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97.69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-19.9%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76.11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-8.4%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52.82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-34%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56.91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4.0%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45.89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2.8%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32.99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12.1%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22.46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21.8%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17.89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24.8%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13.42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23.8%</w:t>
            </w:r>
          </w:p>
        </w:tc>
      </w:tr>
    </w:tbl>
    <w:p/>
    <w:p/>
    <w:tbl>
      <w:tblPr>
        <w:tblStyle w:val="10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atLeast"/>
          <w:tblCellSpacing w:w="0" w:type="dxa"/>
        </w:trPr>
        <w:tc>
          <w:tcPr>
            <w:tcW w:w="1460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bookmarkStart w:id="5" w:name="_Hlk502871485"/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>
            <w:pPr>
              <w:pStyle w:val="8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>
            <w:pPr>
              <w:pStyle w:val="8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>
            <w:pPr>
              <w:pStyle w:val="8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  <w:bookmarkStart w:id="6" w:name="_Hlk502176893"/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bookmarkEnd w:id="6"/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</w:p>
        </w:tc>
      </w:tr>
      <w:bookmarkEnd w:id="5"/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bookmarkStart w:id="7" w:name="_Hlk502181114"/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</w:p>
        </w:tc>
      </w:tr>
      <w:bookmarkEnd w:id="7"/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bookmarkStart w:id="8" w:name="_Hlk502176846"/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</w:p>
        </w:tc>
      </w:tr>
      <w:bookmarkEnd w:id="8"/>
    </w:tbl>
    <w:p/>
    <w:p>
      <w:pPr>
        <w:rPr>
          <w:b/>
          <w:sz w:val="28"/>
        </w:rPr>
      </w:pPr>
      <w:r>
        <w:t>一下的计算结果中</w:t>
      </w:r>
      <w:r>
        <w:rPr>
          <w:rFonts w:hint="eastAsia"/>
        </w:rPr>
        <w:t>，</w:t>
      </w:r>
      <w:r>
        <w:t>没有标注的材料参数均为</w:t>
      </w:r>
      <w:r>
        <w:rPr>
          <w:rFonts w:hint="eastAsia"/>
        </w:rPr>
        <w:t>：</w:t>
      </w:r>
      <w:r>
        <w:rPr>
          <w:b/>
          <w:sz w:val="28"/>
        </w:rPr>
        <w:t>Sxy</w:t>
      </w:r>
      <w:r>
        <w:rPr>
          <w:rFonts w:hint="eastAsia"/>
          <w:b/>
          <w:sz w:val="28"/>
        </w:rPr>
        <w:t>=</w:t>
      </w:r>
      <w:r>
        <w:rPr>
          <w:b/>
          <w:sz w:val="28"/>
        </w:rPr>
        <w:t>60</w:t>
      </w:r>
      <w:r>
        <w:rPr>
          <w:rFonts w:hint="eastAsia"/>
          <w:b/>
          <w:sz w:val="28"/>
        </w:rPr>
        <w:t>,</w:t>
      </w:r>
      <w:r>
        <w:rPr>
          <w:b/>
          <w:sz w:val="28"/>
        </w:rPr>
        <w:t>G</w:t>
      </w:r>
      <w:r>
        <w:rPr>
          <w:rFonts w:hint="eastAsia"/>
          <w:b/>
          <w:sz w:val="28"/>
        </w:rPr>
        <w:t>m</w:t>
      </w:r>
      <w:r>
        <w:rPr>
          <w:b/>
          <w:sz w:val="28"/>
        </w:rPr>
        <w:t>=0.5, Gf = 60,Density=1</w:t>
      </w:r>
    </w:p>
    <w:p>
      <w:pPr>
        <w:pStyle w:val="3"/>
      </w:pPr>
      <w:r>
        <w:rPr>
          <w:rFonts w:hint="eastAsia"/>
        </w:rPr>
        <w:t>0°：</w:t>
      </w:r>
    </w:p>
    <w:p>
      <w:r>
        <w:drawing>
          <wp:inline distT="0" distB="0" distL="0" distR="0">
            <wp:extent cx="6645910" cy="40068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60_0</w:t>
      </w:r>
      <w:r>
        <w:rPr>
          <w:rFonts w:hint="eastAsia"/>
        </w:rPr>
        <w:t>的准确性比较好，而80的居然比60的还高，重新复制60的计算模型，此时80和60的差不多75左右。然后增加80的密度到10，希望能减少他的极限载荷</w:t>
      </w:r>
      <w:r>
        <w:t>,</w:t>
      </w:r>
      <w:r>
        <w:rPr>
          <w:rFonts w:hint="eastAsia"/>
        </w:rPr>
        <w:t>可是反而增加了（好像之前也是这样），又将80的密度较小至0.001，可是在4000步内算不完，所以将密度调整至0.01，4000步内仍然算不完，所以将step中的最小增量步数由1e-</w:t>
      </w:r>
      <w:r>
        <w:t>5</w:t>
      </w:r>
      <w:bookmarkStart w:id="9" w:name="OLE_LINK12"/>
      <w:bookmarkStart w:id="10" w:name="OLE_LINK11"/>
      <w:r>
        <w:t>调整</w:t>
      </w:r>
      <w:r>
        <w:rPr>
          <w:rFonts w:hint="eastAsia"/>
        </w:rPr>
        <w:t>至1e-4</w:t>
      </w:r>
      <w:bookmarkEnd w:id="9"/>
      <w:bookmarkEnd w:id="10"/>
      <w:r>
        <w:rPr>
          <w:rFonts w:hint="eastAsia"/>
        </w:rPr>
        <w:t>，进一步看monitor发现，这样改确实有道理：(略)，</w:t>
      </w:r>
      <w:r>
        <w:t>调整</w:t>
      </w:r>
      <w:r>
        <w:rPr>
          <w:rFonts w:hint="eastAsia"/>
        </w:rPr>
        <w:t>至1e-4还不够，所以</w:t>
      </w:r>
      <w:r>
        <w:t>调整</w:t>
      </w:r>
      <w:r>
        <w:rPr>
          <w:rFonts w:hint="eastAsia"/>
        </w:rPr>
        <w:t>至1e-3，可是仍然不够</w:t>
      </w:r>
    </w:p>
    <w:p>
      <w:r>
        <w:drawing>
          <wp:inline distT="0" distB="0" distL="114300" distR="114300">
            <wp:extent cx="6638925" cy="3214370"/>
            <wp:effectExtent l="0" t="0" r="9525" b="508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21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厚度不统一：60的厚度为1.3,80和100的厚度为1.5</w:t>
      </w:r>
      <w:r>
        <w:rPr>
          <w:sz w:val="21"/>
          <w:szCs w:val="21"/>
        </w:rPr>
        <w:t>8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将厚度统一改为</w:t>
      </w:r>
      <w:r>
        <w:rPr>
          <w:rFonts w:hint="eastAsia"/>
          <w:sz w:val="21"/>
          <w:szCs w:val="21"/>
        </w:rPr>
        <w:t>1.5</w:t>
      </w:r>
      <w:r>
        <w:rPr>
          <w:sz w:val="21"/>
          <w:szCs w:val="21"/>
        </w:rPr>
        <w:t>8</w:t>
      </w:r>
      <w:r>
        <w:rPr>
          <w:rFonts w:hint="eastAsia"/>
          <w:sz w:val="21"/>
          <w:szCs w:val="21"/>
        </w:rPr>
        <w:t>后</w:t>
      </w:r>
    </w:p>
    <w:p>
      <w:r>
        <w:drawing>
          <wp:inline distT="0" distB="0" distL="0" distR="0">
            <wp:extent cx="5774055" cy="360108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78051" cy="360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tbl>
      <w:tblPr>
        <w:tblStyle w:val="10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atLeast"/>
          <w:tblCellSpacing w:w="0" w:type="dxa"/>
        </w:trPr>
        <w:tc>
          <w:tcPr>
            <w:tcW w:w="1460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>
            <w:pPr>
              <w:pStyle w:val="8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>
            <w:pPr>
              <w:pStyle w:val="8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>
            <w:pPr>
              <w:pStyle w:val="8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hint="eastAsia"/>
              </w:rPr>
              <w:t>120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t>91</w:t>
            </w:r>
            <w:r>
              <w:rPr>
                <w:rFonts w:hint="eastAsia"/>
              </w:rPr>
              <w:t>.</w:t>
            </w:r>
            <w:r>
              <w:t>90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t>71</w:t>
            </w:r>
            <w:r>
              <w:rPr>
                <w:rFonts w:hint="eastAsia"/>
              </w:rPr>
              <w:t>.</w:t>
            </w:r>
            <w:r>
              <w:t>18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</w:p>
        </w:tc>
      </w:tr>
    </w:tbl>
    <w:p/>
    <w:p>
      <w:pPr>
        <w:pStyle w:val="4"/>
        <w:spacing w:line="240" w:lineRule="auto"/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>2、重新观察材料测试的试验后，发现Xt（纤维拉伸强度）计算偏大,Xt改为</w:t>
      </w:r>
      <w:r>
        <w:rPr>
          <w:rFonts w:hint="eastAsia" w:ascii="Times New Roman" w:hAnsi="Times New Roman" w:cs="Times New Roman"/>
          <w:b w:val="0"/>
          <w:color w:val="FF0000"/>
          <w:sz w:val="21"/>
          <w:szCs w:val="21"/>
        </w:rPr>
        <w:t>1062</w:t>
      </w:r>
      <w:r>
        <w:rPr>
          <w:rFonts w:hint="eastAsia" w:ascii="Times New Roman" w:hAnsi="Times New Roman" w:cs="Times New Roman"/>
          <w:b w:val="0"/>
          <w:sz w:val="21"/>
          <w:szCs w:val="21"/>
        </w:rPr>
        <w:t>，Sxy改为</w:t>
      </w:r>
      <w:r>
        <w:rPr>
          <w:rFonts w:hint="eastAsia" w:ascii="Times New Roman" w:hAnsi="Times New Roman" w:cs="Times New Roman"/>
          <w:b w:val="0"/>
          <w:color w:val="FF0000"/>
          <w:sz w:val="21"/>
          <w:szCs w:val="21"/>
        </w:rPr>
        <w:t>76</w:t>
      </w:r>
    </w:p>
    <w:p>
      <w:pPr>
        <w:jc w:val="left"/>
        <w:rPr>
          <w:rFonts w:hint="eastAsia"/>
        </w:rPr>
      </w:pPr>
      <w:r>
        <w:t>拉伸载荷接近试验</w:t>
      </w:r>
      <w:r>
        <w:rPr>
          <w:rFonts w:hint="eastAsia"/>
        </w:rPr>
        <w:t>，</w:t>
      </w:r>
      <w:r>
        <w:t>但是失效路径不符合试验</w:t>
      </w:r>
      <w:r>
        <w:rPr>
          <w:rFonts w:hint="eastAsia"/>
        </w:rPr>
        <w:t>，</w:t>
      </w:r>
      <w:r>
        <w:t>如下图</w:t>
      </w:r>
      <w:r>
        <w:rPr>
          <w:rFonts w:hint="eastAsia"/>
        </w:rPr>
        <w:t>：</w:t>
      </w:r>
    </w:p>
    <w:p>
      <w:pPr>
        <w:jc w:val="center"/>
      </w:pPr>
    </w:p>
    <w:p>
      <w:pPr>
        <w:jc w:val="center"/>
      </w:pPr>
      <w:r>
        <w:drawing>
          <wp:inline distT="0" distB="0" distL="0" distR="0">
            <wp:extent cx="2584450" cy="2287270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8574" cy="229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4710430" cy="2930525"/>
            <wp:effectExtent l="0" t="0" r="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2758" cy="295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将Sxy改为</w:t>
      </w:r>
      <w:r>
        <w:rPr>
          <w:rFonts w:hint="eastAsia"/>
          <w:color w:val="FF0000"/>
        </w:rPr>
        <w:t>60</w:t>
      </w:r>
      <w:r>
        <w:rPr>
          <w:rFonts w:hint="eastAsia"/>
        </w:rPr>
        <w:t>：</w:t>
      </w:r>
    </w:p>
    <w:p>
      <w:pPr>
        <w:jc w:val="left"/>
        <w:rPr>
          <w:rFonts w:hint="eastAsia"/>
        </w:rPr>
      </w:pPr>
      <w:r>
        <w:t>进而改为</w:t>
      </w:r>
      <w:r>
        <w:rPr>
          <w:rFonts w:hint="eastAsia"/>
          <w:color w:val="FF0000"/>
        </w:rPr>
        <w:t>50</w:t>
      </w:r>
      <w:r>
        <w:rPr>
          <w:rFonts w:hint="eastAsia"/>
        </w:rPr>
        <w:t>，</w:t>
      </w:r>
      <w:r>
        <w:t>同时研究</w:t>
      </w:r>
      <w:r>
        <w:rPr>
          <w:color w:val="FF0000"/>
        </w:rPr>
        <w:t>Xc</w:t>
      </w:r>
      <w:r>
        <w:t>和</w:t>
      </w:r>
      <w:r>
        <w:rPr>
          <w:color w:val="FF0000"/>
        </w:rPr>
        <w:t>Yc</w:t>
      </w:r>
      <w:r>
        <w:t>对结果的影响</w:t>
      </w:r>
    </w:p>
    <w:p>
      <w:pPr>
        <w:pStyle w:val="3"/>
      </w:pPr>
      <w:r>
        <w:rPr>
          <w:rFonts w:hint="eastAsia"/>
        </w:rPr>
        <w:t>45°：</w:t>
      </w:r>
    </w:p>
    <w:p>
      <w:r>
        <w:drawing>
          <wp:inline distT="0" distB="0" distL="0" distR="0">
            <wp:extent cx="6645910" cy="34867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1、采用exp软化模型可以提高极限载荷；</w:t>
      </w:r>
    </w:p>
    <w:p>
      <w:pPr>
        <w:pStyle w:val="4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2、尝试提高剪切强度系数、提高Gm来提高模拟的极限载荷,</w:t>
      </w:r>
    </w:p>
    <w:p>
      <w:r>
        <w:drawing>
          <wp:inline distT="0" distB="0" distL="0" distR="0">
            <wp:extent cx="5276215" cy="3312795"/>
            <wp:effectExtent l="0" t="0" r="635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6833" cy="332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1" w:name="OLE_LINK7"/>
      <w:r>
        <w:rPr>
          <w:rFonts w:hint="eastAsia"/>
        </w:rPr>
        <w:t>还是用Sxy=90，Gm=5比较好：</w:t>
      </w:r>
    </w:p>
    <w:bookmarkEnd w:id="11"/>
    <w:p>
      <w:r>
        <w:drawing>
          <wp:inline distT="0" distB="0" distL="0" distR="0">
            <wp:extent cx="6305550" cy="382841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13444" cy="38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0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bookmarkStart w:id="12" w:name="OLE_LINK9"/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100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bookmarkStart w:id="13" w:name="OLE_LINK8"/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  <w:bookmarkEnd w:id="13"/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L</w:t>
            </w:r>
            <w:r>
              <w:rPr>
                <w:rFonts w:ascii="Times New Roman" w:hAnsi="Times New Roman"/>
                <w:b/>
                <w:color w:val="FFFFFF"/>
                <w:szCs w:val="24"/>
              </w:rPr>
              <w:t>i</w:t>
            </w: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n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hint="eastAsia"/>
              </w:rPr>
              <w:t>17.92</w:t>
            </w:r>
          </w:p>
        </w:tc>
        <w:tc>
          <w:tcPr>
            <w:tcW w:w="788" w:type="dxa"/>
            <w:vMerge w:val="restart"/>
            <w:tcBorders>
              <w:top w:val="single" w:color="000000" w:sz="6" w:space="0"/>
              <w:left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hint="eastAsia"/>
              </w:rPr>
              <w:t>17.56</w:t>
            </w:r>
          </w:p>
        </w:tc>
        <w:tc>
          <w:tcPr>
            <w:tcW w:w="788" w:type="dxa"/>
            <w:vMerge w:val="restart"/>
            <w:tcBorders>
              <w:top w:val="single" w:color="000000" w:sz="6" w:space="0"/>
              <w:left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hint="eastAsia"/>
              </w:rPr>
              <w:t>13.08</w:t>
            </w:r>
          </w:p>
        </w:tc>
        <w:tc>
          <w:tcPr>
            <w:tcW w:w="788" w:type="dxa"/>
            <w:vMerge w:val="restart"/>
            <w:tcBorders>
              <w:top w:val="single" w:color="000000" w:sz="6" w:space="0"/>
              <w:left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E</w:t>
            </w: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xp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hint="eastAsia"/>
              </w:rPr>
              <w:t>22.17</w:t>
            </w:r>
          </w:p>
        </w:tc>
        <w:tc>
          <w:tcPr>
            <w:tcW w:w="788" w:type="dxa"/>
            <w:vMerge w:val="continue"/>
            <w:tcBorders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hint="eastAsia"/>
              </w:rPr>
              <w:t>22.12</w:t>
            </w:r>
          </w:p>
        </w:tc>
        <w:tc>
          <w:tcPr>
            <w:tcW w:w="788" w:type="dxa"/>
            <w:vMerge w:val="continue"/>
            <w:tcBorders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hint="eastAsia"/>
              </w:rPr>
              <w:t>16.46</w:t>
            </w:r>
          </w:p>
        </w:tc>
        <w:tc>
          <w:tcPr>
            <w:tcW w:w="788" w:type="dxa"/>
            <w:vMerge w:val="continue"/>
            <w:tcBorders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</w:p>
        </w:tc>
      </w:tr>
      <w:bookmarkEnd w:id="12"/>
    </w:tbl>
    <w:p>
      <w:r>
        <w:rPr>
          <w:rFonts w:hint="eastAsia"/>
        </w:rPr>
        <w:t>可以看出exp的退化模型比lin的退化模型更加接近于实验值，但是还没有施加</w:t>
      </w:r>
      <w:r>
        <w:rPr>
          <w:rFonts w:hint="eastAsia"/>
          <w:b/>
        </w:rPr>
        <w:t>剪切非线性</w:t>
      </w:r>
      <w:r>
        <w:rPr>
          <w:rFonts w:hint="eastAsia"/>
        </w:rPr>
        <w:t>。</w:t>
      </w:r>
    </w:p>
    <w:p>
      <w:pPr>
        <w:pStyle w:val="4"/>
        <w:numPr>
          <w:ilvl w:val="0"/>
          <w:numId w:val="2"/>
        </w:numPr>
        <w:rPr>
          <w:sz w:val="21"/>
          <w:szCs w:val="21"/>
        </w:rPr>
      </w:pPr>
      <w:bookmarkStart w:id="14" w:name="OLE_LINK5"/>
      <w:bookmarkStart w:id="15" w:name="OLE_LINK6"/>
      <w:r>
        <w:rPr>
          <w:rFonts w:hint="eastAsia"/>
          <w:sz w:val="21"/>
          <w:szCs w:val="21"/>
        </w:rPr>
        <w:t>厚度不统一：60的厚度为1.3,80和100的厚度为1.5</w:t>
      </w:r>
      <w:r>
        <w:rPr>
          <w:sz w:val="21"/>
          <w:szCs w:val="21"/>
        </w:rPr>
        <w:t>8</w:t>
      </w:r>
      <w:bookmarkEnd w:id="14"/>
      <w:bookmarkEnd w:id="15"/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将厚度统一改为</w:t>
      </w:r>
      <w:r>
        <w:rPr>
          <w:rFonts w:hint="eastAsia"/>
          <w:sz w:val="21"/>
          <w:szCs w:val="21"/>
        </w:rPr>
        <w:t>1.5mm后：</w:t>
      </w:r>
    </w:p>
    <w:p>
      <w:pPr>
        <w:jc w:val="center"/>
      </w:pPr>
      <w:r>
        <w:drawing>
          <wp:inline distT="0" distB="0" distL="0" distR="0">
            <wp:extent cx="4902835" cy="3020060"/>
            <wp:effectExtent l="0" t="0" r="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07584" cy="302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还是用Sxy=90，Gm=5比较好：</w:t>
      </w:r>
    </w:p>
    <w:p>
      <w:pPr>
        <w:jc w:val="center"/>
      </w:pPr>
      <w:r>
        <w:drawing>
          <wp:inline distT="0" distB="0" distL="0" distR="0">
            <wp:extent cx="6053455" cy="3705225"/>
            <wp:effectExtent l="0" t="0" r="444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54250" cy="370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0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100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L</w:t>
            </w:r>
            <w:r>
              <w:rPr>
                <w:rFonts w:ascii="Times New Roman" w:hAnsi="Times New Roman"/>
                <w:b/>
                <w:color w:val="FFFFFF"/>
                <w:szCs w:val="24"/>
              </w:rPr>
              <w:t>i</w:t>
            </w: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n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t>21.12</w:t>
            </w:r>
          </w:p>
        </w:tc>
        <w:tc>
          <w:tcPr>
            <w:tcW w:w="788" w:type="dxa"/>
            <w:vMerge w:val="restart"/>
            <w:tcBorders>
              <w:top w:val="single" w:color="000000" w:sz="6" w:space="0"/>
              <w:left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hint="eastAsia"/>
              </w:rPr>
              <w:t>16.67</w:t>
            </w:r>
          </w:p>
        </w:tc>
        <w:tc>
          <w:tcPr>
            <w:tcW w:w="788" w:type="dxa"/>
            <w:vMerge w:val="restart"/>
            <w:tcBorders>
              <w:top w:val="single" w:color="000000" w:sz="6" w:space="0"/>
              <w:left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hint="eastAsia"/>
              </w:rPr>
              <w:t>1</w:t>
            </w:r>
            <w:r>
              <w:t>2.43</w:t>
            </w:r>
          </w:p>
        </w:tc>
        <w:tc>
          <w:tcPr>
            <w:tcW w:w="788" w:type="dxa"/>
            <w:vMerge w:val="restart"/>
            <w:tcBorders>
              <w:top w:val="single" w:color="000000" w:sz="6" w:space="0"/>
              <w:left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E</w:t>
            </w: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xp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</w:p>
        </w:tc>
        <w:tc>
          <w:tcPr>
            <w:tcW w:w="788" w:type="dxa"/>
            <w:vMerge w:val="continue"/>
            <w:tcBorders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</w:p>
        </w:tc>
        <w:tc>
          <w:tcPr>
            <w:tcW w:w="788" w:type="dxa"/>
            <w:vMerge w:val="continue"/>
            <w:tcBorders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</w:p>
        </w:tc>
        <w:tc>
          <w:tcPr>
            <w:tcW w:w="788" w:type="dxa"/>
            <w:vMerge w:val="continue"/>
            <w:tcBorders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</w:p>
        </w:tc>
      </w:tr>
    </w:tbl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pStyle w:val="3"/>
      </w:pPr>
      <w:r>
        <w:t>0/90:</w:t>
      </w:r>
    </w:p>
    <w:p/>
    <w:p>
      <w:r>
        <w:drawing>
          <wp:inline distT="0" distB="0" distL="0" distR="0">
            <wp:extent cx="6645910" cy="427863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  <w:numPr>
          <w:ilvl w:val="0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厚度不统一：60的厚度为1.3,80和100的厚度为1.5</w:t>
      </w:r>
      <w:r>
        <w:rPr>
          <w:sz w:val="21"/>
          <w:szCs w:val="21"/>
        </w:rPr>
        <w:t>8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将厚度统一改为</w:t>
      </w:r>
      <w:r>
        <w:rPr>
          <w:rFonts w:hint="eastAsia"/>
          <w:sz w:val="21"/>
          <w:szCs w:val="21"/>
        </w:rPr>
        <w:t>1.5后</w:t>
      </w:r>
    </w:p>
    <w:p>
      <w:r>
        <w:drawing>
          <wp:inline distT="0" distB="0" distL="0" distR="0">
            <wp:extent cx="6645910" cy="4090035"/>
            <wp:effectExtent l="0" t="0" r="254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0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100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t>64.68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t>49.52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hint="eastAsia"/>
              </w:rPr>
              <w:t>35.00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widowControl/>
            </w:pPr>
          </w:p>
        </w:tc>
      </w:tr>
    </w:tbl>
    <w:p>
      <w:pPr>
        <w:rPr>
          <w:szCs w:val="21"/>
        </w:rPr>
      </w:pPr>
    </w:p>
    <w:p>
      <w:pPr>
        <w:pStyle w:val="4"/>
        <w:ind w:left="495"/>
      </w:pP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、Gm由0.5换成5，失效图更符合试验结果。</w:t>
      </w:r>
    </w:p>
    <w:p>
      <w:pPr>
        <w:pStyle w:val="3"/>
      </w:pPr>
      <w:r>
        <w:t>问题</w:t>
      </w:r>
      <w:r>
        <w:rPr>
          <w:rFonts w:hint="eastAsia"/>
        </w:rPr>
        <w:t>：</w:t>
      </w:r>
    </w:p>
    <w:p>
      <w:pPr>
        <w:jc w:val="left"/>
        <w:outlineLvl w:val="2"/>
      </w:pPr>
      <w:r>
        <w:rPr>
          <w:rFonts w:hint="eastAsia"/>
        </w:rPr>
        <w:t>1、</w:t>
      </w:r>
      <w:r>
        <w:t>在</w:t>
      </w:r>
      <w:r>
        <w:rPr>
          <w:rFonts w:hint="eastAsia"/>
        </w:rPr>
        <w:t>0°板中，剪切强度60更准确(</w:t>
      </w:r>
      <w:r>
        <w:t>从失效图来看</w:t>
      </w:r>
      <w:r>
        <w:rPr>
          <w:rFonts w:hint="eastAsia"/>
        </w:rPr>
        <w:t>) ，不论是ABAQUS内置模型还是UMAT子程序模型</w:t>
      </w:r>
    </w:p>
    <w:p>
      <w:pPr>
        <w:ind w:firstLine="210" w:firstLineChars="100"/>
        <w:jc w:val="left"/>
      </w:pPr>
      <w:r>
        <w:t>在45°板中，剪切强度</w:t>
      </w:r>
      <w:r>
        <w:rPr>
          <w:rFonts w:hint="eastAsia"/>
        </w:rPr>
        <w:t>9</w:t>
      </w:r>
      <w:r>
        <w:t>0更准确</w:t>
      </w:r>
      <w:r>
        <w:rPr>
          <w:rFonts w:hint="eastAsia"/>
        </w:rPr>
        <w:t>(</w:t>
      </w:r>
      <w:r>
        <w:t>从极限载荷来看</w:t>
      </w:r>
      <w:r>
        <w:rPr>
          <w:rFonts w:hint="eastAsia"/>
        </w:rPr>
        <w:t>)，是否和就地强度准测有关系</w:t>
      </w:r>
    </w:p>
    <w:tbl>
      <w:tblPr>
        <w:tblStyle w:val="11"/>
        <w:tblpPr w:leftFromText="180" w:rightFromText="180" w:vertAnchor="text" w:horzAnchor="page" w:tblpXSpec="center" w:tblpY="276"/>
        <w:tblOverlap w:val="never"/>
        <w:tblW w:w="1054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0"/>
        <w:gridCol w:w="2110"/>
        <w:gridCol w:w="2111"/>
        <w:gridCol w:w="2111"/>
        <w:gridCol w:w="2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110" w:type="dxa"/>
          </w:tcPr>
          <w:p>
            <w:pPr>
              <w:jc w:val="center"/>
            </w:pPr>
            <w:bookmarkStart w:id="16" w:name="OLE_LINK10"/>
            <w:r>
              <w:rPr>
                <w:rFonts w:hint="eastAsia"/>
              </w:rPr>
              <w:t>试验次数</w:t>
            </w:r>
          </w:p>
        </w:tc>
        <w:tc>
          <w:tcPr>
            <w:tcW w:w="2110" w:type="dxa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111" w:type="dxa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111" w:type="dxa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102" w:type="dxa"/>
          </w:tcPr>
          <w:p>
            <w:pPr>
              <w:jc w:val="center"/>
            </w:pPr>
            <w:r>
              <w:rPr>
                <w:rFonts w:hint="eastAsia"/>
              </w:rPr>
              <w:t>平均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10" w:type="dxa"/>
          </w:tcPr>
          <w:p>
            <w:pPr>
              <w:jc w:val="center"/>
            </w:pPr>
            <w:r>
              <w:rPr>
                <w:rFonts w:ascii="Times New Roman" w:hAnsi="Times New Roman"/>
                <w:b/>
                <w:szCs w:val="24"/>
              </w:rPr>
              <w:t>[±45]5</w:t>
            </w:r>
          </w:p>
        </w:tc>
        <w:tc>
          <w:tcPr>
            <w:tcW w:w="2110" w:type="dxa"/>
          </w:tcPr>
          <w:p>
            <w:pPr>
              <w:jc w:val="center"/>
            </w:pPr>
            <w:r>
              <w:rPr>
                <w:rFonts w:hint="eastAsia"/>
              </w:rPr>
              <w:t>5701</w:t>
            </w:r>
          </w:p>
        </w:tc>
        <w:tc>
          <w:tcPr>
            <w:tcW w:w="2111" w:type="dxa"/>
          </w:tcPr>
          <w:p>
            <w:pPr>
              <w:jc w:val="center"/>
            </w:pPr>
            <w:r>
              <w:rPr>
                <w:rFonts w:hint="eastAsia"/>
              </w:rPr>
              <w:t>5596.5</w:t>
            </w:r>
          </w:p>
        </w:tc>
        <w:tc>
          <w:tcPr>
            <w:tcW w:w="2111" w:type="dxa"/>
          </w:tcPr>
          <w:p>
            <w:pPr>
              <w:jc w:val="center"/>
            </w:pPr>
            <w:r>
              <w:rPr>
                <w:rFonts w:hint="eastAsia"/>
              </w:rPr>
              <w:t>5810.5</w:t>
            </w:r>
          </w:p>
        </w:tc>
        <w:tc>
          <w:tcPr>
            <w:tcW w:w="2102" w:type="dxa"/>
          </w:tcPr>
          <w:p>
            <w:pPr>
              <w:jc w:val="center"/>
            </w:pPr>
            <w:r>
              <w:rPr>
                <w:rFonts w:hint="eastAsia" w:ascii="宋体" w:hAnsi="宋体" w:eastAsia="宋体" w:cs="宋体"/>
                <w:szCs w:val="21"/>
              </w:rPr>
              <w:t>5702.67N</w:t>
            </w:r>
          </w:p>
        </w:tc>
      </w:tr>
    </w:tbl>
    <w:p>
      <w:pPr>
        <w:ind w:firstLine="210" w:firstLineChars="100"/>
        <w:jc w:val="left"/>
      </w:pPr>
    </w:p>
    <w:p>
      <w:pPr>
        <w:ind w:firstLine="210" w:firstLineChars="100"/>
        <w:jc w:val="left"/>
      </w:pPr>
      <w:r>
        <w:rPr>
          <w:position w:val="-44"/>
        </w:rPr>
        <w:object>
          <v:shape id="_x0000_i1027" o:spt="75" type="#_x0000_t75" style="height:63.85pt;width:229.6pt;" o:ole="t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  <o:OLEObject Type="Embed" ProgID="Equation.3" ShapeID="_x0000_i1027" DrawAspect="Content" ObjectID="_1468075728" r:id="rId44">
            <o:LockedField>false</o:LockedField>
          </o:OLEObject>
        </w:object>
      </w:r>
      <w:bookmarkEnd w:id="16"/>
    </w:p>
    <w:p>
      <w:pPr>
        <w:ind w:firstLine="210" w:firstLineChars="100"/>
        <w:jc w:val="left"/>
      </w:pPr>
    </w:p>
    <w:p>
      <w:pPr>
        <w:pStyle w:val="15"/>
        <w:numPr>
          <w:ilvl w:val="0"/>
          <w:numId w:val="4"/>
        </w:numPr>
        <w:ind w:firstLineChars="0"/>
        <w:jc w:val="left"/>
        <w:outlineLvl w:val="2"/>
        <w:rPr>
          <w:b/>
          <w:bCs/>
        </w:rPr>
      </w:pPr>
      <w:r>
        <w:rPr>
          <w:rFonts w:hint="eastAsia"/>
          <w:b/>
          <w:bCs/>
        </w:rPr>
        <w:t>厚度问题：为什么复制完的model算出来和之前的不一致？</w:t>
      </w:r>
    </w:p>
    <w:p>
      <w:pPr>
        <w:jc w:val="left"/>
        <w:rPr>
          <w:b/>
          <w:bCs/>
        </w:rPr>
      </w:pPr>
      <w:r>
        <w:drawing>
          <wp:inline distT="0" distB="0" distL="0" distR="0">
            <wp:extent cx="4239260" cy="2677160"/>
            <wp:effectExtent l="0" t="0" r="889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修改了</w:t>
      </w:r>
      <w:bookmarkStart w:id="17" w:name="OLE_LINK1"/>
      <w:r>
        <w:rPr>
          <w:rFonts w:hint="eastAsia"/>
          <w:b/>
          <w:bCs/>
        </w:rPr>
        <w:t>part-node-load</w:t>
      </w:r>
      <w:bookmarkEnd w:id="17"/>
      <w:r>
        <w:rPr>
          <w:rFonts w:hint="eastAsia"/>
          <w:b/>
          <w:bCs/>
        </w:rPr>
        <w:t>，看是不是此原因</w:t>
      </w:r>
    </w:p>
    <w:p>
      <w:pPr>
        <w:pStyle w:val="15"/>
        <w:ind w:firstLineChars="0"/>
        <w:jc w:val="left"/>
      </w:pPr>
      <w:r>
        <w:drawing>
          <wp:inline distT="0" distB="0" distL="114300" distR="114300">
            <wp:extent cx="5715000" cy="2740660"/>
            <wp:effectExtent l="0" t="0" r="0" b="254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firstLineChars="0"/>
        <w:jc w:val="left"/>
        <w:rPr>
          <w:b/>
          <w:bCs/>
        </w:rPr>
      </w:pPr>
      <w:r>
        <w:rPr>
          <w:rFonts w:hint="eastAsia"/>
        </w:rPr>
        <w:t>不是</w:t>
      </w:r>
      <w:r>
        <w:rPr>
          <w:rFonts w:hint="eastAsia"/>
          <w:b/>
          <w:bCs/>
        </w:rPr>
        <w:t>part-node-load的原因；</w:t>
      </w:r>
    </w:p>
    <w:p>
      <w:pPr>
        <w:pStyle w:val="15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是</w:t>
      </w:r>
      <w:r>
        <w:rPr>
          <w:rFonts w:hint="eastAsia"/>
          <w:b/>
          <w:bCs/>
          <w:color w:val="FF0000"/>
        </w:rPr>
        <w:t>厚度</w:t>
      </w:r>
      <w:r>
        <w:rPr>
          <w:rFonts w:hint="eastAsia"/>
          <w:b/>
          <w:bCs/>
        </w:rPr>
        <w:t>的关系：</w:t>
      </w:r>
    </w:p>
    <w:p>
      <w:pPr>
        <w:pStyle w:val="15"/>
        <w:ind w:firstLineChars="0"/>
        <w:jc w:val="left"/>
      </w:pPr>
      <w:r>
        <w:drawing>
          <wp:inline distT="0" distB="0" distL="114300" distR="114300">
            <wp:extent cx="4279900" cy="2740660"/>
            <wp:effectExtent l="0" t="0" r="6350" b="254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firstLineChars="0"/>
        <w:jc w:val="left"/>
      </w:pPr>
      <w:r>
        <w:rPr>
          <w:rFonts w:hint="eastAsia"/>
        </w:rPr>
        <w:t>厚度为1.3时：75</w:t>
      </w:r>
    </w:p>
    <w:p>
      <w:pPr>
        <w:pStyle w:val="15"/>
        <w:ind w:firstLineChars="0"/>
        <w:jc w:val="left"/>
      </w:pPr>
      <w:r>
        <w:rPr>
          <w:rFonts w:hint="eastAsia"/>
        </w:rPr>
        <w:t>厚度为1.58时：85</w:t>
      </w:r>
    </w:p>
    <w:p>
      <w:pPr>
        <w:pStyle w:val="15"/>
        <w:ind w:firstLineChars="0"/>
        <w:jc w:val="left"/>
      </w:pPr>
    </w:p>
    <w:p>
      <w:pPr>
        <w:pStyle w:val="15"/>
        <w:ind w:firstLineChars="0"/>
        <w:jc w:val="left"/>
      </w:pPr>
      <w:r>
        <w:t>T300厚度测量</w:t>
      </w:r>
      <w:r>
        <w:rPr>
          <w:rFonts w:hint="eastAsia"/>
        </w:rPr>
        <w:t>：</w:t>
      </w:r>
    </w:p>
    <w:tbl>
      <w:tblPr>
        <w:tblStyle w:val="11"/>
        <w:tblW w:w="1068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0"/>
        <w:gridCol w:w="2671"/>
        <w:gridCol w:w="2671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5"/>
              <w:ind w:firstLine="0" w:firstLineChars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铺层</w:t>
            </w:r>
          </w:p>
        </w:tc>
        <w:tc>
          <w:tcPr>
            <w:tcW w:w="2670" w:type="dxa"/>
          </w:tcPr>
          <w:p>
            <w:pPr>
              <w:pStyle w:val="15"/>
              <w:ind w:firstLine="0" w:firstLineChars="0"/>
              <w:jc w:val="left"/>
              <w:rPr>
                <w:b/>
                <w:bCs/>
              </w:rPr>
            </w:pPr>
            <w:bookmarkStart w:id="18" w:name="OLE_LINK4"/>
            <w:r>
              <w:rPr>
                <w:b/>
                <w:bCs/>
              </w:rPr>
              <w:t>第一次</w:t>
            </w:r>
            <w:bookmarkEnd w:id="18"/>
          </w:p>
        </w:tc>
        <w:tc>
          <w:tcPr>
            <w:tcW w:w="2671" w:type="dxa"/>
          </w:tcPr>
          <w:p>
            <w:pPr>
              <w:pStyle w:val="15"/>
              <w:ind w:firstLine="0" w:firstLineChars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第二次</w:t>
            </w:r>
          </w:p>
        </w:tc>
        <w:tc>
          <w:tcPr>
            <w:tcW w:w="2671" w:type="dxa"/>
          </w:tcPr>
          <w:p>
            <w:pPr>
              <w:pStyle w:val="15"/>
              <w:ind w:firstLine="0" w:firstLineChars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第三次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5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670" w:type="dxa"/>
          </w:tcPr>
          <w:p>
            <w:pPr>
              <w:pStyle w:val="15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1.6</w:t>
            </w:r>
          </w:p>
        </w:tc>
        <w:tc>
          <w:tcPr>
            <w:tcW w:w="2671" w:type="dxa"/>
          </w:tcPr>
          <w:p>
            <w:pPr>
              <w:pStyle w:val="15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1.58</w:t>
            </w:r>
          </w:p>
        </w:tc>
        <w:tc>
          <w:tcPr>
            <w:tcW w:w="2671" w:type="dxa"/>
          </w:tcPr>
          <w:p>
            <w:pPr>
              <w:pStyle w:val="15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1.58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5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±45</w:t>
            </w:r>
          </w:p>
        </w:tc>
        <w:tc>
          <w:tcPr>
            <w:tcW w:w="2670" w:type="dxa"/>
          </w:tcPr>
          <w:p>
            <w:pPr>
              <w:pStyle w:val="15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1.54</w:t>
            </w:r>
          </w:p>
        </w:tc>
        <w:tc>
          <w:tcPr>
            <w:tcW w:w="2671" w:type="dxa"/>
          </w:tcPr>
          <w:p>
            <w:pPr>
              <w:pStyle w:val="15"/>
              <w:ind w:firstLine="0" w:firstLineChars="0"/>
              <w:jc w:val="left"/>
              <w:rPr>
                <w:b/>
                <w:bCs/>
              </w:rPr>
            </w:pPr>
            <w:bookmarkStart w:id="19" w:name="OLE_LINK3"/>
            <w:r>
              <w:rPr>
                <w:rFonts w:hint="eastAsia"/>
                <w:b/>
                <w:bCs/>
              </w:rPr>
              <w:t>1.5</w:t>
            </w:r>
            <w:bookmarkEnd w:id="19"/>
          </w:p>
        </w:tc>
        <w:tc>
          <w:tcPr>
            <w:tcW w:w="2671" w:type="dxa"/>
          </w:tcPr>
          <w:p>
            <w:pPr>
              <w:pStyle w:val="15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5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0/90</w:t>
            </w:r>
          </w:p>
        </w:tc>
        <w:tc>
          <w:tcPr>
            <w:tcW w:w="2670" w:type="dxa"/>
          </w:tcPr>
          <w:p>
            <w:pPr>
              <w:pStyle w:val="15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</w:p>
        </w:tc>
        <w:tc>
          <w:tcPr>
            <w:tcW w:w="2671" w:type="dxa"/>
          </w:tcPr>
          <w:p>
            <w:pPr>
              <w:pStyle w:val="15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  <w:r>
              <w:rPr>
                <w:b/>
                <w:bCs/>
              </w:rPr>
              <w:t>4</w:t>
            </w:r>
          </w:p>
        </w:tc>
        <w:tc>
          <w:tcPr>
            <w:tcW w:w="2671" w:type="dxa"/>
          </w:tcPr>
          <w:p>
            <w:pPr>
              <w:pStyle w:val="15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</w:p>
        </w:tc>
      </w:tr>
    </w:tbl>
    <w:p>
      <w:pPr>
        <w:pStyle w:val="15"/>
        <w:ind w:firstLineChars="0"/>
        <w:jc w:val="left"/>
        <w:rPr>
          <w:b/>
          <w:bCs/>
        </w:rPr>
      </w:pPr>
    </w:p>
    <w:p>
      <w:pPr>
        <w:pStyle w:val="15"/>
        <w:ind w:firstLine="0" w:firstLineChars="0"/>
      </w:pPr>
    </w:p>
    <w:p>
      <w:pPr>
        <w:outlineLvl w:val="2"/>
      </w:pPr>
      <w:r>
        <w:rPr>
          <w:rFonts w:hint="eastAsia"/>
        </w:rPr>
        <w:t>3、到底Gm，Gf对结果有什么影响</w:t>
      </w:r>
    </w:p>
    <w:p/>
    <w:p>
      <w:pPr>
        <w:outlineLvl w:val="1"/>
      </w:pPr>
      <w:r>
        <w:rPr>
          <w:rFonts w:hint="eastAsia"/>
        </w:rPr>
        <w:t>就地强度准则：</w:t>
      </w:r>
    </w:p>
    <w:p/>
    <w:p/>
    <w:p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屈曲和失效：</w:t>
      </w:r>
    </w:p>
    <w:p>
      <w:pPr>
        <w:rPr>
          <w:b/>
          <w:bCs/>
        </w:rPr>
      </w:pPr>
      <w:r>
        <w:rPr>
          <w:rFonts w:hint="eastAsia"/>
          <w:b/>
          <w:bCs/>
        </w:rPr>
        <w:t>屈曲极限载荷：</w:t>
      </w:r>
    </w:p>
    <w:tbl>
      <w:tblPr>
        <w:tblStyle w:val="11"/>
        <w:tblW w:w="853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7"/>
        <w:gridCol w:w="831"/>
        <w:gridCol w:w="870"/>
        <w:gridCol w:w="754"/>
        <w:gridCol w:w="754"/>
        <w:gridCol w:w="754"/>
        <w:gridCol w:w="754"/>
        <w:gridCol w:w="756"/>
        <w:gridCol w:w="756"/>
        <w:gridCol w:w="746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40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90</w:t>
            </w:r>
          </w:p>
        </w:tc>
        <w:tc>
          <w:tcPr>
            <w:tcW w:w="75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75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110</w:t>
            </w:r>
          </w:p>
        </w:tc>
        <w:tc>
          <w:tcPr>
            <w:tcW w:w="74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120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widowControl/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106.25</w:t>
            </w:r>
          </w:p>
        </w:tc>
        <w:tc>
          <w:tcPr>
            <w:tcW w:w="870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62.88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41.93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30.80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24.40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20.18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17.12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15.43</w:t>
            </w:r>
          </w:p>
        </w:tc>
        <w:tc>
          <w:tcPr>
            <w:tcW w:w="74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13.33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widowControl/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238.21</w:t>
            </w:r>
          </w:p>
        </w:tc>
        <w:tc>
          <w:tcPr>
            <w:tcW w:w="870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132.99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80.73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52.53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36.72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27.67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22.54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19.55</w:t>
            </w:r>
          </w:p>
        </w:tc>
        <w:tc>
          <w:tcPr>
            <w:tcW w:w="74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17.61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widowControl/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131.79</w:t>
            </w:r>
          </w:p>
        </w:tc>
        <w:tc>
          <w:tcPr>
            <w:tcW w:w="870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81.79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55.01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39.36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29.79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23.80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20.27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18.43</w:t>
            </w:r>
          </w:p>
        </w:tc>
        <w:tc>
          <w:tcPr>
            <w:tcW w:w="746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17.79</w:t>
            </w:r>
          </w:p>
        </w:tc>
      </w:tr>
    </w:tbl>
    <w:p/>
    <w:tbl>
      <w:tblPr>
        <w:tblStyle w:val="11"/>
        <w:tblW w:w="8514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7"/>
        <w:gridCol w:w="831"/>
        <w:gridCol w:w="1836"/>
        <w:gridCol w:w="2250"/>
        <w:gridCol w:w="2040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83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2250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2040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restart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27.09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33.56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26.78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continue"/>
          </w:tcPr>
          <w:p>
            <w:pPr>
              <w:jc w:val="right"/>
            </w:pPr>
          </w:p>
        </w:tc>
        <w:tc>
          <w:tcPr>
            <w:tcW w:w="831" w:type="dxa"/>
            <w:vAlign w:val="bottom"/>
          </w:tcPr>
          <w:p>
            <w:pPr>
              <w:jc w:val="center"/>
            </w:pPr>
            <w:r>
              <w:rPr>
                <w:rFonts w:hint="eastAsia"/>
              </w:rPr>
              <w:t>exp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27.60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33.53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26.86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restart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11.06</w:t>
            </w:r>
            <w:r>
              <w:rPr>
                <w:rFonts w:hint="eastAsia" w:ascii="Times New Roman" w:hAnsi="Times New Roman" w:cs="Times New Roman"/>
                <w:color w:val="0000FF"/>
                <w:sz w:val="20"/>
                <w:szCs w:val="20"/>
              </w:rPr>
              <w:t>（90层首先出现基体破坏）</w:t>
            </w: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13.41</w:t>
            </w:r>
            <w:r>
              <w:rPr>
                <w:rFonts w:hint="eastAsia" w:ascii="Times New Roman" w:hAnsi="Times New Roman" w:cs="Times New Roman"/>
                <w:color w:val="0000FF"/>
                <w:sz w:val="20"/>
                <w:szCs w:val="20"/>
              </w:rPr>
              <w:t>（90层首先出现基体破坏；）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23669.4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>
            <w:pPr>
              <w:ind w:firstLine="660" w:firstLineChars="300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13754.2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>
            <w:pPr>
              <w:rPr>
                <w:rFonts w:ascii="Times New Roman" w:hAnsi="Times New Roman" w:cs="Times New Roman"/>
                <w:color w:val="0000FF"/>
                <w:sz w:val="22"/>
              </w:rPr>
            </w:pP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9.07</w:t>
            </w:r>
            <w:r>
              <w:rPr>
                <w:rFonts w:hint="eastAsia" w:ascii="Cambria Math" w:hAnsi="Cambria Math" w:cs="Times New Roman"/>
                <w:color w:val="0000FF"/>
                <w:szCs w:val="21"/>
              </w:rPr>
              <w:t>（90层率先出线基体破坏）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continue"/>
          </w:tcPr>
          <w:p>
            <w:pPr>
              <w:jc w:val="center"/>
            </w:pPr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exp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8.01</w:t>
            </w:r>
            <w:r>
              <w:rPr>
                <w:rFonts w:hint="eastAsia" w:ascii="Cambria Math" w:hAnsi="Cambria Math" w:cs="Times New Roman"/>
                <w:color w:val="0000FF"/>
                <w:sz w:val="18"/>
                <w:szCs w:val="18"/>
              </w:rPr>
              <w:t>(0和90层同时出现了基体破坏)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13754.2</w:t>
            </w:r>
          </w:p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9.07（90层率先出线基体破坏）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1557" w:type="dxa"/>
            <w:vMerge w:val="restart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8.29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8.15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color w:val="0000FF"/>
                <w:sz w:val="22"/>
              </w:rPr>
            </w:pPr>
            <w:r>
              <w:rPr>
                <w:color w:val="0000FF"/>
                <w:sz w:val="22"/>
              </w:rPr>
              <w:t>6.48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1557" w:type="dxa"/>
            <w:vMerge w:val="continue"/>
          </w:tcPr>
          <w:p>
            <w:pPr>
              <w:jc w:val="right"/>
            </w:pPr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exp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8.67</w:t>
            </w:r>
          </w:p>
        </w:tc>
        <w:tc>
          <w:tcPr>
            <w:tcW w:w="2250" w:type="dxa"/>
            <w:vAlign w:val="bottom"/>
          </w:tcPr>
          <w:p>
            <w:pPr>
              <w:jc w:val="right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6.48</w:t>
            </w:r>
          </w:p>
        </w:tc>
      </w:tr>
    </w:tbl>
    <w:p/>
    <w:p>
      <w:r>
        <w:rPr>
          <w:rFonts w:hint="eastAsia"/>
        </w:rPr>
        <w:t>通过固定增量步，来看初始损伤时的载荷</w:t>
      </w:r>
    </w:p>
    <w:p/>
    <w:p>
      <w:pPr>
        <w:outlineLvl w:val="0"/>
      </w:pPr>
      <w:r>
        <w:rPr>
          <w:rFonts w:hint="eastAsia"/>
          <w:b/>
          <w:bCs/>
          <w:sz w:val="24"/>
          <w:szCs w:val="28"/>
        </w:rPr>
        <w:t>剪切非线性：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60_0.5_60和60_2.5_60相比，从位移载荷曲线上来看，60_0.5_60更加符合试验，60_2.5_60失效太早，而且比较乱。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试验90_0.5_60,90_2.5_60,</w:t>
      </w: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由于计算的太慢（增量步间隔太小），4000步都算不完，所以把密度从0.001增至1.。</w:t>
      </w:r>
    </w:p>
    <w:p/>
    <w:p>
      <w:r>
        <w:rPr>
          <w:rFonts w:hint="eastAsia"/>
        </w:rPr>
        <w:t>计算0°铺层的层合板，发现位移载荷曲线符合试验，而失效图被剪切非线性破坏了，怀疑是N取小了，当N取到6时，0°铺层失效图变正常，但是45°。。。。。。。。。，而且N最好从试验数据获得。。。。。。。。。</w:t>
      </w:r>
    </w:p>
    <w:p/>
    <w:p/>
    <w:p>
      <w:pPr>
        <w:tabs>
          <w:tab w:val="left" w:pos="8244"/>
        </w:tabs>
        <w:outlineLvl w:val="0"/>
      </w:pPr>
      <w:r>
        <w:rPr>
          <w:rFonts w:hint="eastAsia"/>
          <w:b/>
          <w:bCs/>
          <w:sz w:val="24"/>
          <w:szCs w:val="28"/>
        </w:rPr>
        <w:t>应力集中因子：</w:t>
      </w:r>
      <w:r>
        <w:rPr>
          <w:b/>
          <w:bCs/>
          <w:sz w:val="24"/>
          <w:szCs w:val="28"/>
        </w:rPr>
        <w:tab/>
      </w:r>
    </w:p>
    <w:p/>
    <w:p/>
    <w:p>
      <w:pPr>
        <w:outlineLvl w:val="0"/>
      </w:pPr>
      <w:bookmarkStart w:id="20" w:name="OLE_LINK2"/>
      <w:r>
        <w:rPr>
          <w:rFonts w:hint="eastAsia"/>
          <w:b/>
          <w:bCs/>
          <w:sz w:val="24"/>
          <w:szCs w:val="28"/>
        </w:rPr>
        <w:t>cohensive单元：</w:t>
      </w:r>
    </w:p>
    <w:bookmarkEnd w:id="20"/>
    <w:p>
      <w:pPr>
        <w:rPr>
          <w:b/>
          <w:bCs/>
          <w:sz w:val="32"/>
          <w:szCs w:val="36"/>
        </w:rPr>
      </w:pPr>
    </w:p>
    <w:p>
      <w:pPr>
        <w:outlineLvl w:val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网格划分：</w:t>
      </w: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908050</wp:posOffset>
            </wp:positionH>
            <wp:positionV relativeFrom="paragraph">
              <wp:posOffset>83820</wp:posOffset>
            </wp:positionV>
            <wp:extent cx="4695190" cy="3141980"/>
            <wp:effectExtent l="0" t="0" r="10160" b="1270"/>
            <wp:wrapNone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314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pict>
          <v:shape id="_x0000_s1030" o:spid="_x0000_s1030" o:spt="75" type="#_x0000_t75" style="position:absolute;left:0pt;margin-left:260.25pt;margin-top:11.8pt;height:13pt;width:10pt;z-index:251671552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51" o:title=""/>
            <o:lock v:ext="edit" aspectratio="t"/>
          </v:shape>
          <o:OLEObject Type="Embed" ProgID="Equation.3" ShapeID="_x0000_s1030" DrawAspect="Content" ObjectID="_1468075729" r:id="rId50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29" o:spid="_x0000_s1029" o:spt="75" type="#_x0000_t75" style="position:absolute;left:0pt;margin-left:102pt;margin-top:8.2pt;height:13pt;width:10pt;z-index:251669504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53" o:title=""/>
            <o:lock v:ext="edit" aspectratio="t"/>
          </v:shape>
          <o:OLEObject Type="Embed" ProgID="Equation.3" ShapeID="_x0000_s1029" DrawAspect="Content" ObjectID="_1468075730" r:id="rId52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28" o:spid="_x0000_s1028" o:spt="75" type="#_x0000_t75" style="position:absolute;left:0pt;margin-left:171.75pt;margin-top:8.95pt;height:13.95pt;width:37pt;z-index:251665408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55" o:title=""/>
            <o:lock v:ext="edit" aspectratio="t"/>
          </v:shape>
          <o:OLEObject Type="Embed" ProgID="Equation.3" ShapeID="_x0000_s1028" DrawAspect="Content" ObjectID="_1468075731" r:id="rId54">
            <o:LockedField>false</o:LockedField>
          </o:OLEObject>
        </w:pict>
      </w: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pict>
          <v:shape id="_x0000_s1031" o:spid="_x0000_s1031" o:spt="75" type="#_x0000_t75" style="position:absolute;left:0pt;margin-left:188.25pt;margin-top:9.1pt;height:13.95pt;width:15pt;z-index:251673600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57" o:title=""/>
            <o:lock v:ext="edit" aspectratio="t"/>
          </v:shape>
          <o:OLEObject Type="Embed" ProgID="Equation.3" ShapeID="_x0000_s1031" DrawAspect="Content" ObjectID="_1468075732" r:id="rId56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27" o:spid="_x0000_s1027" o:spt="75" type="#_x0000_t75" style="position:absolute;left:0pt;margin-left:132pt;margin-top:7.6pt;height:13.95pt;width:9pt;z-index:251661312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59" o:title=""/>
            <o:lock v:ext="edit" aspectratio="t"/>
          </v:shape>
          <o:OLEObject Type="Embed" ProgID="Equation.3" ShapeID="_x0000_s1027" DrawAspect="Content" ObjectID="_1468075733" r:id="rId58">
            <o:LockedField>false</o:LockedField>
          </o:OLEObject>
        </w:pict>
      </w:r>
    </w:p>
    <w:p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pict>
          <v:shape id="_x0000_s1032" o:spid="_x0000_s1032" o:spt="75" type="#_x0000_t75" style="position:absolute;left:0pt;margin-left:199.5pt;margin-top:11.65pt;height:13.95pt;width:15pt;z-index:251689984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61" o:title=""/>
            <o:lock v:ext="edit" aspectratio="t"/>
          </v:shape>
          <o:OLEObject Type="Embed" ProgID="Equation.3" ShapeID="_x0000_s1032" DrawAspect="Content" ObjectID="_1468075734" r:id="rId60">
            <o:LockedField>false</o:LockedField>
          </o:OLEObject>
        </w:pict>
      </w:r>
    </w:p>
    <w:p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pict>
          <v:shape id="_x0000_s1035" o:spid="_x0000_s1035" o:spt="75" type="#_x0000_t75" style="position:absolute;left:0pt;margin-left:231.75pt;margin-top:11.95pt;height:13pt;width:16pt;z-index:251788288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63" o:title=""/>
            <o:lock v:ext="edit" aspectratio="t"/>
          </v:shape>
          <o:OLEObject Type="Embed" ProgID="Equation.3" ShapeID="_x0000_s1035" DrawAspect="Content" ObjectID="_1468075735" r:id="rId62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33" o:spid="_x0000_s1033" o:spt="75" type="#_x0000_t75" style="position:absolute;left:0pt;margin-left:194.25pt;margin-top:10.45pt;height:13.95pt;width:15pt;z-index:251722752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65" o:title=""/>
            <o:lock v:ext="edit" aspectratio="t"/>
          </v:shape>
          <o:OLEObject Type="Embed" ProgID="Equation.3" ShapeID="_x0000_s1033" DrawAspect="Content" ObjectID="_1468075736" r:id="rId64">
            <o:LockedField>false</o:LockedField>
          </o:OLEObject>
        </w:pict>
      </w:r>
    </w:p>
    <w:p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pict>
          <v:shape id="_x0000_s1034" o:spid="_x0000_s1034" o:spt="75" type="#_x0000_t75" style="position:absolute;left:0pt;margin-left:198.75pt;margin-top:9.1pt;height:13.95pt;width:16pt;z-index:251755520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67" o:title=""/>
            <o:lock v:ext="edit" aspectratio="t"/>
          </v:shape>
          <o:OLEObject Type="Embed" ProgID="Equation.3" ShapeID="_x0000_s1034" DrawAspect="Content" ObjectID="_1468075737" r:id="rId66">
            <o:LockedField>false</o:LockedField>
          </o:OLEObject>
        </w:pict>
      </w:r>
    </w:p>
    <w:p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pict>
          <v:shape id="_x0000_s1026" o:spid="_x0000_s1026" o:spt="75" type="#_x0000_t75" style="position:absolute;left:0pt;margin-left:147.75pt;margin-top:0.55pt;height:13pt;width:10pt;z-index:251659264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51" o:title=""/>
            <o:lock v:ext="edit" aspectratio="t"/>
          </v:shape>
          <o:OLEObject Type="Embed" ProgID="Equation.3" ShapeID="_x0000_s1026" DrawAspect="Content" ObjectID="_1468075738" r:id="rId68">
            <o:LockedField>false</o:LockedField>
          </o:OLEObject>
        </w:pict>
      </w:r>
    </w:p>
    <w:p>
      <w:pPr>
        <w:outlineLvl w:val="0"/>
        <w:rPr>
          <w:b/>
          <w:bCs/>
          <w:sz w:val="24"/>
          <w:szCs w:val="28"/>
        </w:rPr>
      </w:pP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</w:p>
    <w:p>
      <w:pPr>
        <w:jc w:val="center"/>
        <w:rPr>
          <w:b/>
          <w:bCs/>
          <w:sz w:val="32"/>
          <w:szCs w:val="36"/>
        </w:rPr>
      </w:pPr>
      <w:r>
        <w:rPr>
          <w:b/>
          <w:bCs/>
          <w:position w:val="-4"/>
          <w:sz w:val="32"/>
          <w:szCs w:val="36"/>
        </w:rPr>
        <w:pict>
          <v:shape id="_x0000_s1042" o:spid="_x0000_s1042" o:spt="75" type="#_x0000_t75" style="position:absolute;left:0pt;margin-left:187.5pt;margin-top:78.7pt;height:13.95pt;width:15pt;z-index:25423769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70" o:title=""/>
            <o:lock v:ext="edit" aspectratio="t"/>
          </v:shape>
          <o:OLEObject Type="Embed" ProgID="Equation.3" ShapeID="_x0000_s1042" DrawAspect="Content" ObjectID="_1468075739" r:id="rId69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3" o:spid="_x0000_s1043" o:spt="75" type="#_x0000_t75" style="position:absolute;left:0pt;margin-left:194.25pt;margin-top:96.7pt;height:13.95pt;width:15pt;z-index:25552793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72" o:title=""/>
            <o:lock v:ext="edit" aspectratio="t"/>
          </v:shape>
          <o:OLEObject Type="Embed" ProgID="Equation.3" ShapeID="_x0000_s1043" DrawAspect="Content" ObjectID="_1468075740" r:id="rId71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1" o:spid="_x0000_s1041" o:spt="75" type="#_x0000_t75" style="position:absolute;left:0pt;margin-left:171pt;margin-top:67.3pt;height:13.95pt;width:16pt;z-index:25294745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74" o:title=""/>
            <o:lock v:ext="edit" aspectratio="t"/>
          </v:shape>
          <o:OLEObject Type="Embed" ProgID="Equation.3" ShapeID="_x0000_s1041" DrawAspect="Content" ObjectID="_1468075741" r:id="rId73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0" o:spid="_x0000_s1040" o:spt="75" type="#_x0000_t75" style="position:absolute;left:0pt;margin-left:266.25pt;margin-top:18.55pt;height:13pt;width:10pt;z-index:25266073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76" o:title=""/>
            <o:lock v:ext="edit" aspectratio="t"/>
          </v:shape>
          <o:OLEObject Type="Embed" ProgID="Equation.3" ShapeID="_x0000_s1040" DrawAspect="Content" ObjectID="_1468075742" r:id="rId75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39" o:spid="_x0000_s1039" o:spt="75" type="#_x0000_t75" style="position:absolute;left:0pt;margin-left:141.75pt;margin-top:121.3pt;height:13pt;width:10pt;z-index:25237401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78" o:title=""/>
            <o:lock v:ext="edit" aspectratio="t"/>
          </v:shape>
          <o:OLEObject Type="Embed" ProgID="Equation.3" ShapeID="_x0000_s1039" DrawAspect="Content" ObjectID="_1468075743" r:id="rId77">
            <o:LockedField>false</o:LockedField>
          </o:OLEObject>
        </w:pict>
      </w:r>
      <w:r>
        <w:drawing>
          <wp:inline distT="0" distB="0" distL="114300" distR="114300">
            <wp:extent cx="4824095" cy="3240405"/>
            <wp:effectExtent l="0" t="0" r="14605" b="1714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position w:val="-4"/>
          <w:sz w:val="32"/>
          <w:szCs w:val="36"/>
        </w:rPr>
        <w:pict>
          <v:shape id="_x0000_s1038" o:spid="_x0000_s1038" o:spt="75" type="#_x0000_t75" style="position:absolute;left:0pt;margin-left:169.5pt;margin-top:15.4pt;height:13.95pt;width:37pt;z-index:25208729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81" o:title=""/>
            <o:lock v:ext="edit" aspectratio="t"/>
          </v:shape>
          <o:OLEObject Type="Embed" ProgID="Equation.3" ShapeID="_x0000_s1038" DrawAspect="Content" ObjectID="_1468075744" r:id="rId80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37" o:spid="_x0000_s1037" o:spt="75" type="#_x0000_t75" style="position:absolute;left:0pt;margin-left:114.75pt;margin-top:58.9pt;height:13.95pt;width:9pt;z-index:25194393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83" o:title=""/>
            <o:lock v:ext="edit" aspectratio="t"/>
          </v:shape>
          <o:OLEObject Type="Embed" ProgID="Equation.3" ShapeID="_x0000_s1037" DrawAspect="Content" ObjectID="_1468075745" r:id="rId82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36" o:spid="_x0000_s1036" o:spt="75" type="#_x0000_t75" style="position:absolute;left:0pt;margin-left:94.5pt;margin-top:16.75pt;height:13pt;width:10pt;z-index:25180057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53" o:title=""/>
            <o:lock v:ext="edit" aspectratio="t"/>
          </v:shape>
          <o:OLEObject Type="Embed" ProgID="Equation.3" ShapeID="_x0000_s1036" DrawAspect="Content" ObjectID="_1468075746" r:id="rId84">
            <o:LockedField>false</o:LockedField>
          </o:OLEObject>
        </w:pict>
      </w:r>
    </w:p>
    <w:p>
      <w:pPr>
        <w:rPr>
          <w:b/>
          <w:bCs/>
          <w:sz w:val="32"/>
          <w:szCs w:val="36"/>
        </w:rPr>
      </w:pPr>
      <w:r>
        <w:rPr>
          <w:b/>
          <w:bCs/>
          <w:position w:val="-4"/>
          <w:sz w:val="32"/>
          <w:szCs w:val="36"/>
        </w:rPr>
        <w:pict>
          <v:shape id="_x0000_s1052" o:spid="_x0000_s1052" o:spt="75" type="#_x0000_t75" style="position:absolute;left:0pt;margin-left:221.25pt;margin-top:87.85pt;height:13.95pt;width:13.95pt;z-index:29036441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86" o:title=""/>
            <o:lock v:ext="edit" aspectratio="t"/>
          </v:shape>
          <o:OLEObject Type="Embed" ProgID="Equation.3" ShapeID="_x0000_s1052" DrawAspect="Content" ObjectID="_1468075747" r:id="rId85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51" o:spid="_x0000_s1051" o:spt="75" type="#_x0000_t75" style="position:absolute;left:0pt;margin-left:202.5pt;margin-top:79.6pt;height:13.95pt;width:15pt;z-index:27746201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88" o:title=""/>
            <o:lock v:ext="edit" aspectratio="t"/>
          </v:shape>
          <o:OLEObject Type="Embed" ProgID="Equation.3" ShapeID="_x0000_s1051" DrawAspect="Content" ObjectID="_1468075748" r:id="rId87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50" o:spid="_x0000_s1050" o:spt="75" type="#_x0000_t75" style="position:absolute;left:0pt;margin-left:183pt;margin-top:77.2pt;height:13.95pt;width:15pt;z-index:26455961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72" o:title=""/>
            <o:lock v:ext="edit" aspectratio="t"/>
          </v:shape>
          <o:OLEObject Type="Embed" ProgID="Equation.3" ShapeID="_x0000_s1050" DrawAspect="Content" ObjectID="_1468075749" r:id="rId89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9" o:spid="_x0000_s1049" o:spt="75" type="#_x0000_t75" style="position:absolute;left:0pt;margin-left:160.5pt;margin-top:68.2pt;height:13.95pt;width:15pt;z-index:26068889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70" o:title=""/>
            <o:lock v:ext="edit" aspectratio="t"/>
          </v:shape>
          <o:OLEObject Type="Embed" ProgID="Equation.3" ShapeID="_x0000_s1049" DrawAspect="Content" ObjectID="_1468075750" r:id="rId90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8" o:spid="_x0000_s1048" o:spt="75" type="#_x0000_t75" style="position:absolute;left:0pt;margin-left:90pt;margin-top:147.55pt;height:13pt;width:10pt;z-index:25810841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78" o:title=""/>
            <o:lock v:ext="edit" aspectratio="t"/>
          </v:shape>
          <o:OLEObject Type="Embed" ProgID="Equation.3" ShapeID="_x0000_s1048" DrawAspect="Content" ObjectID="_1468075751" r:id="rId91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7" o:spid="_x0000_s1047" o:spt="75" type="#_x0000_t75" style="position:absolute;left:0pt;margin-left:238.5pt;margin-top:41.05pt;height:13pt;width:10pt;z-index:25739161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76" o:title=""/>
            <o:lock v:ext="edit" aspectratio="t"/>
          </v:shape>
          <o:OLEObject Type="Embed" ProgID="Equation.3" ShapeID="_x0000_s1047" DrawAspect="Content" ObjectID="_1468075752" r:id="rId92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6" o:spid="_x0000_s1046" o:spt="75" type="#_x0000_t75" style="position:absolute;left:0pt;margin-left:125.25pt;margin-top:23.65pt;height:13.95pt;width:37pt;z-index:25638809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81" o:title=""/>
            <o:lock v:ext="edit" aspectratio="t"/>
          </v:shape>
          <o:OLEObject Type="Embed" ProgID="Equation.3" ShapeID="_x0000_s1046" DrawAspect="Content" ObjectID="_1468075753" r:id="rId93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5" o:spid="_x0000_s1045" o:spt="75" type="#_x0000_t75" style="position:absolute;left:0pt;margin-left:79.5pt;margin-top:82.9pt;height:13.95pt;width:9pt;z-index:25595801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83" o:title=""/>
            <o:lock v:ext="edit" aspectratio="t"/>
          </v:shape>
          <o:OLEObject Type="Embed" ProgID="Equation.3" ShapeID="_x0000_s1045" DrawAspect="Content" ObjectID="_1468075754" r:id="rId94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4" o:spid="_x0000_s1044" o:spt="75" type="#_x0000_t75" style="position:absolute;left:0pt;margin-left:33pt;margin-top:25.75pt;height:13pt;width:10pt;z-index:25567129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53" o:title=""/>
            <o:lock v:ext="edit" aspectratio="t"/>
          </v:shape>
          <o:OLEObject Type="Embed" ProgID="Equation.3" ShapeID="_x0000_s1044" DrawAspect="Content" ObjectID="_1468075755" r:id="rId95">
            <o:LockedField>false</o:LockedField>
          </o:OLEObject>
        </w:pict>
      </w:r>
      <w:r>
        <w:drawing>
          <wp:inline distT="0" distB="0" distL="114300" distR="114300">
            <wp:extent cx="5866765" cy="3980815"/>
            <wp:effectExtent l="0" t="0" r="635" b="63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398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铺层和开孔大小</w:t>
      </w:r>
    </w:p>
    <w:p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材料参数，密度，lin vs exp, 剪切非线性考虑N</w:t>
      </w:r>
    </w:p>
    <w:p/>
    <w:p/>
    <w:p/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D37122"/>
    <w:multiLevelType w:val="multilevel"/>
    <w:tmpl w:val="0AD37122"/>
    <w:lvl w:ilvl="0" w:tentative="0">
      <w:start w:val="1"/>
      <w:numFmt w:val="decimal"/>
      <w:lvlText w:val="%1、"/>
      <w:lvlJc w:val="left"/>
      <w:pPr>
        <w:ind w:left="85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35" w:hanging="420"/>
      </w:pPr>
    </w:lvl>
    <w:lvl w:ilvl="2" w:tentative="0">
      <w:start w:val="1"/>
      <w:numFmt w:val="lowerRoman"/>
      <w:lvlText w:val="%3."/>
      <w:lvlJc w:val="right"/>
      <w:pPr>
        <w:ind w:left="1755" w:hanging="420"/>
      </w:pPr>
    </w:lvl>
    <w:lvl w:ilvl="3" w:tentative="0">
      <w:start w:val="1"/>
      <w:numFmt w:val="decimal"/>
      <w:lvlText w:val="%4."/>
      <w:lvlJc w:val="left"/>
      <w:pPr>
        <w:ind w:left="2175" w:hanging="420"/>
      </w:pPr>
    </w:lvl>
    <w:lvl w:ilvl="4" w:tentative="0">
      <w:start w:val="1"/>
      <w:numFmt w:val="lowerLetter"/>
      <w:lvlText w:val="%5)"/>
      <w:lvlJc w:val="left"/>
      <w:pPr>
        <w:ind w:left="2595" w:hanging="420"/>
      </w:pPr>
    </w:lvl>
    <w:lvl w:ilvl="5" w:tentative="0">
      <w:start w:val="1"/>
      <w:numFmt w:val="lowerRoman"/>
      <w:lvlText w:val="%6."/>
      <w:lvlJc w:val="right"/>
      <w:pPr>
        <w:ind w:left="3015" w:hanging="420"/>
      </w:pPr>
    </w:lvl>
    <w:lvl w:ilvl="6" w:tentative="0">
      <w:start w:val="1"/>
      <w:numFmt w:val="decimal"/>
      <w:lvlText w:val="%7."/>
      <w:lvlJc w:val="left"/>
      <w:pPr>
        <w:ind w:left="3435" w:hanging="420"/>
      </w:pPr>
    </w:lvl>
    <w:lvl w:ilvl="7" w:tentative="0">
      <w:start w:val="1"/>
      <w:numFmt w:val="lowerLetter"/>
      <w:lvlText w:val="%8)"/>
      <w:lvlJc w:val="left"/>
      <w:pPr>
        <w:ind w:left="3855" w:hanging="420"/>
      </w:pPr>
    </w:lvl>
    <w:lvl w:ilvl="8" w:tentative="0">
      <w:start w:val="1"/>
      <w:numFmt w:val="lowerRoman"/>
      <w:lvlText w:val="%9."/>
      <w:lvlJc w:val="right"/>
      <w:pPr>
        <w:ind w:left="4275" w:hanging="420"/>
      </w:pPr>
    </w:lvl>
  </w:abstractNum>
  <w:abstractNum w:abstractNumId="1">
    <w:nsid w:val="2BC968C2"/>
    <w:multiLevelType w:val="multilevel"/>
    <w:tmpl w:val="2BC968C2"/>
    <w:lvl w:ilvl="0" w:tentative="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9517C57"/>
    <w:multiLevelType w:val="multilevel"/>
    <w:tmpl w:val="49517C57"/>
    <w:lvl w:ilvl="0" w:tentative="0">
      <w:start w:val="1"/>
      <w:numFmt w:val="decimal"/>
      <w:lvlText w:val="%1、"/>
      <w:lvlJc w:val="left"/>
      <w:pPr>
        <w:ind w:left="85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35" w:hanging="420"/>
      </w:pPr>
    </w:lvl>
    <w:lvl w:ilvl="2" w:tentative="0">
      <w:start w:val="1"/>
      <w:numFmt w:val="lowerRoman"/>
      <w:lvlText w:val="%3."/>
      <w:lvlJc w:val="right"/>
      <w:pPr>
        <w:ind w:left="1755" w:hanging="420"/>
      </w:pPr>
    </w:lvl>
    <w:lvl w:ilvl="3" w:tentative="0">
      <w:start w:val="1"/>
      <w:numFmt w:val="decimal"/>
      <w:lvlText w:val="%4."/>
      <w:lvlJc w:val="left"/>
      <w:pPr>
        <w:ind w:left="2175" w:hanging="420"/>
      </w:pPr>
    </w:lvl>
    <w:lvl w:ilvl="4" w:tentative="0">
      <w:start w:val="1"/>
      <w:numFmt w:val="lowerLetter"/>
      <w:lvlText w:val="%5)"/>
      <w:lvlJc w:val="left"/>
      <w:pPr>
        <w:ind w:left="2595" w:hanging="420"/>
      </w:pPr>
    </w:lvl>
    <w:lvl w:ilvl="5" w:tentative="0">
      <w:start w:val="1"/>
      <w:numFmt w:val="lowerRoman"/>
      <w:lvlText w:val="%6."/>
      <w:lvlJc w:val="right"/>
      <w:pPr>
        <w:ind w:left="3015" w:hanging="420"/>
      </w:pPr>
    </w:lvl>
    <w:lvl w:ilvl="6" w:tentative="0">
      <w:start w:val="1"/>
      <w:numFmt w:val="decimal"/>
      <w:lvlText w:val="%7."/>
      <w:lvlJc w:val="left"/>
      <w:pPr>
        <w:ind w:left="3435" w:hanging="420"/>
      </w:pPr>
    </w:lvl>
    <w:lvl w:ilvl="7" w:tentative="0">
      <w:start w:val="1"/>
      <w:numFmt w:val="lowerLetter"/>
      <w:lvlText w:val="%8)"/>
      <w:lvlJc w:val="left"/>
      <w:pPr>
        <w:ind w:left="3855" w:hanging="420"/>
      </w:pPr>
    </w:lvl>
    <w:lvl w:ilvl="8" w:tentative="0">
      <w:start w:val="1"/>
      <w:numFmt w:val="lowerRoman"/>
      <w:lvlText w:val="%9."/>
      <w:lvlJc w:val="right"/>
      <w:pPr>
        <w:ind w:left="4275" w:hanging="420"/>
      </w:pPr>
    </w:lvl>
  </w:abstractNum>
  <w:abstractNum w:abstractNumId="3">
    <w:nsid w:val="60CD6E7F"/>
    <w:multiLevelType w:val="multilevel"/>
    <w:tmpl w:val="60CD6E7F"/>
    <w:lvl w:ilvl="0" w:tentative="0">
      <w:start w:val="3"/>
      <w:numFmt w:val="decimal"/>
      <w:lvlText w:val="%1、"/>
      <w:lvlJc w:val="left"/>
      <w:pPr>
        <w:ind w:left="121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95" w:hanging="420"/>
      </w:pPr>
    </w:lvl>
    <w:lvl w:ilvl="2" w:tentative="0">
      <w:start w:val="1"/>
      <w:numFmt w:val="lowerRoman"/>
      <w:lvlText w:val="%3."/>
      <w:lvlJc w:val="right"/>
      <w:pPr>
        <w:ind w:left="2115" w:hanging="420"/>
      </w:pPr>
    </w:lvl>
    <w:lvl w:ilvl="3" w:tentative="0">
      <w:start w:val="1"/>
      <w:numFmt w:val="decimal"/>
      <w:lvlText w:val="%4."/>
      <w:lvlJc w:val="left"/>
      <w:pPr>
        <w:ind w:left="2535" w:hanging="420"/>
      </w:pPr>
    </w:lvl>
    <w:lvl w:ilvl="4" w:tentative="0">
      <w:start w:val="1"/>
      <w:numFmt w:val="lowerLetter"/>
      <w:lvlText w:val="%5)"/>
      <w:lvlJc w:val="left"/>
      <w:pPr>
        <w:ind w:left="2955" w:hanging="420"/>
      </w:pPr>
    </w:lvl>
    <w:lvl w:ilvl="5" w:tentative="0">
      <w:start w:val="1"/>
      <w:numFmt w:val="lowerRoman"/>
      <w:lvlText w:val="%6."/>
      <w:lvlJc w:val="right"/>
      <w:pPr>
        <w:ind w:left="3375" w:hanging="420"/>
      </w:pPr>
    </w:lvl>
    <w:lvl w:ilvl="6" w:tentative="0">
      <w:start w:val="1"/>
      <w:numFmt w:val="decimal"/>
      <w:lvlText w:val="%7."/>
      <w:lvlJc w:val="left"/>
      <w:pPr>
        <w:ind w:left="3795" w:hanging="420"/>
      </w:pPr>
    </w:lvl>
    <w:lvl w:ilvl="7" w:tentative="0">
      <w:start w:val="1"/>
      <w:numFmt w:val="lowerLetter"/>
      <w:lvlText w:val="%8)"/>
      <w:lvlJc w:val="left"/>
      <w:pPr>
        <w:ind w:left="4215" w:hanging="420"/>
      </w:pPr>
    </w:lvl>
    <w:lvl w:ilvl="8" w:tentative="0">
      <w:start w:val="1"/>
      <w:numFmt w:val="lowerRoman"/>
      <w:lvlText w:val="%9."/>
      <w:lvlJc w:val="right"/>
      <w:pPr>
        <w:ind w:left="4635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E8C"/>
    <w:rsid w:val="00011415"/>
    <w:rsid w:val="0001197B"/>
    <w:rsid w:val="0003542A"/>
    <w:rsid w:val="00036C9A"/>
    <w:rsid w:val="000445F4"/>
    <w:rsid w:val="00045617"/>
    <w:rsid w:val="000C4355"/>
    <w:rsid w:val="000C5EE1"/>
    <w:rsid w:val="00105A33"/>
    <w:rsid w:val="00114630"/>
    <w:rsid w:val="00125137"/>
    <w:rsid w:val="00145BA7"/>
    <w:rsid w:val="00151CEF"/>
    <w:rsid w:val="00172A27"/>
    <w:rsid w:val="00177C33"/>
    <w:rsid w:val="0019716E"/>
    <w:rsid w:val="001A3F3B"/>
    <w:rsid w:val="001C52D6"/>
    <w:rsid w:val="001E4683"/>
    <w:rsid w:val="001E6A18"/>
    <w:rsid w:val="001F1A89"/>
    <w:rsid w:val="00251C15"/>
    <w:rsid w:val="0025219F"/>
    <w:rsid w:val="002917C4"/>
    <w:rsid w:val="002A1253"/>
    <w:rsid w:val="002A7AFA"/>
    <w:rsid w:val="002B5AF6"/>
    <w:rsid w:val="002D224B"/>
    <w:rsid w:val="002F6E45"/>
    <w:rsid w:val="00321071"/>
    <w:rsid w:val="00355D32"/>
    <w:rsid w:val="00377491"/>
    <w:rsid w:val="00380FFC"/>
    <w:rsid w:val="003A4554"/>
    <w:rsid w:val="003C2016"/>
    <w:rsid w:val="003D23DA"/>
    <w:rsid w:val="00400B0C"/>
    <w:rsid w:val="0040753F"/>
    <w:rsid w:val="004366B2"/>
    <w:rsid w:val="00445E93"/>
    <w:rsid w:val="004513D8"/>
    <w:rsid w:val="004A23CA"/>
    <w:rsid w:val="004A39F8"/>
    <w:rsid w:val="004A64C6"/>
    <w:rsid w:val="004B53EF"/>
    <w:rsid w:val="004B65C6"/>
    <w:rsid w:val="004B7C78"/>
    <w:rsid w:val="004F0AC0"/>
    <w:rsid w:val="004F7EAC"/>
    <w:rsid w:val="00524A15"/>
    <w:rsid w:val="0053523A"/>
    <w:rsid w:val="00540CD3"/>
    <w:rsid w:val="005552BE"/>
    <w:rsid w:val="0057314A"/>
    <w:rsid w:val="005832B7"/>
    <w:rsid w:val="00587ABC"/>
    <w:rsid w:val="00593EEA"/>
    <w:rsid w:val="005E5A9D"/>
    <w:rsid w:val="005E658F"/>
    <w:rsid w:val="00601C6E"/>
    <w:rsid w:val="00606F5D"/>
    <w:rsid w:val="006078BF"/>
    <w:rsid w:val="00614211"/>
    <w:rsid w:val="0061643A"/>
    <w:rsid w:val="00647305"/>
    <w:rsid w:val="00654680"/>
    <w:rsid w:val="00675380"/>
    <w:rsid w:val="00693AD5"/>
    <w:rsid w:val="00695D92"/>
    <w:rsid w:val="00710B27"/>
    <w:rsid w:val="00711824"/>
    <w:rsid w:val="0071183E"/>
    <w:rsid w:val="00724BF3"/>
    <w:rsid w:val="00736335"/>
    <w:rsid w:val="00743394"/>
    <w:rsid w:val="00744EF7"/>
    <w:rsid w:val="007545F0"/>
    <w:rsid w:val="007603D5"/>
    <w:rsid w:val="00763219"/>
    <w:rsid w:val="00763B66"/>
    <w:rsid w:val="007A03EB"/>
    <w:rsid w:val="007A4DE7"/>
    <w:rsid w:val="007A76A1"/>
    <w:rsid w:val="007B1783"/>
    <w:rsid w:val="007C3D55"/>
    <w:rsid w:val="007F5D62"/>
    <w:rsid w:val="008201C2"/>
    <w:rsid w:val="00834396"/>
    <w:rsid w:val="008841D5"/>
    <w:rsid w:val="00894074"/>
    <w:rsid w:val="008A3ACA"/>
    <w:rsid w:val="008B11B4"/>
    <w:rsid w:val="008B781F"/>
    <w:rsid w:val="008D1C17"/>
    <w:rsid w:val="00900977"/>
    <w:rsid w:val="00904263"/>
    <w:rsid w:val="00907A99"/>
    <w:rsid w:val="00923A89"/>
    <w:rsid w:val="0096595F"/>
    <w:rsid w:val="00966CB1"/>
    <w:rsid w:val="00971B6D"/>
    <w:rsid w:val="00983A0D"/>
    <w:rsid w:val="00994E16"/>
    <w:rsid w:val="009B74BB"/>
    <w:rsid w:val="009E4E42"/>
    <w:rsid w:val="00A04C31"/>
    <w:rsid w:val="00A219D5"/>
    <w:rsid w:val="00A26F56"/>
    <w:rsid w:val="00A3164C"/>
    <w:rsid w:val="00A424D0"/>
    <w:rsid w:val="00A519C1"/>
    <w:rsid w:val="00A66D91"/>
    <w:rsid w:val="00AA357A"/>
    <w:rsid w:val="00AA4E54"/>
    <w:rsid w:val="00AC2450"/>
    <w:rsid w:val="00AE5E41"/>
    <w:rsid w:val="00B156ED"/>
    <w:rsid w:val="00B23BC2"/>
    <w:rsid w:val="00B550BF"/>
    <w:rsid w:val="00B61534"/>
    <w:rsid w:val="00B65E28"/>
    <w:rsid w:val="00B8565E"/>
    <w:rsid w:val="00B90E95"/>
    <w:rsid w:val="00B91484"/>
    <w:rsid w:val="00BB123D"/>
    <w:rsid w:val="00BE3FD1"/>
    <w:rsid w:val="00C17808"/>
    <w:rsid w:val="00C21F8D"/>
    <w:rsid w:val="00C5280B"/>
    <w:rsid w:val="00C677A4"/>
    <w:rsid w:val="00C969E6"/>
    <w:rsid w:val="00CA0C8D"/>
    <w:rsid w:val="00CB0F08"/>
    <w:rsid w:val="00CB31B3"/>
    <w:rsid w:val="00CB477C"/>
    <w:rsid w:val="00CD4E12"/>
    <w:rsid w:val="00CE466A"/>
    <w:rsid w:val="00D4011E"/>
    <w:rsid w:val="00D46C1A"/>
    <w:rsid w:val="00D47891"/>
    <w:rsid w:val="00D55E2A"/>
    <w:rsid w:val="00D72B7B"/>
    <w:rsid w:val="00D773C6"/>
    <w:rsid w:val="00DB3CF6"/>
    <w:rsid w:val="00E07090"/>
    <w:rsid w:val="00E13A2D"/>
    <w:rsid w:val="00E14070"/>
    <w:rsid w:val="00E7448C"/>
    <w:rsid w:val="00E97C31"/>
    <w:rsid w:val="00EC1DE2"/>
    <w:rsid w:val="00EC26DB"/>
    <w:rsid w:val="00EC2CDE"/>
    <w:rsid w:val="00EE619B"/>
    <w:rsid w:val="00EF2E31"/>
    <w:rsid w:val="00EF7D26"/>
    <w:rsid w:val="00F04696"/>
    <w:rsid w:val="00F16660"/>
    <w:rsid w:val="00F23BAE"/>
    <w:rsid w:val="00F27F4C"/>
    <w:rsid w:val="00F4279B"/>
    <w:rsid w:val="00F44910"/>
    <w:rsid w:val="00F638F7"/>
    <w:rsid w:val="00F63BDE"/>
    <w:rsid w:val="00FD1E82"/>
    <w:rsid w:val="00FD39F9"/>
    <w:rsid w:val="00FD5A6B"/>
    <w:rsid w:val="00FE0519"/>
    <w:rsid w:val="00FE762A"/>
    <w:rsid w:val="00FF2507"/>
    <w:rsid w:val="00FF41DD"/>
    <w:rsid w:val="0172042E"/>
    <w:rsid w:val="01CB23E9"/>
    <w:rsid w:val="01DF6A01"/>
    <w:rsid w:val="024333B0"/>
    <w:rsid w:val="026F0ADA"/>
    <w:rsid w:val="02C811D0"/>
    <w:rsid w:val="03121E86"/>
    <w:rsid w:val="032E3CB0"/>
    <w:rsid w:val="03482EC3"/>
    <w:rsid w:val="03516F9F"/>
    <w:rsid w:val="036E6ACC"/>
    <w:rsid w:val="03D26AE8"/>
    <w:rsid w:val="03EE102B"/>
    <w:rsid w:val="04480F3E"/>
    <w:rsid w:val="0480007E"/>
    <w:rsid w:val="05090C27"/>
    <w:rsid w:val="054F641F"/>
    <w:rsid w:val="055A01DB"/>
    <w:rsid w:val="055B4F15"/>
    <w:rsid w:val="05BE3FE0"/>
    <w:rsid w:val="062A1E4E"/>
    <w:rsid w:val="0684298A"/>
    <w:rsid w:val="06893CD7"/>
    <w:rsid w:val="06FE5383"/>
    <w:rsid w:val="0710614A"/>
    <w:rsid w:val="078F08EB"/>
    <w:rsid w:val="07E874B2"/>
    <w:rsid w:val="08D9070B"/>
    <w:rsid w:val="09174702"/>
    <w:rsid w:val="092A05DB"/>
    <w:rsid w:val="096A25D8"/>
    <w:rsid w:val="097D546F"/>
    <w:rsid w:val="09DD1C2D"/>
    <w:rsid w:val="0A1A4DCB"/>
    <w:rsid w:val="0A232C61"/>
    <w:rsid w:val="0A6F2C61"/>
    <w:rsid w:val="0A7212B0"/>
    <w:rsid w:val="0A986DD3"/>
    <w:rsid w:val="0B7E4BB4"/>
    <w:rsid w:val="0BDC1117"/>
    <w:rsid w:val="0C1F0F97"/>
    <w:rsid w:val="0C256186"/>
    <w:rsid w:val="0C2825D0"/>
    <w:rsid w:val="0D3A3FF9"/>
    <w:rsid w:val="0D8B4BC7"/>
    <w:rsid w:val="0DC0012B"/>
    <w:rsid w:val="0DEC261B"/>
    <w:rsid w:val="0E4E73AC"/>
    <w:rsid w:val="0E9C0FF4"/>
    <w:rsid w:val="0EBE2BD4"/>
    <w:rsid w:val="0EBF6291"/>
    <w:rsid w:val="0F044F84"/>
    <w:rsid w:val="0F20488A"/>
    <w:rsid w:val="0F685945"/>
    <w:rsid w:val="0F784905"/>
    <w:rsid w:val="0FAC4228"/>
    <w:rsid w:val="0FB41768"/>
    <w:rsid w:val="0FEC2B29"/>
    <w:rsid w:val="108F3C2F"/>
    <w:rsid w:val="109E56C9"/>
    <w:rsid w:val="109F2F9A"/>
    <w:rsid w:val="10C267A4"/>
    <w:rsid w:val="10E457C2"/>
    <w:rsid w:val="10E87786"/>
    <w:rsid w:val="10F82779"/>
    <w:rsid w:val="114119C9"/>
    <w:rsid w:val="114B2A20"/>
    <w:rsid w:val="114E6C31"/>
    <w:rsid w:val="11635E77"/>
    <w:rsid w:val="11796FB5"/>
    <w:rsid w:val="11973504"/>
    <w:rsid w:val="11D43EEB"/>
    <w:rsid w:val="12014F17"/>
    <w:rsid w:val="12091A49"/>
    <w:rsid w:val="129C59D9"/>
    <w:rsid w:val="12A017CE"/>
    <w:rsid w:val="12B81497"/>
    <w:rsid w:val="12C6485B"/>
    <w:rsid w:val="13442538"/>
    <w:rsid w:val="14095AE1"/>
    <w:rsid w:val="14484130"/>
    <w:rsid w:val="14616FF8"/>
    <w:rsid w:val="14E729C6"/>
    <w:rsid w:val="152F3F0E"/>
    <w:rsid w:val="153B27F0"/>
    <w:rsid w:val="155C6115"/>
    <w:rsid w:val="15D514E8"/>
    <w:rsid w:val="167B6946"/>
    <w:rsid w:val="16AC0699"/>
    <w:rsid w:val="172C125F"/>
    <w:rsid w:val="179B54D5"/>
    <w:rsid w:val="17D26C6C"/>
    <w:rsid w:val="185C3FBB"/>
    <w:rsid w:val="186918E3"/>
    <w:rsid w:val="187B767A"/>
    <w:rsid w:val="18EB10A1"/>
    <w:rsid w:val="1908065B"/>
    <w:rsid w:val="19472C4B"/>
    <w:rsid w:val="19670D56"/>
    <w:rsid w:val="19847F3C"/>
    <w:rsid w:val="19B8481F"/>
    <w:rsid w:val="19EF7FDA"/>
    <w:rsid w:val="19F50FE6"/>
    <w:rsid w:val="1A140B10"/>
    <w:rsid w:val="1A3F0339"/>
    <w:rsid w:val="1A4271CF"/>
    <w:rsid w:val="1A6B4CA0"/>
    <w:rsid w:val="1AB55386"/>
    <w:rsid w:val="1B3D7C20"/>
    <w:rsid w:val="1B7674BF"/>
    <w:rsid w:val="1B991E45"/>
    <w:rsid w:val="1BA256EB"/>
    <w:rsid w:val="1BB51A51"/>
    <w:rsid w:val="1BC93391"/>
    <w:rsid w:val="1BDC44F4"/>
    <w:rsid w:val="1BEA0ADD"/>
    <w:rsid w:val="1BEF664D"/>
    <w:rsid w:val="1C0F3271"/>
    <w:rsid w:val="1C1B778A"/>
    <w:rsid w:val="1C612A19"/>
    <w:rsid w:val="1C736F12"/>
    <w:rsid w:val="1CA77C96"/>
    <w:rsid w:val="1D380D5F"/>
    <w:rsid w:val="1D3D137B"/>
    <w:rsid w:val="1D770AAF"/>
    <w:rsid w:val="1E2274E0"/>
    <w:rsid w:val="1E92060D"/>
    <w:rsid w:val="1EE73EFF"/>
    <w:rsid w:val="1F721387"/>
    <w:rsid w:val="1FB14881"/>
    <w:rsid w:val="1FF52342"/>
    <w:rsid w:val="204B31A3"/>
    <w:rsid w:val="20A40CAE"/>
    <w:rsid w:val="20DE2601"/>
    <w:rsid w:val="20F932B2"/>
    <w:rsid w:val="21272CB5"/>
    <w:rsid w:val="21643A09"/>
    <w:rsid w:val="21A633AD"/>
    <w:rsid w:val="21AC1F1E"/>
    <w:rsid w:val="21E86B6E"/>
    <w:rsid w:val="221C6A11"/>
    <w:rsid w:val="22447F5B"/>
    <w:rsid w:val="22554577"/>
    <w:rsid w:val="22AB20F1"/>
    <w:rsid w:val="23455095"/>
    <w:rsid w:val="239C0BBA"/>
    <w:rsid w:val="23AF12AB"/>
    <w:rsid w:val="2413161E"/>
    <w:rsid w:val="24262E30"/>
    <w:rsid w:val="24416575"/>
    <w:rsid w:val="24424667"/>
    <w:rsid w:val="245715D5"/>
    <w:rsid w:val="248561A5"/>
    <w:rsid w:val="249207AB"/>
    <w:rsid w:val="24A55856"/>
    <w:rsid w:val="25143EDA"/>
    <w:rsid w:val="252A3904"/>
    <w:rsid w:val="25DA2B46"/>
    <w:rsid w:val="25F24B28"/>
    <w:rsid w:val="26025B33"/>
    <w:rsid w:val="260F5425"/>
    <w:rsid w:val="262C4442"/>
    <w:rsid w:val="267B586C"/>
    <w:rsid w:val="26A32537"/>
    <w:rsid w:val="26C51C61"/>
    <w:rsid w:val="26E24D70"/>
    <w:rsid w:val="27397939"/>
    <w:rsid w:val="279C410C"/>
    <w:rsid w:val="27A61872"/>
    <w:rsid w:val="27AA7EF3"/>
    <w:rsid w:val="27B013E3"/>
    <w:rsid w:val="286D653C"/>
    <w:rsid w:val="28725480"/>
    <w:rsid w:val="28913F03"/>
    <w:rsid w:val="28A04F76"/>
    <w:rsid w:val="28D659FD"/>
    <w:rsid w:val="292D76DB"/>
    <w:rsid w:val="29586B30"/>
    <w:rsid w:val="29661F16"/>
    <w:rsid w:val="29B34D0C"/>
    <w:rsid w:val="2A421456"/>
    <w:rsid w:val="2A63473D"/>
    <w:rsid w:val="2A675560"/>
    <w:rsid w:val="2AAD0495"/>
    <w:rsid w:val="2AEC3080"/>
    <w:rsid w:val="2B094330"/>
    <w:rsid w:val="2B221D09"/>
    <w:rsid w:val="2B2E5887"/>
    <w:rsid w:val="2B4047B4"/>
    <w:rsid w:val="2B5557AA"/>
    <w:rsid w:val="2B587021"/>
    <w:rsid w:val="2B640976"/>
    <w:rsid w:val="2B805D2F"/>
    <w:rsid w:val="2B876B10"/>
    <w:rsid w:val="2B97688C"/>
    <w:rsid w:val="2BB532FD"/>
    <w:rsid w:val="2BB84D31"/>
    <w:rsid w:val="2BDD63DC"/>
    <w:rsid w:val="2C9877D6"/>
    <w:rsid w:val="2CD23EA1"/>
    <w:rsid w:val="2D8B5BC0"/>
    <w:rsid w:val="2DF6136E"/>
    <w:rsid w:val="2E38792A"/>
    <w:rsid w:val="2E6A4E08"/>
    <w:rsid w:val="2E8B4381"/>
    <w:rsid w:val="2EBB1967"/>
    <w:rsid w:val="2EC77644"/>
    <w:rsid w:val="2F1306E6"/>
    <w:rsid w:val="2F206CED"/>
    <w:rsid w:val="2FF512ED"/>
    <w:rsid w:val="3041266B"/>
    <w:rsid w:val="30CD497A"/>
    <w:rsid w:val="30D361B3"/>
    <w:rsid w:val="311D62FE"/>
    <w:rsid w:val="31C24263"/>
    <w:rsid w:val="32073AC4"/>
    <w:rsid w:val="32504309"/>
    <w:rsid w:val="3295665C"/>
    <w:rsid w:val="32A30720"/>
    <w:rsid w:val="33497974"/>
    <w:rsid w:val="33764A24"/>
    <w:rsid w:val="3378526A"/>
    <w:rsid w:val="3397705D"/>
    <w:rsid w:val="33E13BF2"/>
    <w:rsid w:val="342A761B"/>
    <w:rsid w:val="34722DD4"/>
    <w:rsid w:val="349E4E2E"/>
    <w:rsid w:val="34BF12A5"/>
    <w:rsid w:val="34F919FB"/>
    <w:rsid w:val="352D7F2E"/>
    <w:rsid w:val="35827398"/>
    <w:rsid w:val="35867F0F"/>
    <w:rsid w:val="358B6B96"/>
    <w:rsid w:val="3609390F"/>
    <w:rsid w:val="36177B0F"/>
    <w:rsid w:val="36274FFB"/>
    <w:rsid w:val="36C23C09"/>
    <w:rsid w:val="36EE622B"/>
    <w:rsid w:val="371B041A"/>
    <w:rsid w:val="372530A0"/>
    <w:rsid w:val="37345B80"/>
    <w:rsid w:val="380C5EEB"/>
    <w:rsid w:val="380D2259"/>
    <w:rsid w:val="3813154A"/>
    <w:rsid w:val="38774D20"/>
    <w:rsid w:val="389E7DB9"/>
    <w:rsid w:val="38BE712E"/>
    <w:rsid w:val="38FA475D"/>
    <w:rsid w:val="3965189D"/>
    <w:rsid w:val="39CE12B1"/>
    <w:rsid w:val="3A0600D9"/>
    <w:rsid w:val="3AFA1B97"/>
    <w:rsid w:val="3B2D3C89"/>
    <w:rsid w:val="3B334FBC"/>
    <w:rsid w:val="3B3C586C"/>
    <w:rsid w:val="3B69482B"/>
    <w:rsid w:val="3B8A0F1F"/>
    <w:rsid w:val="3BA35933"/>
    <w:rsid w:val="3BB01E61"/>
    <w:rsid w:val="3BB130BC"/>
    <w:rsid w:val="3BD81559"/>
    <w:rsid w:val="3BE76F23"/>
    <w:rsid w:val="3BFA7D4D"/>
    <w:rsid w:val="3C3B6BCE"/>
    <w:rsid w:val="3C543EFC"/>
    <w:rsid w:val="3C830D57"/>
    <w:rsid w:val="3C8960E5"/>
    <w:rsid w:val="3D261A29"/>
    <w:rsid w:val="3D4167E2"/>
    <w:rsid w:val="3D5E4DFE"/>
    <w:rsid w:val="3D8201A2"/>
    <w:rsid w:val="3DBA10DB"/>
    <w:rsid w:val="3DD1644E"/>
    <w:rsid w:val="3DF83A2F"/>
    <w:rsid w:val="3E7548D5"/>
    <w:rsid w:val="3E7D0A0B"/>
    <w:rsid w:val="3E860C7C"/>
    <w:rsid w:val="3EE701A3"/>
    <w:rsid w:val="3F69126D"/>
    <w:rsid w:val="3FAB3CBC"/>
    <w:rsid w:val="400F1FA8"/>
    <w:rsid w:val="401F61F0"/>
    <w:rsid w:val="40A7552C"/>
    <w:rsid w:val="4127324F"/>
    <w:rsid w:val="412E37A0"/>
    <w:rsid w:val="412F57F1"/>
    <w:rsid w:val="419B3734"/>
    <w:rsid w:val="41B410BF"/>
    <w:rsid w:val="41C92624"/>
    <w:rsid w:val="41F37B2C"/>
    <w:rsid w:val="4226114D"/>
    <w:rsid w:val="42733EC5"/>
    <w:rsid w:val="427B2CEE"/>
    <w:rsid w:val="42A218DA"/>
    <w:rsid w:val="433D5F74"/>
    <w:rsid w:val="43DD7B2E"/>
    <w:rsid w:val="43E33870"/>
    <w:rsid w:val="441B41BF"/>
    <w:rsid w:val="44425C32"/>
    <w:rsid w:val="4597642A"/>
    <w:rsid w:val="45EF09C2"/>
    <w:rsid w:val="460823EC"/>
    <w:rsid w:val="465E3984"/>
    <w:rsid w:val="4695464B"/>
    <w:rsid w:val="46F653C8"/>
    <w:rsid w:val="4746551E"/>
    <w:rsid w:val="479A2137"/>
    <w:rsid w:val="47D0077F"/>
    <w:rsid w:val="47D43DAD"/>
    <w:rsid w:val="47E977B2"/>
    <w:rsid w:val="48026C35"/>
    <w:rsid w:val="485330D2"/>
    <w:rsid w:val="48CD458E"/>
    <w:rsid w:val="48E515CA"/>
    <w:rsid w:val="49202F79"/>
    <w:rsid w:val="49207158"/>
    <w:rsid w:val="492C6480"/>
    <w:rsid w:val="49D401D9"/>
    <w:rsid w:val="4A412010"/>
    <w:rsid w:val="4A5058E0"/>
    <w:rsid w:val="4B1A447D"/>
    <w:rsid w:val="4B342575"/>
    <w:rsid w:val="4B5A2D08"/>
    <w:rsid w:val="4BAE0BC6"/>
    <w:rsid w:val="4BD225ED"/>
    <w:rsid w:val="4CD725D9"/>
    <w:rsid w:val="4D1F6E35"/>
    <w:rsid w:val="4D690C14"/>
    <w:rsid w:val="4DFB6561"/>
    <w:rsid w:val="4E6A6D4F"/>
    <w:rsid w:val="4F7114E5"/>
    <w:rsid w:val="50E0381E"/>
    <w:rsid w:val="50EB2C70"/>
    <w:rsid w:val="51076E21"/>
    <w:rsid w:val="51716CF3"/>
    <w:rsid w:val="51760A3B"/>
    <w:rsid w:val="51C43E75"/>
    <w:rsid w:val="52395CBC"/>
    <w:rsid w:val="52601335"/>
    <w:rsid w:val="52C1696B"/>
    <w:rsid w:val="53106394"/>
    <w:rsid w:val="531F6210"/>
    <w:rsid w:val="531F7124"/>
    <w:rsid w:val="53500A6D"/>
    <w:rsid w:val="53990FA1"/>
    <w:rsid w:val="53A4725D"/>
    <w:rsid w:val="53D16D8A"/>
    <w:rsid w:val="53EC2B7F"/>
    <w:rsid w:val="54552FA4"/>
    <w:rsid w:val="54DF6CE3"/>
    <w:rsid w:val="555A0AFC"/>
    <w:rsid w:val="559C1205"/>
    <w:rsid w:val="55C5547F"/>
    <w:rsid w:val="55FF312C"/>
    <w:rsid w:val="5611529E"/>
    <w:rsid w:val="56157CD6"/>
    <w:rsid w:val="561A6C4A"/>
    <w:rsid w:val="56894861"/>
    <w:rsid w:val="56D16E01"/>
    <w:rsid w:val="57125A29"/>
    <w:rsid w:val="571E394C"/>
    <w:rsid w:val="57A94A35"/>
    <w:rsid w:val="57B9181D"/>
    <w:rsid w:val="57CC360B"/>
    <w:rsid w:val="57DE159C"/>
    <w:rsid w:val="580C03A8"/>
    <w:rsid w:val="58527703"/>
    <w:rsid w:val="5861221E"/>
    <w:rsid w:val="591C14C7"/>
    <w:rsid w:val="595E5955"/>
    <w:rsid w:val="59660B06"/>
    <w:rsid w:val="59746435"/>
    <w:rsid w:val="5A42028B"/>
    <w:rsid w:val="5A487A7C"/>
    <w:rsid w:val="5A6E1C1E"/>
    <w:rsid w:val="5A847F92"/>
    <w:rsid w:val="5A990944"/>
    <w:rsid w:val="5A9C48C8"/>
    <w:rsid w:val="5AA165C9"/>
    <w:rsid w:val="5AC83630"/>
    <w:rsid w:val="5AFB0FE6"/>
    <w:rsid w:val="5B3A3B70"/>
    <w:rsid w:val="5B3E5CAE"/>
    <w:rsid w:val="5C071A61"/>
    <w:rsid w:val="5C2C6FBF"/>
    <w:rsid w:val="5C816536"/>
    <w:rsid w:val="5CB9453F"/>
    <w:rsid w:val="5CC63369"/>
    <w:rsid w:val="5CD95312"/>
    <w:rsid w:val="5CF52C51"/>
    <w:rsid w:val="5CF775D3"/>
    <w:rsid w:val="5D017F3D"/>
    <w:rsid w:val="5D1C43F7"/>
    <w:rsid w:val="5DA1227D"/>
    <w:rsid w:val="5DFD6B5A"/>
    <w:rsid w:val="5E433214"/>
    <w:rsid w:val="5E5F3282"/>
    <w:rsid w:val="5E885411"/>
    <w:rsid w:val="5ED023C0"/>
    <w:rsid w:val="5F16440C"/>
    <w:rsid w:val="5F5E1EBD"/>
    <w:rsid w:val="5F9E3D60"/>
    <w:rsid w:val="5FAD5F60"/>
    <w:rsid w:val="5FF07480"/>
    <w:rsid w:val="60207079"/>
    <w:rsid w:val="602435F7"/>
    <w:rsid w:val="603173E2"/>
    <w:rsid w:val="606C2D8A"/>
    <w:rsid w:val="61283677"/>
    <w:rsid w:val="61364447"/>
    <w:rsid w:val="61810E0B"/>
    <w:rsid w:val="61966A11"/>
    <w:rsid w:val="61A90516"/>
    <w:rsid w:val="61BF4695"/>
    <w:rsid w:val="61C91D98"/>
    <w:rsid w:val="61C97BEF"/>
    <w:rsid w:val="62021437"/>
    <w:rsid w:val="620B4E2D"/>
    <w:rsid w:val="621E600E"/>
    <w:rsid w:val="622A55EE"/>
    <w:rsid w:val="627F02C8"/>
    <w:rsid w:val="629C5D1F"/>
    <w:rsid w:val="630118A5"/>
    <w:rsid w:val="630A20ED"/>
    <w:rsid w:val="63652557"/>
    <w:rsid w:val="63AF1AD5"/>
    <w:rsid w:val="63D95048"/>
    <w:rsid w:val="64235710"/>
    <w:rsid w:val="64302074"/>
    <w:rsid w:val="643E6FD4"/>
    <w:rsid w:val="64425738"/>
    <w:rsid w:val="6476303F"/>
    <w:rsid w:val="64C725E7"/>
    <w:rsid w:val="658E7586"/>
    <w:rsid w:val="65B611F0"/>
    <w:rsid w:val="65E35A92"/>
    <w:rsid w:val="65E50F40"/>
    <w:rsid w:val="66233D68"/>
    <w:rsid w:val="664F4760"/>
    <w:rsid w:val="669603C2"/>
    <w:rsid w:val="67223D83"/>
    <w:rsid w:val="67247DED"/>
    <w:rsid w:val="6733172D"/>
    <w:rsid w:val="673365A9"/>
    <w:rsid w:val="68377397"/>
    <w:rsid w:val="689A6857"/>
    <w:rsid w:val="69183DA2"/>
    <w:rsid w:val="694A2342"/>
    <w:rsid w:val="69C3499E"/>
    <w:rsid w:val="69E223AC"/>
    <w:rsid w:val="6A5A197E"/>
    <w:rsid w:val="6A622448"/>
    <w:rsid w:val="6A634CC0"/>
    <w:rsid w:val="6AD50CEB"/>
    <w:rsid w:val="6B4A0AE9"/>
    <w:rsid w:val="6B8349B3"/>
    <w:rsid w:val="6BB9040B"/>
    <w:rsid w:val="6C2F1BC2"/>
    <w:rsid w:val="6C3E22FF"/>
    <w:rsid w:val="6C8A0B7C"/>
    <w:rsid w:val="6CBE36F5"/>
    <w:rsid w:val="6D181166"/>
    <w:rsid w:val="6D242186"/>
    <w:rsid w:val="6D5F02A7"/>
    <w:rsid w:val="6D904237"/>
    <w:rsid w:val="6E06094A"/>
    <w:rsid w:val="6E2E0D9D"/>
    <w:rsid w:val="6E9A28DF"/>
    <w:rsid w:val="6EB136C0"/>
    <w:rsid w:val="6ECB3EDD"/>
    <w:rsid w:val="6EF80AD5"/>
    <w:rsid w:val="6F8C1822"/>
    <w:rsid w:val="6FB01D5D"/>
    <w:rsid w:val="6FC5720E"/>
    <w:rsid w:val="6FF45BD5"/>
    <w:rsid w:val="703D6F5E"/>
    <w:rsid w:val="7067425A"/>
    <w:rsid w:val="707F43C8"/>
    <w:rsid w:val="70CD6C57"/>
    <w:rsid w:val="70DD7445"/>
    <w:rsid w:val="7147403E"/>
    <w:rsid w:val="71783072"/>
    <w:rsid w:val="72932EDD"/>
    <w:rsid w:val="72A11797"/>
    <w:rsid w:val="72E064DE"/>
    <w:rsid w:val="73596993"/>
    <w:rsid w:val="737527EA"/>
    <w:rsid w:val="73D64DF6"/>
    <w:rsid w:val="73DB404F"/>
    <w:rsid w:val="744E4932"/>
    <w:rsid w:val="74936D8E"/>
    <w:rsid w:val="74B9029E"/>
    <w:rsid w:val="75030E5A"/>
    <w:rsid w:val="75375727"/>
    <w:rsid w:val="755D0965"/>
    <w:rsid w:val="758065F0"/>
    <w:rsid w:val="75B6231B"/>
    <w:rsid w:val="75C018E2"/>
    <w:rsid w:val="75CD59A0"/>
    <w:rsid w:val="75DE5BE9"/>
    <w:rsid w:val="76260F81"/>
    <w:rsid w:val="7629577E"/>
    <w:rsid w:val="7657754F"/>
    <w:rsid w:val="76947686"/>
    <w:rsid w:val="76F11DA3"/>
    <w:rsid w:val="771B2ED0"/>
    <w:rsid w:val="777E0580"/>
    <w:rsid w:val="778C5C71"/>
    <w:rsid w:val="77C36C09"/>
    <w:rsid w:val="77CD1915"/>
    <w:rsid w:val="780904A6"/>
    <w:rsid w:val="7823053F"/>
    <w:rsid w:val="785D4D88"/>
    <w:rsid w:val="78D1398A"/>
    <w:rsid w:val="78E22891"/>
    <w:rsid w:val="790E2AB3"/>
    <w:rsid w:val="795D2BB4"/>
    <w:rsid w:val="79733044"/>
    <w:rsid w:val="798657CA"/>
    <w:rsid w:val="799F2A29"/>
    <w:rsid w:val="79AB6F27"/>
    <w:rsid w:val="79C46F95"/>
    <w:rsid w:val="7A1D552A"/>
    <w:rsid w:val="7A4135D3"/>
    <w:rsid w:val="7A507AB9"/>
    <w:rsid w:val="7A5632D8"/>
    <w:rsid w:val="7A9767EA"/>
    <w:rsid w:val="7AA91433"/>
    <w:rsid w:val="7BB20A4E"/>
    <w:rsid w:val="7C280D48"/>
    <w:rsid w:val="7D076ADB"/>
    <w:rsid w:val="7D97668D"/>
    <w:rsid w:val="7E7F6508"/>
    <w:rsid w:val="7E8D0665"/>
    <w:rsid w:val="7E92134B"/>
    <w:rsid w:val="7EB85743"/>
    <w:rsid w:val="7ECB4D25"/>
    <w:rsid w:val="7F0F3DE4"/>
    <w:rsid w:val="7FBD1F67"/>
    <w:rsid w:val="7FF6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7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6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semiHidden/>
    <w:unhideWhenUsed/>
    <w:uiPriority w:val="1"/>
  </w:style>
  <w:style w:type="table" w:default="1" w:styleId="10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4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3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Subtitle"/>
    <w:basedOn w:val="1"/>
    <w:next w:val="1"/>
    <w:link w:val="12"/>
    <w:qFormat/>
    <w:uiPriority w:val="0"/>
    <w:pPr>
      <w:spacing w:before="240" w:after="60" w:line="312" w:lineRule="auto"/>
      <w:jc w:val="center"/>
      <w:outlineLvl w:val="1"/>
    </w:pPr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8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11">
    <w:name w:val="Table Grid"/>
    <w:basedOn w:val="10"/>
    <w:qFormat/>
    <w:uiPriority w:val="0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</w:tblPr>
  </w:style>
  <w:style w:type="character" w:customStyle="1" w:styleId="12">
    <w:name w:val="副标题 Char"/>
    <w:basedOn w:val="9"/>
    <w:link w:val="7"/>
    <w:qFormat/>
    <w:uiPriority w:val="0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13">
    <w:name w:val="页眉 Char"/>
    <w:basedOn w:val="9"/>
    <w:link w:val="6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4">
    <w:name w:val="页脚 Char"/>
    <w:basedOn w:val="9"/>
    <w:link w:val="5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5">
    <w:name w:val="List Paragraph"/>
    <w:basedOn w:val="1"/>
    <w:qFormat/>
    <w:uiPriority w:val="99"/>
    <w:pPr>
      <w:ind w:firstLine="420" w:firstLineChars="200"/>
    </w:pPr>
  </w:style>
  <w:style w:type="character" w:customStyle="1" w:styleId="16">
    <w:name w:val="标题 3 Char"/>
    <w:basedOn w:val="9"/>
    <w:link w:val="4"/>
    <w:qFormat/>
    <w:uiPriority w:val="0"/>
    <w:rPr>
      <w:rFonts w:asciiTheme="minorHAnsi" w:hAnsiTheme="minorHAnsi" w:eastAsiaTheme="minorEastAsia" w:cstheme="minorBidi"/>
      <w:b/>
      <w:bCs/>
      <w:kern w:val="2"/>
      <w:sz w:val="32"/>
      <w:szCs w:val="32"/>
    </w:rPr>
  </w:style>
  <w:style w:type="character" w:customStyle="1" w:styleId="17">
    <w:name w:val="标题 2 Char"/>
    <w:basedOn w:val="9"/>
    <w:link w:val="3"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customXml" Target="../customXml/item2.xml"/><Relationship Id="rId98" Type="http://schemas.openxmlformats.org/officeDocument/2006/relationships/numbering" Target="numbering.xml"/><Relationship Id="rId97" Type="http://schemas.openxmlformats.org/officeDocument/2006/relationships/customXml" Target="../customXml/item1.xml"/><Relationship Id="rId96" Type="http://schemas.openxmlformats.org/officeDocument/2006/relationships/image" Target="media/image62.png"/><Relationship Id="rId95" Type="http://schemas.openxmlformats.org/officeDocument/2006/relationships/oleObject" Target="embeddings/oleObject31.bin"/><Relationship Id="rId94" Type="http://schemas.openxmlformats.org/officeDocument/2006/relationships/oleObject" Target="embeddings/oleObject30.bin"/><Relationship Id="rId93" Type="http://schemas.openxmlformats.org/officeDocument/2006/relationships/oleObject" Target="embeddings/oleObject29.bin"/><Relationship Id="rId92" Type="http://schemas.openxmlformats.org/officeDocument/2006/relationships/oleObject" Target="embeddings/oleObject28.bin"/><Relationship Id="rId91" Type="http://schemas.openxmlformats.org/officeDocument/2006/relationships/oleObject" Target="embeddings/oleObject27.bin"/><Relationship Id="rId90" Type="http://schemas.openxmlformats.org/officeDocument/2006/relationships/oleObject" Target="embeddings/oleObject26.bin"/><Relationship Id="rId9" Type="http://schemas.openxmlformats.org/officeDocument/2006/relationships/image" Target="media/image6.png"/><Relationship Id="rId89" Type="http://schemas.openxmlformats.org/officeDocument/2006/relationships/oleObject" Target="embeddings/oleObject25.bin"/><Relationship Id="rId88" Type="http://schemas.openxmlformats.org/officeDocument/2006/relationships/image" Target="media/image61.wmf"/><Relationship Id="rId87" Type="http://schemas.openxmlformats.org/officeDocument/2006/relationships/oleObject" Target="embeddings/oleObject24.bin"/><Relationship Id="rId86" Type="http://schemas.openxmlformats.org/officeDocument/2006/relationships/image" Target="media/image60.wmf"/><Relationship Id="rId85" Type="http://schemas.openxmlformats.org/officeDocument/2006/relationships/oleObject" Target="embeddings/oleObject23.bin"/><Relationship Id="rId84" Type="http://schemas.openxmlformats.org/officeDocument/2006/relationships/oleObject" Target="embeddings/oleObject22.bin"/><Relationship Id="rId83" Type="http://schemas.openxmlformats.org/officeDocument/2006/relationships/image" Target="media/image59.wmf"/><Relationship Id="rId82" Type="http://schemas.openxmlformats.org/officeDocument/2006/relationships/oleObject" Target="embeddings/oleObject21.bin"/><Relationship Id="rId81" Type="http://schemas.openxmlformats.org/officeDocument/2006/relationships/image" Target="media/image58.wmf"/><Relationship Id="rId80" Type="http://schemas.openxmlformats.org/officeDocument/2006/relationships/oleObject" Target="embeddings/oleObject20.bin"/><Relationship Id="rId8" Type="http://schemas.openxmlformats.org/officeDocument/2006/relationships/image" Target="media/image5.png"/><Relationship Id="rId79" Type="http://schemas.openxmlformats.org/officeDocument/2006/relationships/image" Target="media/image57.png"/><Relationship Id="rId78" Type="http://schemas.openxmlformats.org/officeDocument/2006/relationships/image" Target="media/image56.wmf"/><Relationship Id="rId77" Type="http://schemas.openxmlformats.org/officeDocument/2006/relationships/oleObject" Target="embeddings/oleObject19.bin"/><Relationship Id="rId76" Type="http://schemas.openxmlformats.org/officeDocument/2006/relationships/image" Target="media/image55.wmf"/><Relationship Id="rId75" Type="http://schemas.openxmlformats.org/officeDocument/2006/relationships/oleObject" Target="embeddings/oleObject18.bin"/><Relationship Id="rId74" Type="http://schemas.openxmlformats.org/officeDocument/2006/relationships/image" Target="media/image54.wmf"/><Relationship Id="rId73" Type="http://schemas.openxmlformats.org/officeDocument/2006/relationships/oleObject" Target="embeddings/oleObject17.bin"/><Relationship Id="rId72" Type="http://schemas.openxmlformats.org/officeDocument/2006/relationships/image" Target="media/image53.wmf"/><Relationship Id="rId71" Type="http://schemas.openxmlformats.org/officeDocument/2006/relationships/oleObject" Target="embeddings/oleObject16.bin"/><Relationship Id="rId70" Type="http://schemas.openxmlformats.org/officeDocument/2006/relationships/image" Target="media/image52.wmf"/><Relationship Id="rId7" Type="http://schemas.openxmlformats.org/officeDocument/2006/relationships/image" Target="media/image4.png"/><Relationship Id="rId69" Type="http://schemas.openxmlformats.org/officeDocument/2006/relationships/oleObject" Target="embeddings/oleObject15.bin"/><Relationship Id="rId68" Type="http://schemas.openxmlformats.org/officeDocument/2006/relationships/oleObject" Target="embeddings/oleObject14.bin"/><Relationship Id="rId67" Type="http://schemas.openxmlformats.org/officeDocument/2006/relationships/image" Target="media/image51.wmf"/><Relationship Id="rId66" Type="http://schemas.openxmlformats.org/officeDocument/2006/relationships/oleObject" Target="embeddings/oleObject13.bin"/><Relationship Id="rId65" Type="http://schemas.openxmlformats.org/officeDocument/2006/relationships/image" Target="media/image50.wmf"/><Relationship Id="rId64" Type="http://schemas.openxmlformats.org/officeDocument/2006/relationships/oleObject" Target="embeddings/oleObject12.bin"/><Relationship Id="rId63" Type="http://schemas.openxmlformats.org/officeDocument/2006/relationships/image" Target="media/image49.wmf"/><Relationship Id="rId62" Type="http://schemas.openxmlformats.org/officeDocument/2006/relationships/oleObject" Target="embeddings/oleObject11.bin"/><Relationship Id="rId61" Type="http://schemas.openxmlformats.org/officeDocument/2006/relationships/image" Target="media/image48.wmf"/><Relationship Id="rId60" Type="http://schemas.openxmlformats.org/officeDocument/2006/relationships/oleObject" Target="embeddings/oleObject10.bin"/><Relationship Id="rId6" Type="http://schemas.openxmlformats.org/officeDocument/2006/relationships/image" Target="media/image3.png"/><Relationship Id="rId59" Type="http://schemas.openxmlformats.org/officeDocument/2006/relationships/image" Target="media/image47.wmf"/><Relationship Id="rId58" Type="http://schemas.openxmlformats.org/officeDocument/2006/relationships/oleObject" Target="embeddings/oleObject9.bin"/><Relationship Id="rId57" Type="http://schemas.openxmlformats.org/officeDocument/2006/relationships/image" Target="media/image46.wmf"/><Relationship Id="rId56" Type="http://schemas.openxmlformats.org/officeDocument/2006/relationships/oleObject" Target="embeddings/oleObject8.bin"/><Relationship Id="rId55" Type="http://schemas.openxmlformats.org/officeDocument/2006/relationships/image" Target="media/image45.wmf"/><Relationship Id="rId54" Type="http://schemas.openxmlformats.org/officeDocument/2006/relationships/oleObject" Target="embeddings/oleObject7.bin"/><Relationship Id="rId53" Type="http://schemas.openxmlformats.org/officeDocument/2006/relationships/image" Target="media/image44.wmf"/><Relationship Id="rId52" Type="http://schemas.openxmlformats.org/officeDocument/2006/relationships/oleObject" Target="embeddings/oleObject6.bin"/><Relationship Id="rId51" Type="http://schemas.openxmlformats.org/officeDocument/2006/relationships/image" Target="media/image43.wmf"/><Relationship Id="rId50" Type="http://schemas.openxmlformats.org/officeDocument/2006/relationships/oleObject" Target="embeddings/oleObject5.bin"/><Relationship Id="rId5" Type="http://schemas.openxmlformats.org/officeDocument/2006/relationships/image" Target="media/image2.png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wmf"/><Relationship Id="rId44" Type="http://schemas.openxmlformats.org/officeDocument/2006/relationships/oleObject" Target="embeddings/oleObject4.bin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image" Target="media/image1.png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wmf"/><Relationship Id="rId30" Type="http://schemas.openxmlformats.org/officeDocument/2006/relationships/oleObject" Target="embeddings/oleObject3.bin"/><Relationship Id="rId3" Type="http://schemas.openxmlformats.org/officeDocument/2006/relationships/theme" Target="theme/theme1.xml"/><Relationship Id="rId29" Type="http://schemas.openxmlformats.org/officeDocument/2006/relationships/image" Target="media/image24.wmf"/><Relationship Id="rId28" Type="http://schemas.openxmlformats.org/officeDocument/2006/relationships/oleObject" Target="embeddings/oleObject2.bin"/><Relationship Id="rId27" Type="http://schemas.openxmlformats.org/officeDocument/2006/relationships/image" Target="media/image23.wmf"/><Relationship Id="rId26" Type="http://schemas.openxmlformats.org/officeDocument/2006/relationships/oleObject" Target="embeddings/oleObject1.bin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0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0"/>
    <customShpInfo spid="_x0000_s1029"/>
    <customShpInfo spid="_x0000_s1028"/>
    <customShpInfo spid="_x0000_s1031"/>
    <customShpInfo spid="_x0000_s1027"/>
    <customShpInfo spid="_x0000_s1032"/>
    <customShpInfo spid="_x0000_s1035"/>
    <customShpInfo spid="_x0000_s1033"/>
    <customShpInfo spid="_x0000_s1034"/>
    <customShpInfo spid="_x0000_s1026"/>
    <customShpInfo spid="_x0000_s1042"/>
    <customShpInfo spid="_x0000_s1043"/>
    <customShpInfo spid="_x0000_s1041"/>
    <customShpInfo spid="_x0000_s1040"/>
    <customShpInfo spid="_x0000_s1039"/>
    <customShpInfo spid="_x0000_s1038"/>
    <customShpInfo spid="_x0000_s1037"/>
    <customShpInfo spid="_x0000_s1036"/>
    <customShpInfo spid="_x0000_s1052"/>
    <customShpInfo spid="_x0000_s1051"/>
    <customShpInfo spid="_x0000_s1050"/>
    <customShpInfo spid="_x0000_s1049"/>
    <customShpInfo spid="_x0000_s1048"/>
    <customShpInfo spid="_x0000_s1047"/>
    <customShpInfo spid="_x0000_s1046"/>
    <customShpInfo spid="_x0000_s1045"/>
    <customShpInfo spid="_x0000_s1044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F77FB60-B2C2-4F38-85C5-C4E7E5BC497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987</Words>
  <Characters>5632</Characters>
  <Lines>46</Lines>
  <Paragraphs>13</Paragraphs>
  <TotalTime>0</TotalTime>
  <ScaleCrop>false</ScaleCrop>
  <LinksUpToDate>false</LinksUpToDate>
  <CharactersWithSpaces>6606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2017-10-09T07:25:00Z</dcterms:created>
  <dc:creator>lenovo</dc:creator>
  <cp:lastModifiedBy>lenovo</cp:lastModifiedBy>
  <dcterms:modified xsi:type="dcterms:W3CDTF">2018-01-05T09:10:59Z</dcterms:modified>
  <cp:revision>168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