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参数定义的影响：</w:t>
      </w:r>
    </w:p>
    <w:p>
      <w:pPr>
        <w:outlineLvl w:val="1"/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t>Gf</w:t>
      </w:r>
      <w:r>
        <w:rPr>
          <w:rFonts w:hint="eastAsia"/>
          <w:b/>
          <w:bCs/>
          <w:sz w:val="24"/>
          <w:szCs w:val="28"/>
          <w:lang w:val="en-US" w:eastAsia="zh-CN"/>
        </w:rPr>
        <w:t>和Gm以及viscous的影响（仅0°板）：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m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f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viscous的影响</w:t>
      </w:r>
      <w:r>
        <w:rPr>
          <w:rFonts w:hint="default"/>
          <w:b/>
          <w:bCs/>
          <w:sz w:val="24"/>
          <w:szCs w:val="28"/>
          <w:lang w:val="en-US" w:eastAsia="zh-CN"/>
        </w:rPr>
        <w:t>: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粘性系数太大会造成损伤的延迟，太小会造成计算不收敛。但是在这里取0时都可以收敛，所以不需要考虑。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  <w:lang w:val="en-US"/>
        </w:rPr>
      </w:pPr>
      <w:r>
        <w:rPr>
          <w:rFonts w:hint="default"/>
          <w:b/>
          <w:bCs/>
          <w:lang w:val="en-US"/>
        </w:rPr>
        <w:t>Gf</w:t>
      </w:r>
      <w:r>
        <w:rPr>
          <w:rFonts w:hint="eastAsia"/>
          <w:b/>
          <w:bCs/>
          <w:lang w:val="en-US" w:eastAsia="zh-CN"/>
        </w:rPr>
        <w:t>和Gm的区别：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结合计算结果（针对0°板而言）以及其他论文，Gm取0.5-1之间，Gf取50-100之间比较合适。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其他论文中的参数：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b/>
          <w:bCs/>
        </w:rPr>
      </w:pPr>
      <w:r>
        <w:rPr>
          <w:rFonts w:hint="eastAsia"/>
          <w:b/>
          <w:bCs/>
        </w:rPr>
        <w:t>A continuum damage model for composite laminates: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Part II – Computational implementation and validation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default"/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lang w:val="en-US" w:eastAsia="zh-CN"/>
        </w:rPr>
      </w:pPr>
    </w:p>
    <w:p>
      <w:pPr>
        <w:spacing w:before="156" w:beforeLines="50" w:line="360" w:lineRule="auto"/>
        <w:ind w:right="-105"/>
        <w:jc w:val="both"/>
        <w:outlineLvl w:val="1"/>
        <w:rPr>
          <w:rFonts w:hint="eastAsia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材料密度（mass density）的影响：</w:t>
      </w:r>
    </w:p>
    <w:tbl>
      <w:tblPr>
        <w:tblStyle w:val="4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Gf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Gm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100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100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0.001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0-90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指数退化和线性退化：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在同样的材料参数下，指数和线性退化的位移载荷曲线的区别不大。0.5和600的结果和试验相差太大。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在同样的材料参数下，指数和线性退化的失效图的差别不是太大（针对0°铺层而言）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剪切强度参数的影响：</w:t>
      </w:r>
    </w:p>
    <w:tbl>
      <w:tblPr>
        <w:tblStyle w:val="4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Pro2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90.25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  <w:lang w:val="en-US" w:eastAsia="zh-CN"/>
        </w:rPr>
        <w:t>Sxy为90更加符合实验。</w:t>
      </w:r>
    </w:p>
    <w:p>
      <w:pPr>
        <w:jc w:val="both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修正后的材料参数：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修正2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)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修正4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修正5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Sxy提高从60到90后</w:t>
      </w:r>
      <w:r>
        <w:rPr>
          <w:rFonts w:hint="eastAsia"/>
          <w:color w:val="0070C0"/>
          <w:lang w:val="en-US" w:eastAsia="zh-CN"/>
        </w:rPr>
        <w:t>0°的失效图</w:t>
      </w:r>
      <w:r>
        <w:rPr>
          <w:rFonts w:hint="eastAsia"/>
          <w:lang w:val="en-US" w:eastAsia="zh-CN"/>
        </w:rPr>
        <w:t>不符合（无论Gf是60还是90）。故只能将Sxy回复到60。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最后使用的材料参数：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此时的0和45比较符合，但是0/90出现问题（由于是Gm为0.5太小）。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dm太大（=5）时，0°的裂纹不对，dm太小的时候（=0.5），0/90的裂纹不对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可以看出对三种不同的dm而言，dm=2.5和dm=5的极限失效载荷数值差别并不大，而从失效图来看dm=2.5差不多可以兼顾0以及0/90.所以最后综合考虑的话：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4"/>
        <w:tblW w:w="950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不同的铺层以及不同的孔径：</w:t>
      </w:r>
    </w:p>
    <w:p>
      <w:p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屈曲极限载荷：</w:t>
      </w:r>
    </w:p>
    <w:tbl>
      <w:tblPr>
        <w:tblStyle w:val="4"/>
        <w:tblW w:w="11186" w:type="dxa"/>
        <w:tblCellSpacing w:w="0" w:type="dxa"/>
        <w:tblInd w:w="1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Comparing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of  Ultimate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loads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Size of cutout (Ф)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100mm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-34%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12.1%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23.8%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tbl>
      <w:tblPr>
        <w:tblStyle w:val="4"/>
        <w:tblW w:w="11186" w:type="dxa"/>
        <w:tblCellSpacing w:w="0" w:type="dxa"/>
        <w:tblInd w:w="1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Comparing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of  Ultimate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loads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Size of cutout (Ф)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100mm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Relative error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0°：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59885" cy="3186430"/>
            <wp:effectExtent l="0" t="0" r="12065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60_0</w:t>
      </w:r>
      <w:r>
        <w:rPr>
          <w:rFonts w:hint="eastAsia"/>
          <w:lang w:val="en-US" w:eastAsia="zh-CN"/>
        </w:rPr>
        <w:t>的准确性比较好，而80的居然比60的还高，重新复制60的计算模型，此时80和60的差不多75左右。然后增加80的密度到10，希望能减少他的极限载荷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可是反而增加了，又将80的密度较小至0.001，可是在4000步内算不完，所以将密度调整至0.01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45°：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尝试提高剪切强度系数来提高模拟的极限载荷</w:t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lang w:val="en-US"/>
        </w:rPr>
        <w:t>0/90:</w:t>
      </w:r>
    </w:p>
    <w:p>
      <w:pPr>
        <w:jc w:val="both"/>
      </w:pPr>
      <w:r>
        <w:drawing>
          <wp:inline distT="0" distB="0" distL="114300" distR="114300">
            <wp:extent cx="6645275" cy="2821305"/>
            <wp:effectExtent l="0" t="0" r="3175" b="1714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屈曲和失效：</w:t>
      </w:r>
    </w:p>
    <w:p>
      <w:p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屈曲极限载荷：</w:t>
      </w:r>
    </w:p>
    <w:tbl>
      <w:tblPr>
        <w:tblStyle w:val="5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5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ind w:firstLine="660" w:firstLineChars="300"/>
              <w:jc w:val="both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jc w:val="both"/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  <w:lang w:val="en-US" w:eastAsia="zh-CN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  <w:lang w:val="en-US"/>
              </w:rPr>
            </w:pPr>
            <w:r>
              <w:rPr>
                <w:color w:val="0000FF"/>
                <w:sz w:val="22"/>
                <w:lang w:val="en-US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6.48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通过固定增量步，来看初始损伤时的载荷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剪切非线性：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60_0.5_60和60_2.5_60相比，从位移载荷曲线上来看，60_0.5_60更加符合试验，60_2.5_60失效太早，而且比较乱。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试验90_0.5_60,90_2.5_60,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由于计算的太慢（增量步间隔太小），4000步都算不完，所以把密度从0.001增至1.。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tabs>
          <w:tab w:val="left" w:pos="8244"/>
        </w:tabs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应力集中因子：</w:t>
      </w:r>
      <w:r>
        <w:rPr>
          <w:rFonts w:hint="default"/>
          <w:b/>
          <w:bCs/>
          <w:sz w:val="24"/>
          <w:szCs w:val="28"/>
          <w:lang w:val="en-US" w:eastAsia="zh-CN"/>
        </w:rPr>
        <w:tab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cohensive单元：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铺层和开孔大小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材料参数，密度，lin vs exp, 剪切非线性考虑N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STim-B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panose1 w:val="020F0502020204030204"/>
    <w:charset w:val="A1"/>
    <w:family w:val="auto"/>
    <w:pitch w:val="default"/>
    <w:sig w:usb0="E0002AFF" w:usb1="C000247B" w:usb2="00000009" w:usb3="00000000" w:csb0="200001FF" w:csb1="00000000"/>
  </w:font>
  <w:font w:name="TimesNewRomanPSMT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5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6+CAJSymbolA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-Roman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NewRomanPS-Italic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B4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nionPro-Regular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Time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dvEPSTIM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DY3+ZHTEJI-3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2+ZHTEJI-2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26+ZHTELw-426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HTEJI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0+ZHTEJI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8+ZDVGNq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77+ZDVGNv-8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+ZDVGNq-4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DVGNq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6+ZDVGNr-19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ymbolMT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dvGulliv-R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45F4"/>
    <w:rsid w:val="003D23DA"/>
    <w:rsid w:val="00923A89"/>
    <w:rsid w:val="00A424D0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2017-12-26T01:08:39Z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