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参数定义的影响：</w:t>
      </w:r>
    </w:p>
    <w:p>
      <w:pPr>
        <w:outlineLvl w:val="1"/>
        <w:rPr>
          <w:b/>
          <w:bCs/>
          <w:sz w:val="24"/>
          <w:szCs w:val="28"/>
          <w:lang w:val="en-US"/>
        </w:rPr>
      </w:pPr>
      <w:r>
        <w:rPr>
          <w:b/>
          <w:bCs/>
          <w:sz w:val="24"/>
          <w:szCs w:val="28"/>
          <w:lang w:val="en-US"/>
        </w:rPr>
        <w:t>Gf</w:t>
      </w:r>
      <w:r>
        <w:rPr>
          <w:rFonts w:hint="eastAsia"/>
          <w:b/>
          <w:bCs/>
          <w:sz w:val="24"/>
          <w:szCs w:val="28"/>
          <w:lang w:val="en-US" w:eastAsia="zh-CN"/>
        </w:rPr>
        <w:t>和Gm以及viscous的影响（仅0°板）：</w:t>
      </w:r>
    </w:p>
    <w:tbl>
      <w:tblPr>
        <w:tblStyle w:val="3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密度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m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f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v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3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G10_60-V0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_exp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/>
          <w:b/>
          <w:bCs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2"/>
        <w:rPr>
          <w:rFonts w:hint="eastAsia"/>
          <w:b/>
          <w:bCs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viscous的影响</w:t>
      </w:r>
      <w:r>
        <w:rPr>
          <w:rFonts w:hint="default"/>
          <w:b/>
          <w:bCs/>
          <w:sz w:val="24"/>
          <w:szCs w:val="28"/>
          <w:lang w:val="en-US" w:eastAsia="zh-CN"/>
        </w:rPr>
        <w:t>:</w:t>
      </w:r>
    </w:p>
    <w:tbl>
      <w:tblPr>
        <w:tblStyle w:val="3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G10_60-V0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G10_60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/>
          <w:b/>
          <w:bCs/>
          <w:lang w:val="en-US"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粘性系数太大会造成损伤的延迟，太小会造成计算不收敛。但是在这里取0时都可以收敛，所以不需要考虑。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2"/>
        <w:rPr>
          <w:rFonts w:hint="eastAsia"/>
          <w:b/>
          <w:bCs/>
          <w:lang w:val="en-US"/>
        </w:rPr>
      </w:pPr>
      <w:r>
        <w:rPr>
          <w:rFonts w:hint="default"/>
          <w:b/>
          <w:bCs/>
          <w:lang w:val="en-US"/>
        </w:rPr>
        <w:t>Gf</w:t>
      </w:r>
      <w:r>
        <w:rPr>
          <w:rFonts w:hint="eastAsia"/>
          <w:b/>
          <w:bCs/>
          <w:lang w:val="en-US" w:eastAsia="zh-CN"/>
        </w:rPr>
        <w:t>和Gm的区别：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结合计算结果（针对0°板而言）以及其他论文，Gm取0.5-1之间，Gf取50-100之间比较合适。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2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其他论文中的参数：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left="0" w:leftChars="0" w:right="-108" w:rightChars="0" w:firstLine="0" w:firstLineChars="0"/>
        <w:jc w:val="both"/>
        <w:textAlignment w:val="auto"/>
        <w:outlineLvl w:val="9"/>
        <w:rPr>
          <w:b/>
          <w:bCs/>
        </w:rPr>
      </w:pPr>
      <w:r>
        <w:rPr>
          <w:rFonts w:hint="eastAsia"/>
          <w:b/>
          <w:bCs/>
        </w:rPr>
        <w:t>A continuum damage model for composite laminates: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Part II – Computational implementation and validation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b/>
          <w:bCs/>
        </w:rPr>
      </w:pPr>
      <w:r>
        <w:rPr>
          <w:rFonts w:hint="default"/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  <w:jc w:val="both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jc w:val="both"/>
        <w:rPr>
          <w:rFonts w:hint="eastAsia"/>
          <w:lang w:val="en-US" w:eastAsia="zh-CN"/>
        </w:rPr>
      </w:pPr>
    </w:p>
    <w:p>
      <w:pPr>
        <w:spacing w:before="156" w:beforeLines="50" w:line="360" w:lineRule="auto"/>
        <w:ind w:right="-105"/>
        <w:jc w:val="both"/>
        <w:outlineLvl w:val="1"/>
        <w:rPr>
          <w:rFonts w:hint="eastAsia" w:ascii="Times New Roman" w:hAnsi="Times New Roman" w:cs="Times New Roman"/>
          <w:b/>
          <w:bCs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21"/>
          <w:lang w:val="en-US" w:eastAsia="zh-CN"/>
        </w:rPr>
        <w:t>材料密度（mass density）的影响：</w:t>
      </w:r>
    </w:p>
    <w:tbl>
      <w:tblPr>
        <w:tblStyle w:val="3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密度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Gf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Gm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Density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100</w:t>
            </w:r>
          </w:p>
        </w:tc>
        <w:tc>
          <w:tcPr>
            <w:tcW w:w="82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100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Density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0.001</w:t>
            </w:r>
          </w:p>
        </w:tc>
        <w:tc>
          <w:tcPr>
            <w:tcW w:w="82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10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0-90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指数退化和线性退化：</w:t>
      </w:r>
    </w:p>
    <w:tbl>
      <w:tblPr>
        <w:tblStyle w:val="3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3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-exp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3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_exp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在同样的材料参数下，指数和线性退化的位移载荷曲线的区别不大。0.5和600的结果和试验相差太大。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1551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</w:tr>
    </w:tbl>
    <w:p>
      <w:p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在同样的材料参数下，指数和线性退化的失效图的差别不是太大（针对0°铺层而言）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剪切强度参数的影响：</w:t>
      </w:r>
    </w:p>
    <w:tbl>
      <w:tblPr>
        <w:tblStyle w:val="3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131</w:t>
            </w:r>
          </w:p>
        </w:tc>
        <w:tc>
          <w:tcPr>
            <w:tcW w:w="126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131</w:t>
            </w:r>
          </w:p>
        </w:tc>
        <w:tc>
          <w:tcPr>
            <w:tcW w:w="120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Pro2</w:t>
            </w:r>
          </w:p>
        </w:tc>
        <w:tc>
          <w:tcPr>
            <w:tcW w:w="1269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90.25</w:t>
            </w:r>
          </w:p>
        </w:tc>
        <w:tc>
          <w:tcPr>
            <w:tcW w:w="120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 w:eastAsiaTheme="min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  <w:lang w:val="en-US" w:eastAsia="zh-CN"/>
        </w:rPr>
        <w:t>Sxy为90更加符合实验。</w:t>
      </w:r>
    </w:p>
    <w:p>
      <w:pPr>
        <w:jc w:val="both"/>
        <w:rPr>
          <w:rFonts w:hint="eastAsia"/>
          <w:color w:val="FF0000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修正后的材料参数：</w:t>
      </w:r>
    </w:p>
    <w:tbl>
      <w:tblPr>
        <w:tblStyle w:val="3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_60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</w:t>
            </w:r>
            <w:r>
              <w:rPr>
                <w:rFonts w:hint="default" w:ascii="Times New Roman" w:hAnsi="Times New Roman" w:cs="Times New Roman"/>
                <w:color w:val="0000FF"/>
                <w:szCs w:val="21"/>
                <w:lang w:val="en-US" w:eastAsia="zh-CN"/>
              </w:rPr>
              <w:t>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修正3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1.5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修正4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修正5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2.5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Sxy提高从60到90后</w:t>
      </w:r>
      <w:r>
        <w:rPr>
          <w:rFonts w:hint="eastAsia"/>
          <w:color w:val="0070C0"/>
          <w:lang w:val="en-US" w:eastAsia="zh-CN"/>
        </w:rPr>
        <w:t>0°的失效图</w:t>
      </w:r>
      <w:r>
        <w:rPr>
          <w:rFonts w:hint="eastAsia"/>
          <w:lang w:val="en-US" w:eastAsia="zh-CN"/>
        </w:rPr>
        <w:t>不符合（无论Gf是60还是90）。故只能将Sxy回复到60。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最后使用的材料参数：</w:t>
      </w:r>
    </w:p>
    <w:tbl>
      <w:tblPr>
        <w:tblStyle w:val="3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此时的0和45比较符合，但是0/90出现问题（由于是Gm为0.5太小）。</w:t>
      </w:r>
    </w:p>
    <w:tbl>
      <w:tblPr>
        <w:tblStyle w:val="3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dm太大（=5）时，0°的裂纹不对，dm太小的时候（=0.5），0/90的裂纹不对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使用的参数：</w:t>
      </w:r>
    </w:p>
    <w:tbl>
      <w:tblPr>
        <w:tblStyle w:val="3"/>
        <w:tblW w:w="1026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2.</w:t>
            </w:r>
            <w:r>
              <w:rPr>
                <w:rFonts w:hint="default" w:ascii="Times New Roman" w:hAnsi="Times New Roman" w:cs="Times New Roman"/>
                <w:color w:val="0000FF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b/>
                <w:bCs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  <w:tc>
          <w:tcPr>
            <w:tcW w:w="76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可以看出对三种不同的dm而言，dm=2.5和dm=5的极限失效载荷数值差别并不大，而从失效图来看dm=2.5差不多可以兼顾0以及0/90.所以最后综合考虑的话：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3"/>
        <w:tblW w:w="9509" w:type="dxa"/>
        <w:jc w:val="center"/>
        <w:tblInd w:w="-9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G0.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_90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-V5e-3</w:t>
            </w:r>
          </w:p>
        </w:tc>
        <w:tc>
          <w:tcPr>
            <w:tcW w:w="9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1500</w:t>
            </w:r>
          </w:p>
        </w:tc>
        <w:tc>
          <w:tcPr>
            <w:tcW w:w="896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764.3</w:t>
            </w:r>
          </w:p>
        </w:tc>
        <w:tc>
          <w:tcPr>
            <w:tcW w:w="68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36</w:t>
            </w:r>
          </w:p>
        </w:tc>
        <w:tc>
          <w:tcPr>
            <w:tcW w:w="788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160</w:t>
            </w:r>
          </w:p>
        </w:tc>
        <w:tc>
          <w:tcPr>
            <w:tcW w:w="787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83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1</w:t>
            </w:r>
          </w:p>
        </w:tc>
        <w:tc>
          <w:tcPr>
            <w:tcW w:w="780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2.</w:t>
            </w:r>
            <w:r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  <w:t>5</w:t>
            </w:r>
          </w:p>
        </w:tc>
        <w:tc>
          <w:tcPr>
            <w:tcW w:w="771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color w:val="FF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lang w:val="en-US" w:eastAsia="zh-CN"/>
              </w:rPr>
              <w:t>60</w:t>
            </w:r>
          </w:p>
        </w:tc>
        <w:tc>
          <w:tcPr>
            <w:tcW w:w="764" w:type="dxa"/>
            <w:vAlign w:val="top"/>
          </w:tcPr>
          <w:p>
            <w:pPr>
              <w:spacing w:before="156" w:beforeLines="50" w:line="360" w:lineRule="auto"/>
              <w:ind w:right="-105" w:rightChars="0"/>
              <w:jc w:val="center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0.0005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屈曲和失效：</w:t>
      </w:r>
    </w:p>
    <w:p>
      <w:pPr>
        <w:jc w:val="both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屈曲极限载荷：</w:t>
      </w:r>
    </w:p>
    <w:tbl>
      <w:tblPr>
        <w:tblStyle w:val="4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tbl>
      <w:tblPr>
        <w:tblStyle w:val="4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</w:t>
            </w: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.</w:t>
            </w: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  <w:lang w:val="en-US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  <w:lang w:val="en-US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eastAsiaTheme="minor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  <w:lang w:val="en-US" w:eastAsia="zh-CN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lang w:val="en-US" w:eastAsia="zh-CN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  <w:lang w:val="en-US" w:eastAsia="zh-CN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  <w:lang w:val="en-US" w:eastAsia="zh-CN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  <w:lang w:val="en-US" w:eastAsia="zh-CN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  <w:lang w:val="en-US" w:eastAsia="zh-CN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  <w:lang w:val="en-US" w:eastAsia="zh-CN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hint="default" w:ascii="Times New Roman" w:hAnsi="Times New Roman" w:cs="Times New Roman"/>
                <w:color w:val="0000FF"/>
                <w:sz w:val="22"/>
                <w:lang w:val="en-US"/>
              </w:rPr>
              <w:t>()</w:t>
            </w:r>
          </w:p>
          <w:p>
            <w:pPr>
              <w:ind w:firstLine="660" w:firstLineChars="300"/>
              <w:jc w:val="both"/>
              <w:rPr>
                <w:rFonts w:hint="eastAsia"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hint="default" w:ascii="Times New Roman" w:hAnsi="Times New Roman" w:cs="Times New Roman"/>
                <w:color w:val="0000FF"/>
                <w:sz w:val="22"/>
                <w:lang w:val="en-US"/>
              </w:rPr>
              <w:t>()</w:t>
            </w:r>
          </w:p>
          <w:p>
            <w:pPr>
              <w:jc w:val="both"/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Times New Roman" w:hAnsi="Times New Roman" w:cs="Times New Roman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  <w:lang w:val="en-US" w:eastAsia="zh-CN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  <w:lang w:val="en-US" w:eastAsia="zh-CN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/>
                <w:i w:val="0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i w:val="0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/>
                <w:color w:val="0000FF"/>
                <w:sz w:val="22"/>
                <w:lang w:val="en-US" w:eastAsia="zh-CN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hint="eastAsia" w:eastAsiaTheme="minorEastAsia"/>
                <w:color w:val="0000FF"/>
                <w:sz w:val="22"/>
                <w:lang w:val="en-US" w:eastAsia="zh-CN"/>
              </w:rPr>
            </w:pPr>
            <w:r>
              <w:rPr>
                <w:rFonts w:hint="eastAsia"/>
                <w:color w:val="0000FF"/>
                <w:sz w:val="22"/>
                <w:lang w:val="en-US" w:eastAsia="zh-CN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  <w:lang w:val="en-US"/>
              </w:rPr>
            </w:pPr>
            <w:r>
              <w:rPr>
                <w:color w:val="0000FF"/>
                <w:sz w:val="22"/>
                <w:lang w:val="en-US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auto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auto"/>
                <w:szCs w:val="21"/>
                <w:lang w:val="en-US" w:eastAsia="zh-CN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hint="eastAsia" w:ascii="Cambria Math" w:hAnsi="Cambria Math" w:cs="Times New Roman" w:eastAsiaTheme="minorEastAsia"/>
                <w:color w:val="0000FF"/>
                <w:szCs w:val="21"/>
                <w:lang w:val="en-US" w:eastAsia="zh-CN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  <w:lang w:val="en-US" w:eastAsia="zh-CN"/>
              </w:rPr>
              <w:t>6.48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通过固定增量步，来看初始损伤时的载荷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剪切非线性：</w:t>
      </w: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60_0.5_60和60_2.5_60相比，从位移载荷曲线上来看，60_0.5_60更加符合试验，60_2.5_60失效太早，而且比较乱。</w:t>
      </w: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试验90_0.5_60,90_2.5_60,</w:t>
      </w: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由于计算的太慢（增量步间隔太小），4000步都算不完，所以把密度从0.001增至1.。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tabs>
          <w:tab w:val="left" w:pos="8244"/>
        </w:tabs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应力集中因子：</w:t>
      </w:r>
      <w:r>
        <w:rPr>
          <w:rFonts w:hint="default"/>
          <w:b/>
          <w:bCs/>
          <w:sz w:val="24"/>
          <w:szCs w:val="28"/>
          <w:lang w:val="en-US" w:eastAsia="zh-CN"/>
        </w:rPr>
        <w:tab/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24"/>
          <w:szCs w:val="28"/>
          <w:lang w:val="en-US" w:eastAsia="zh-CN"/>
        </w:rPr>
        <w:t>cohensive单元：</w:t>
      </w:r>
    </w:p>
    <w:p>
      <w:pPr>
        <w:jc w:val="both"/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铺层和开孔大小</w:t>
      </w:r>
    </w:p>
    <w:p>
      <w:pPr>
        <w:jc w:val="both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材料参数，密度，lin vs exp, 剪切非线性考虑N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2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_x000B__x000C_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PSTim-B">
    <w:altName w:val="等线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@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NewRomanPS-BoldMT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Univers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">
    <w:panose1 w:val="020F0502020204030204"/>
    <w:charset w:val="A1"/>
    <w:family w:val="auto"/>
    <w:pitch w:val="default"/>
    <w:sig w:usb0="E0002AFF" w:usb1="C000247B" w:usb2="00000009" w:usb3="00000000" w:csb0="200001FF" w:csb1="00000000"/>
  </w:font>
  <w:font w:name="TimesNewRomanPSMT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5+CAJ FNT0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6+CAJSymbolA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Bold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Times-Roman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Times-Italic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Bold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NewRomanPS-ItalicMT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B4+CAJ FNT0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Times-Italic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MinionPro-Regular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Minion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Times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dvEPSTIM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DY3+ZHTEJI-3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2+ZHTEJI-2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dobeHeitiStd-Regular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426+ZHTELw-426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+ZHTEJI-1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0+ZHTEJI-1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8+ZDVGNq-1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77+ZDVGNv-8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4+ZDVGNq-4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+ZDVGNq-1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DY16+ZDVGNr-19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SymbolMT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TimesNewRoman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dvGulliv-R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45F4"/>
    <w:rsid w:val="003D23DA"/>
    <w:rsid w:val="00923A89"/>
    <w:rsid w:val="00A424D0"/>
    <w:rsid w:val="0172042E"/>
    <w:rsid w:val="01CB23E9"/>
    <w:rsid w:val="01DF6A01"/>
    <w:rsid w:val="026F0ADA"/>
    <w:rsid w:val="02C811D0"/>
    <w:rsid w:val="03121E86"/>
    <w:rsid w:val="032E3CB0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973504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847F3C"/>
    <w:rsid w:val="19B8481F"/>
    <w:rsid w:val="19EF7FDA"/>
    <w:rsid w:val="19F50FE6"/>
    <w:rsid w:val="1A140B10"/>
    <w:rsid w:val="1A3F0339"/>
    <w:rsid w:val="1A4271CF"/>
    <w:rsid w:val="1A6B4CA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6A4E08"/>
    <w:rsid w:val="2E8B4381"/>
    <w:rsid w:val="2EBB1967"/>
    <w:rsid w:val="2EC77644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9E4E2E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334FBC"/>
    <w:rsid w:val="3B3C586C"/>
    <w:rsid w:val="3BA35933"/>
    <w:rsid w:val="3BB01E61"/>
    <w:rsid w:val="3BB130BC"/>
    <w:rsid w:val="3BD81559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127324F"/>
    <w:rsid w:val="412E37A0"/>
    <w:rsid w:val="412F57F1"/>
    <w:rsid w:val="41B410BF"/>
    <w:rsid w:val="41C92624"/>
    <w:rsid w:val="41F37B2C"/>
    <w:rsid w:val="4226114D"/>
    <w:rsid w:val="42733EC5"/>
    <w:rsid w:val="427B2CEE"/>
    <w:rsid w:val="433D5F74"/>
    <w:rsid w:val="43DD7B2E"/>
    <w:rsid w:val="441B41BF"/>
    <w:rsid w:val="44425C32"/>
    <w:rsid w:val="45EF09C2"/>
    <w:rsid w:val="460823EC"/>
    <w:rsid w:val="465E3984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57CD6"/>
    <w:rsid w:val="561A6C4A"/>
    <w:rsid w:val="56894861"/>
    <w:rsid w:val="56D16E01"/>
    <w:rsid w:val="571E394C"/>
    <w:rsid w:val="57A94A35"/>
    <w:rsid w:val="57CC360B"/>
    <w:rsid w:val="57DE159C"/>
    <w:rsid w:val="580C03A8"/>
    <w:rsid w:val="58527703"/>
    <w:rsid w:val="5861221E"/>
    <w:rsid w:val="591C14C7"/>
    <w:rsid w:val="595E5955"/>
    <w:rsid w:val="59660B06"/>
    <w:rsid w:val="5A42028B"/>
    <w:rsid w:val="5A487A7C"/>
    <w:rsid w:val="5A6E1C1E"/>
    <w:rsid w:val="5A847F92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435F7"/>
    <w:rsid w:val="603173E2"/>
    <w:rsid w:val="606C2D8A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E6FD4"/>
    <w:rsid w:val="64425738"/>
    <w:rsid w:val="6476303F"/>
    <w:rsid w:val="64C725E7"/>
    <w:rsid w:val="658E7586"/>
    <w:rsid w:val="65E35A92"/>
    <w:rsid w:val="65E50F40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703D6F5E"/>
    <w:rsid w:val="7067425A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D1915"/>
    <w:rsid w:val="780904A6"/>
    <w:rsid w:val="7823053F"/>
    <w:rsid w:val="785D4D88"/>
    <w:rsid w:val="78D1398A"/>
    <w:rsid w:val="790E2AB3"/>
    <w:rsid w:val="795D2BB4"/>
    <w:rsid w:val="79733044"/>
    <w:rsid w:val="798657CA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8D0665"/>
    <w:rsid w:val="7E92134B"/>
    <w:rsid w:val="7EB85743"/>
    <w:rsid w:val="7ECB4D25"/>
    <w:rsid w:val="7F0F3DE4"/>
    <w:rsid w:val="7FF64D0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2017-12-18T13:18:05Z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