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算法结果记录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1"/>
        </w:rPr>
        <w:t>中心线提取算法阶段性实验记录</w:t>
      </w:r>
    </w:p>
    <w:p>
      <w:pPr>
        <w:pStyle w:val="Heading1"/>
      </w:pPr>
      <w:r>
        <w:rPr>
          <w:rFonts w:ascii="Microsoft YaHei" w:hAnsi="Microsoft YaHei" w:eastAsia="Microsoft YaHei"/>
          <w:color w:val="1F4D78"/>
        </w:rPr>
        <w:t>V1：线激光普通灰度重心法 baseline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1. 实验目的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本版本用于验证普通灰度重心法在线激光/曲线激光条纹中心线提取中的基础效果，作为后续法线引导灰度重心法和 Steger 局部精修算法的对比基准。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当前阶段暂不考虑环形激光、极坐标展开和反变换，只评估中心线提取算法本身的误差。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2. 算法流程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生成仿真线激光条纹；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按列提取灰度剖面；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对每列灰度剖面进行局部阈值筛选；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使用灰度加权平均计算亚像素中心位置；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与仿真真实中心线比较误差。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3. 实验脚本与输出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实验脚本：scripts/line_grayscale_centroid_demo.py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输出目录：result/line_grayscale_centroid/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4. 仿真场景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标准线激光条纹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条纹灰度分布接近理想高斯，噪声和干扰较弱。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困难线激光条纹</w:t>
            </w:r>
          </w:p>
        </w:tc>
        <w:tc>
          <w:tcPr>
            <w:tcW w:type="dxa" w:w="65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加入较强噪声、灰度不对称、局部反光、条纹宽度变化和局部遮挡。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4D78"/>
        </w:rPr>
        <w:t>5. 实验结果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运行时间：2026-05-27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  <w:cantSplit/>
        </w:trP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有效点数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平均绝对误差 px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RMSE px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最大绝对误差 px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标准线激光条纹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0.0449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0.0648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0.3088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困难线激光条纹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2.2288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4.3541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22.4184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4D78"/>
        </w:rPr>
        <w:t>6. 阶段结论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普通灰度重心法在理想或半理想线激光条纹上能够获得较小误差，标准仿真场景下 RMSE 约为 0.0648 px。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但在困难场景中，由于存在灰度不对称、局部反光、条纹宽度变化和遮挡，普通灰度重心法误差明显增大，RMSE 达到 4.3541 px，最大误差达到 22.4184 px。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因此，普通灰度重心法适合作为中心线提取 baseline，但不适合作为复杂工况下的最终方案。后续需要继续实现法线引导灰度重心法和 Steger/Hessian 局部精修算法，并与本版本结果进行对比。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D78"/>
        </w:rPr>
        <w:t>V2：线激光直接法线引导灰度重心法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1. 实验目的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本版本在 V1 普通灰度重心法的基础上，引入条纹法线方向约束。算法先通过普通灰度重心获得中心线初值，再根据中心线斜率估计法线方向，并沿法线方向重新计算灰度重心。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当前仍处于线激光中心线提取算法验证阶段，暂不引入环形激光、极坐标展开和反变换，以便单独评估中心线提取算法本身的误差。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2. 算法流程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先使用普通灰度重心法按列提取中心线初值；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对中心线初值进行插值、异常点修复和平滑处理，得到稳定的导向中心线；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根据导向中心线斜率 dy/dx 估计切线方向；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由切线方向计算法线方向，法线向量近似为 (-dy/dx, 1) 并归一化；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以平滑后的中心线初值为采样中心，沿法线方向进行双线性插值采样；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在法线方向灰度剖面上重新计算灰度重心；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直接采用法线方向灰度重心作为新的中心点；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使用近似法向距离误差评价中心线提取精度。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3. 实验脚本与输出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实验脚本：scripts/line_grayscale_centroid_demo.py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输出目录：result/line_normal_guided_centroid/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4. 实验结果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运行时间：2026-05-28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误差指标：近似法向距离误差，单位 px。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/>
          <w:cantSplit/>
        </w:trP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算法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有效点数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平均绝对误差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RMSE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最大绝对误差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标准线激光条纹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普通灰度重心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0.0385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0.0597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0.3078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标准线激光条纹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直接法线引导灰度重心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0.0365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0.0704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1.0192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困难线激光条纹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普通灰度重心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1.0913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1.7986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7.2630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困难线激光条纹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直接法线引导灰度重心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0.5449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0.8263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9.1065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4D78"/>
        </w:rPr>
        <w:t>5. 阶段结论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在标准线激光条纹场景下，直接法线引导灰度重心法的 RMSE 为 0.0704 px，仍低于 0.1 px。该场景中普通灰度重心 RMSE 为 0.0597 px，说明在理想条纹下普通灰度重心已经具有较高精度。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在困难线激光条纹场景下，直接法线引导灰度重心法明显改善了中心线提取稳定性。普通灰度重心 RMSE 为 1.7986 px，直接法线引导灰度重心 RMSE 降至 0.8263 px，说明沿条纹法线方向提取灰度剖面对复杂条纹更有效。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该版本验证了法线引导策略的有效性，尤其在复杂条纹条件下提升明显。标准场景下虽然 RMSE 略高于普通灰度重心，但仍处于 0.1 px 以内，可作为后续 Steger/Hessian 局部精修的初始中心线。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D78"/>
        </w:rPr>
        <w:t>V3：线激光法线引导灰度重心法 + Steger 局部精修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1. 实验目的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本版本在直接法线引导灰度重心法基础上加入 Steger 局部精修，用于验证 Hessian 与二阶导信息是否能够进一步提升亚像素中心定位精度。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当前仍在线激光中心线提取阶段验证算法本身，不考虑环形激光展开与反变换，以便将中心线提取误差与后续圆环变换误差分开分析。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2. 算法流程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先使用普通灰度重心法获得中心线粗定位；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根据粗定位结果平滑估计中心线局部法线方向；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沿法线方向重新计算灰度重心，获得法线引导中心点；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以法线引导中心点为初值，在局部小窗口内进行高斯平滑与 Hessian 二阶导计算；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沿法线方向使用 Steger 思想进行亚像素偏移估计，并输出局部精修后的中心点；</w:t>
      </w:r>
    </w:p>
    <w:p>
      <w:pPr>
        <w:spacing w:after="60"/>
        <w:ind w:left="283"/>
      </w:pPr>
      <w:r>
        <w:rPr>
          <w:rFonts w:ascii="Microsoft YaHei" w:hAnsi="Microsoft YaHei" w:eastAsia="Microsoft YaHei"/>
          <w:sz w:val="21"/>
        </w:rPr>
        <w:t>使用与前两版相同的近似法向距离误差指标进行对比。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3. 实验脚本与输出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实验脚本：scripts/line_normal_guided_steger_demo.py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输出目录：result/line_normal_guided_steger/</w:t>
      </w:r>
    </w:p>
    <w:p>
      <w:pPr>
        <w:pStyle w:val="Heading2"/>
      </w:pPr>
      <w:r>
        <w:rPr>
          <w:rFonts w:ascii="Microsoft YaHei" w:hAnsi="Microsoft YaHei" w:eastAsia="Microsoft YaHei"/>
          <w:color w:val="1F4D78"/>
        </w:rPr>
        <w:t>4. 实验结果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运行时间：2026-06-23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误差指标：近似法向距离误差，单位 px。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/>
          <w:cantSplit/>
        </w:trP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算法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有效点数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平均绝对误差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RMSE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最大绝对误差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标准线激光条纹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普通灰度重心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0.0385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0.0597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0.3078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标准线激光条纹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法线引导灰度重心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0.0365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0.0704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1.0192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标准线激光条纹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法线引导灰度重心 + Steger 局部精修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0.0283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0.0586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1.0192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困难线激光条纹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普通灰度重心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1.0913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1.7986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7.2630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困难线激光条纹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法线引导灰度重心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0.5449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0.8263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9.1065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困难线激光条纹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法线引导灰度重心 + Steger 局部精修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0.5209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0.8035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9.1065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4D78"/>
        </w:rPr>
        <w:t>5. 阶段结论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在标准线激光条纹场景下，Steger 局部精修相较直接法线引导灰度重心法略有改善，RMSE 由 0.0704 px 降至 0.0586 px，已经接近普通灰度重心法的水平。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在困难线激光条纹场景下，Steger 局部精修相较直接法线引导灰度重心法继续改善了误差，RMSE 由 0.8263 px 降至 0.8035 px。说明在法线引导初值附近进行 Hessian 局部亚像素精修是有效的。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sz w:val="21"/>
        </w:rPr>
        <w:t>但从当前结果看，V3 相比 V2 的提升幅度还不算很大，说明局部 Steger 精修参数仍可继续优化。下一步可围绕高斯尺度 sigma、局部窗口半宽、二阶导阈值与精修触发条件做进一步调参，以争取在复杂条纹场景下获得更明显提升。</w:t>
      </w:r>
    </w:p>
    <w:p>
      <w:r>
        <w:br w:type="page"/>
      </w:r>
    </w:p>
    <w:p>
      <w:r/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D78"/>
          <w:sz w:val="28"/>
        </w:rPr>
        <w:t>V4：项目书实时工况与快速中心线模式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本版本是在 V3 法线引导灰度重心核心方法上的工程化更新，不改变中心定义和主定位思路。根据项目书优先工况，当前在线链路采用预处理、向量化普通灰度重心和向量化法线灰度重心，重点满足 50 mm/s 推进速度、10 mm 采样步长对应的实时处理要求。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局部 Hessian/Steger 保留为可选的离线复核和异常区域精修能力，不作为每个在线采样帧的必经步骤。因此 V4 同时包含实时输出路径和高精度复核路径，但不再把工程实时化单独记为新的算法版本。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1. 当前 V4 处理模式</w:t>
      </w:r>
    </w:p>
    <w:tbl>
      <w:tblPr>
        <w:tblStyle w:val="TableGrid"/>
        <w:tblW w:type="dxa" w:w="9070"/>
        <w:tblLayout w:type="fixed"/>
        <w:tblLook w:firstColumn="1" w:firstRow="1" w:lastColumn="0" w:lastRow="0" w:noHBand="0" w:noVBand="1" w:val="04A0"/>
      </w:tblPr>
      <w:tblGrid>
        <w:gridCol w:w="1247"/>
        <w:gridCol w:w="3061"/>
        <w:gridCol w:w="3061"/>
        <w:gridCol w:w="1701"/>
      </w:tblGrid>
      <w:tr>
        <w:trPr>
          <w:tblHeader w:val="true"/>
          <w:cantSplit/>
          <w:tblHeader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模式</w:t>
            </w:r>
          </w:p>
        </w:tc>
        <w:tc>
          <w:tcPr>
            <w:tcW w:type="dxa" w:w="306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处理链</w:t>
            </w:r>
          </w:p>
        </w:tc>
        <w:tc>
          <w:tcPr>
            <w:tcW w:type="dxa" w:w="306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用途</w:t>
            </w:r>
          </w:p>
        </w:tc>
        <w:tc>
          <w:tcPr>
            <w:tcW w:type="dxa" w:w="170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是否执行局部 Steger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在线实时</w:t>
            </w:r>
          </w:p>
        </w:tc>
        <w:tc>
          <w:tcPr>
            <w:tcW w:type="dxa" w:w="306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预处理 + 向量化普通灰度重心 + 向量化法线灰度重心</w:t>
            </w:r>
          </w:p>
        </w:tc>
        <w:tc>
          <w:tcPr>
            <w:tcW w:type="dxa" w:w="306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在线采集、中心线显示、轴向数据记录、异常监测</w:t>
            </w:r>
          </w:p>
        </w:tc>
        <w:tc>
          <w:tcPr>
            <w:tcW w:type="dxa" w:w="170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默认不执行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离线复核</w:t>
            </w:r>
          </w:p>
        </w:tc>
        <w:tc>
          <w:tcPr>
            <w:tcW w:type="dxa" w:w="306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在线结果 + 局部 Hessian/Steger + 置信度回退</w:t>
            </w:r>
          </w:p>
        </w:tc>
        <w:tc>
          <w:tcPr>
            <w:tcW w:type="dxa" w:w="306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扫描结束后的精度分析、异常点复核和后续几何拟合</w:t>
            </w:r>
          </w:p>
        </w:tc>
        <w:tc>
          <w:tcPr>
            <w:tcW w:type="dxa" w:w="170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按需执行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2. 实时实现内容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F4D78"/>
          <w:sz w:val="20"/>
        </w:rPr>
        <w:t>普通灰度重心：</w:t>
      </w:r>
      <w:r>
        <w:rPr>
          <w:rFonts w:ascii="Microsoft YaHei" w:hAnsi="Microsoft YaHei" w:eastAsia="Microsoft YaHei"/>
          <w:b w:val="0"/>
          <w:color w:val="232323"/>
          <w:sz w:val="20"/>
        </w:rPr>
        <w:t>将逐列计算改为矩阵批量计算，保留原有阈值和灰度重心定义。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F4D78"/>
          <w:sz w:val="20"/>
        </w:rPr>
        <w:t>法线灰度重心：</w:t>
      </w:r>
      <w:r>
        <w:rPr>
          <w:rFonts w:ascii="Microsoft YaHei" w:hAnsi="Microsoft YaHei" w:eastAsia="Microsoft YaHei"/>
          <w:b w:val="0"/>
          <w:color w:val="232323"/>
          <w:sz w:val="20"/>
        </w:rPr>
        <w:t>将中心点、法线和截面采样组织为二维数组，一次完成双线性采样、截面阈值和加权重心计算。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F4D78"/>
          <w:sz w:val="20"/>
        </w:rPr>
        <w:t>实时接口：</w:t>
      </w:r>
      <w:r>
        <w:rPr>
          <w:rFonts w:ascii="Microsoft YaHei" w:hAnsi="Microsoft YaHei" w:eastAsia="Microsoft YaHei"/>
          <w:b w:val="0"/>
          <w:color w:val="232323"/>
          <w:sz w:val="20"/>
        </w:rPr>
        <w:t>RealtimePipelineConfig 显式记录目标速度、采样步长、目标 FPS、单帧预算、分阶段耗时和超时状态。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1F4D78"/>
          <w:sz w:val="20"/>
        </w:rPr>
        <w:t>精度复核：</w:t>
      </w:r>
      <w:r>
        <w:rPr>
          <w:rFonts w:ascii="Microsoft YaHei" w:hAnsi="Microsoft YaHei" w:eastAsia="Microsoft YaHei"/>
          <w:b w:val="0"/>
          <w:color w:val="232323"/>
          <w:sz w:val="20"/>
        </w:rPr>
        <w:t>normal_guided_steger.py 继续提供 Hessian、Taylor 位移、置信度判断和失败回退，但由在线链路按需调用。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3. 50 mm/s + 10 mm 实时基准</w:t>
      </w:r>
    </w:p>
    <w:tbl>
      <w:tblPr>
        <w:tblStyle w:val="TableGrid"/>
        <w:tblW w:type="dxa" w:w="9523"/>
        <w:tblLayout w:type="fixed"/>
        <w:tblLook w:firstColumn="1" w:firstRow="1" w:lastColumn="0" w:lastRow="0" w:noHBand="0" w:noVBand="1" w:val="04A0"/>
      </w:tblPr>
      <w:tblGrid>
        <w:gridCol w:w="1247"/>
        <w:gridCol w:w="1134"/>
        <w:gridCol w:w="1077"/>
        <w:gridCol w:w="1247"/>
        <w:gridCol w:w="1247"/>
        <w:gridCol w:w="1020"/>
        <w:gridCol w:w="1020"/>
        <w:gridCol w:w="1531"/>
      </w:tblGrid>
      <w:tr>
        <w:trPr>
          <w:tblHeader w:val="true"/>
          <w:cantSplit/>
          <w:tblHeader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场景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平均耗时</w:t>
              <w:br/>
              <w:t>ms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P95</w:t>
              <w:br/>
              <w:t>ms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最大耗时</w:t>
              <w:br/>
              <w:t>ms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法线 RMSE</w:t>
              <w:br/>
              <w:t>px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有效点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超时次数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232323"/>
                <w:sz w:val="16"/>
              </w:rPr>
              <w:t>结论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正常直线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37.3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39.1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39.3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0.0814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弯曲条纹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36.2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37.7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38.3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0.0704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大曲率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34.4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36.6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36.6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0.8356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弱光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34.1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36.2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36.3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0.0704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强噪声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35.4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39.7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42.6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0.4563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反光干扰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34.9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36.6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36.9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0.8464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饱和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33.8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34.9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36.9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0.3789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双峰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34.1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35.4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35.9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0.9192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512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  <w:shd w:fill="F7FBFD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断裂</w:t>
            </w:r>
          </w:p>
        </w:tc>
        <w:tc>
          <w:tcPr>
            <w:tcW w:type="dxa" w:w="1134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34.5</w:t>
            </w:r>
          </w:p>
        </w:tc>
        <w:tc>
          <w:tcPr>
            <w:tcW w:type="dxa" w:w="107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35.9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36.0</w:t>
            </w:r>
          </w:p>
        </w:tc>
        <w:tc>
          <w:tcPr>
            <w:tcW w:type="dxa" w:w="1247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11.3758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510</w:t>
            </w:r>
          </w:p>
        </w:tc>
        <w:tc>
          <w:tcPr>
            <w:tcW w:type="dxa" w:w="1020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0</w:t>
            </w:r>
          </w:p>
        </w:tc>
        <w:tc>
          <w:tcPr>
            <w:tcW w:type="dxa" w:w="1531"/>
            <w:vAlign w:val="cente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232323"/>
                <w:sz w:val="16"/>
              </w:rPr>
              <w:t>通过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九类场景均未超过 200 ms 门限。平均耗时约 35.0 ms，所有场景中的最大耗时为 42.6 ms，超时次数为 0。当前 V4 在线中心线计算内核满足 5 FPS 要求，并保留约 157.4 ms 的单帧余量。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当前基准覆盖 512×512 仿真线条图和中心线计算内核，尚未包含相机曝光、图像传输、编码器同步、3600 点环形数据处理、圆/椭圆拟合、界面刷新和报告生成，因此属于实时算法内核验收，不等同于整机端到端验收。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4. 当前文件与输出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src/centerline/preprocess.py：灰度化、背景扣除、ROI 和有效区域。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src/centerline/gray_centroid.py：普通灰度重心及向量化快速路径。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src/centerline/normal_guided_centroid.py：法线估计、法线采样和向量化灰度重心。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src/centerline/normal_guided_steger.py：可选局部 Hessian/Steger 复核和回退。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src/centerline/pipeline.py：实时接口和离线复核接口。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scripts/realtime_benchmark.py：50 mm/s + 10 mm 实时基准。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tests/test_centerline_algorithms.py：核心数学函数和实时接口单元测试。</w:t>
      </w:r>
    </w:p>
    <w:p>
      <w:pPr>
        <w:spacing w:after="5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README.md：当前算法流程、运行方式和版本管理规则。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1F4D78"/>
          <w:sz w:val="20"/>
        </w:rPr>
        <w:t>实时基准：</w:t>
      </w:r>
      <w:r>
        <w:rPr>
          <w:rFonts w:ascii="Microsoft YaHei" w:hAnsi="Microsoft YaHei" w:eastAsia="Microsoft YaHei"/>
          <w:b w:val="0"/>
          <w:color w:val="232323"/>
          <w:sz w:val="19"/>
        </w:rPr>
        <w:t>result/realtime_benchmark/summary.csv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1F4D78"/>
          <w:sz w:val="24"/>
        </w:rPr>
        <w:t>5. 当前结论与版本规则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当前 V4 的核心算法仍然是法线引导灰度重心；向量化、帧预算、超时统计和在线/离线双模式属于工程实现。局部 Steger 不被无条件接受，仍通过位移、Hessian 响应、特征值比值、法线夹角和有效区域判断决定是否采用，失败时回退到法线灰度重心。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后续只有中心提取算法的核心定位策略、中心定义或关键数学模型发生实质迭代时，才新增版本号。参数调整、速度优化、测试场景增加、文档补充和工程接口修改，均继续在当前 V4 上更新。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b w:val="0"/>
          <w:color w:val="232323"/>
          <w:sz w:val="20"/>
        </w:rPr>
        <w:t>下一步重点是接入真实环形激光图像，完成极坐标展开、标定、圆/椭圆拟合、内径计算以及整机链路的端到端实时验证。</w:t>
      </w:r>
    </w:p>
    <w:p>
      <w:pPr>
        <w:pStyle w:val="Heading1"/>
        <w:spacing w:before="120" w:after="80" w:line="259" w:lineRule="auto"/>
        <w:keepNext/>
        <w:pageBreakBefore/>
        <w:snapToGrid w:val="0"/>
      </w:pPr>
      <w:r>
        <w:rPr>
          <w:rFonts w:ascii="Microsoft YaHei" w:hAnsi="Microsoft YaHei" w:eastAsia="Microsoft YaHei"/>
          <w:b/>
          <w:color w:val="000000"/>
          <w:sz w:val="28"/>
        </w:rPr>
        <w:t>V5 法线引导灰度重心与 Steger 批量精修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更新日期  2026 年 10 月 12 日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/>
          <w:color w:val="000000"/>
          <w:sz w:val="20"/>
        </w:rPr>
        <w:t>九类图已统一为单因素仿真；V5 本组通过 5/9 项，算法代码及参数未变。</w:t>
      </w:r>
    </w:p>
    <w:p>
      <w:pPr>
        <w:pStyle w:val="Heading2"/>
        <w:spacing w:before="120" w:after="80" w:line="259" w:lineRule="auto"/>
        <w:keepNext/>
        <w:snapToGrid w:val="0"/>
      </w:pPr>
      <w:r>
        <w:rPr>
          <w:rFonts w:ascii="Microsoft YaHei" w:hAnsi="Microsoft YaHei" w:eastAsia="Microsoft YaHei"/>
          <w:b/>
          <w:color w:val="000000"/>
          <w:sz w:val="22"/>
        </w:rPr>
        <w:t>算法流程与改动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20"/>
        </w:rPr>
        <w:t>预处理扣除背景，按候选峰连续性筛选主条纹；局部二次拟合估计法线，沿法线计算灰度重心，再按条纹宽度分组进行 Steger 精修。信号不足或越界点无效；有效初值可回退，缺失区插值仅用于引导。</w:t>
      </w:r>
    </w:p>
    <w:p>
      <w:pPr>
        <w:pStyle w:val="Heading2"/>
        <w:spacing w:before="120" w:after="80" w:line="259" w:lineRule="auto"/>
        <w:keepNext/>
        <w:snapToGrid w:val="0"/>
      </w:pPr>
      <w:r>
        <w:rPr>
          <w:rFonts w:ascii="Microsoft YaHei" w:hAnsi="Microsoft YaHei" w:eastAsia="Microsoft YaHei"/>
          <w:b/>
          <w:color w:val="000000"/>
          <w:sz w:val="22"/>
        </w:rPr>
        <w:t>测试条件与误差口径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20"/>
        </w:rPr>
        <w:t>512×512 图，以水平直线为基准：背景 20、幅度 160、法向宽度 σ=2.6 px、基础高斯噪声 σ=5，同一种子配对噪声。曲线仅改变形状，反光仅加亮斑，弱光仅将幅度乘 0.42，断裂仅移除局部条纹。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20"/>
        </w:rPr>
        <w:t>强噪声仅提高噪声 σ 至 18，避免额外饱和；单侧干扰为 15% 副条纹（间距 8 px、σ=2 px）；饱和仅提高幅度至 280 后截断到 255。五个种子共 45 张图已核对；本表重测种子 7 的九图，每图预热 2 次、计时 10 次。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RMSE 为估计位置处误差在真值法线上的投影；无效点不计入，有效回退点计入。以下是单种子结果，覆盖率单独报告。</w:t>
      </w:r>
    </w:p>
    <w:p>
      <w:pPr>
        <w:pStyle w:val="Heading2"/>
        <w:spacing w:before="120" w:after="80" w:line="259" w:lineRule="auto"/>
        <w:keepNext/>
        <w:snapToGrid w:val="0"/>
      </w:pPr>
      <w:r>
        <w:rPr>
          <w:rFonts w:ascii="Microsoft YaHei" w:hAnsi="Microsoft YaHei" w:eastAsia="Microsoft YaHei"/>
          <w:b/>
          <w:color w:val="000000"/>
          <w:sz w:val="22"/>
        </w:rPr>
        <w:t>当前测量结果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361"/>
        <w:gridCol w:w="1361"/>
        <w:gridCol w:w="1361"/>
        <w:gridCol w:w="1361"/>
        <w:gridCol w:w="164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9EEF3"/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9EEF3"/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RMSE</w:t>
              <w:br/>
              <w:t>px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9EEF3"/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有效点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9EEF3"/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平均</w:t>
              <w:br/>
              <w:t>ms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9EEF3"/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最慢</w:t>
              <w:br/>
              <w:t>ms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  <w:shd w:fill="E9EEF3"/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联合门槛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普通直线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0.03048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96.7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99.1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曲线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0.03958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120.4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125.9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大曲率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0.16989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152.7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177.5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弱光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0.06957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100.5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103.6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噪声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0.10514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101.0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105.8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反光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0.11009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100.5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104.7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纯饱和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0.01618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87.9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91.0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单侧干扰 15%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0.03161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512/512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94.0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95.9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断裂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0.03725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457/512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96.1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98.5</w:t>
            </w:r>
          </w:p>
        </w:tc>
        <w:tc>
          <w:tcPr>
            <w:tcW w:type="dxa" w:w="1644"/>
            <w:vAlign w:val="center"/>
            <w:tcMar>
              <w:top w:w="40" w:type="dxa"/>
              <w:bottom w:w="40" w:type="dxa"/>
              <w:left w:w="85" w:type="dxa"/>
              <w:right w:w="85" w:type="dxa"/>
            </w:tcMar>
          </w:tcPr>
          <w:p>
            <w:pPr>
              <w:spacing w:before="20" w:after="20" w:line="240" w:lineRule="exact"/>
              <w:jc w:val="center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未通过</w:t>
            </w:r>
          </w:p>
        </w:tc>
      </w:tr>
    </w:tbl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联合开发门槛为 RMSE≤0.1 px、覆盖率≥95%、所有计时样本≤200 ms。本表通过 5/9 项，90 次计时均未超时；43 项回归检查通过。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大曲率、强噪声、反光精度超标，断裂覆盖率不足。饱和图已替换到原测试目录。输入改变后的结果不能宣称算法改进；计时不含采集、展开、标定和内径拟合，物理精度仍需整机验证。</w:t>
      </w:r>
    </w:p>
    <w:p>
      <w:pPr>
        <w:spacing w:before="0" w:after="80" w:line="259" w:lineRule="auto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汇总数据：result/v5_benchmark/current_summary.json</w:t>
      </w:r>
    </w:p>
    <w:p>
      <w:pPr>
        <w:spacing w:line="259" w:lineRule="auto" w:after="100"/>
        <w:pageBreakBefore/>
        <w:snapToGrid w:val="0"/>
      </w:pPr>
      <w:r>
        <w:rPr>
          <w:rFonts w:ascii="Microsoft YaHei" w:hAnsi="Microsoft YaHei" w:eastAsia="Microsoft YaHei"/>
          <w:b/>
          <w:color w:val="000000"/>
          <w:sz w:val="26"/>
        </w:rPr>
        <w:t>环形流程与仿真验证</w:t>
      </w:r>
    </w:p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/>
          <w:color w:val="000000"/>
          <w:sz w:val="20"/>
        </w:rPr>
        <w:t>V5 环形软件流程已接通，原中心线核心未修改。毫米结果均使用已知仿真标定；精度限制与真实设备待验证项单独列出。</w:t>
      </w:r>
    </w:p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 w:val="0"/>
          <w:color w:val="000000"/>
          <w:sz w:val="20"/>
        </w:rPr>
        <w:t>环形图 → 灰度与 ROI → 极坐标展开 → 法线重心和 Steger → 亚像素反变换 → 畸变及激光平面重建 → 圆／椭圆拟合 → 内径、圆度及轴向分析。每圈直接提取 3600 个角度样本，0.1°/点；周期边界不重复采样。</w:t>
      </w:r>
    </w:p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 w:val="0"/>
          <w:color w:val="000000"/>
          <w:sz w:val="20"/>
        </w:rPr>
        <w:t>512×512 图、五个随机种子、九类单因素场景，每图预热 2 次并计时 5 次。针孔内参及激光平面为仿真已知值，尺度 0.5 mm/px。总计时包含定位、展开、提取、反变换、标定和几何，不含采集、图像生成或保存。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法向 RMSE</w:t>
              <w:br/>
              <w:t>px 范围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内径误差</w:t>
              <w:br/>
              <w:t>最大绝对 mm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最低</w:t>
              <w:br/>
              <w:t>覆盖率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全链路</w:t>
              <w:br/>
              <w:t>最慢 ms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圆环基准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0.0424–0.0442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0.00668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141.3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椭圆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0.0434–0.0481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0.00298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172.7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大曲率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0.0388–0.0426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0.00282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181.9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弱光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0.0961–0.1014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0.00636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177.8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强噪声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0.1455–0.1528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0.01183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186.7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反光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0.0871–0.0889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0.03357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141.2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饱和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0.0227–0.0242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0.00321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133.9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15%干扰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0.0454–0.0475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0.01756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100.0%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159.8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断裂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0.0908–0.1171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0.00855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94.1%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4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186.0</w:t>
            </w:r>
          </w:p>
        </w:tc>
      </w:tr>
    </w:tbl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74 项检查通过；225 次完整计时均低于 200 ms，最慢 186.7 ms。像素精度、覆盖率与时间联合通过 34/45 图。普通圆环五种子内径范围为 0.004432 mm。</w:t>
      </w:r>
    </w:p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正式圆度为全部观测点相对最小二乘圆的径向峰谷差；稳健拟合仅作诊断，标记随点集保存。缺失法线或二维导数邻域不输出有效点，断裂区不插值成测量点。</w:t>
      </w:r>
    </w:p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/>
          <w:color w:val="000000"/>
          <w:sz w:val="18"/>
        </w:rPr>
        <w:t>强噪声、部分弱光精度及断裂覆盖率未达标；反光和副条纹的毫米内径误差超出 ±0.01 mm。本组圆度测量误差均未达到 0.005 mm。3600 个角度样本仍受原图分辨率限制，不能据此宣称整机达标。</w:t>
      </w:r>
    </w:p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6 米三截面仿真已输出三维点云：锥度变化 0.00983 mm（真值 0.01000），固定基准轴中心偏移包络直径 0.20697 mm（真值 0.20000）。标定姿态明确是否含编码器位移，避免重复加位移。</w:t>
      </w:r>
    </w:p>
    <w:p>
      <w:pPr>
        <w:spacing w:line="259" w:lineRule="auto" w:after="100"/>
        <w:snapToGrid w:val="0"/>
      </w:pPr>
      <w:r>
        <w:rPr>
          <w:rFonts w:ascii="Microsoft YaHei" w:hAnsi="Microsoft YaHei" w:eastAsia="Microsoft YaHei"/>
          <w:b w:val="0"/>
          <w:color w:val="000000"/>
          <w:sz w:val="18"/>
        </w:rPr>
        <w:t>数据与完整报告：result/v5_ring_measurement/。真实相机标定、环规验收、温漂、探杆变形及采集同步需要设备实测输入。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