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可行性承诺书 / Feasibility Commitment Letter</w:t>
      </w:r>
    </w:p>
    <w:p>
      <w:pPr>
        <w:jc w:val="center"/>
      </w:pPr>
      <w:r>
        <w:rPr>
          <w:color w:val="4472C4"/>
          <w:sz w:val="24"/>
        </w:rPr>
        <w:t>Stellantis KP1 A&amp;B — 燃油供给管路 (FC00SAA78530)</w:t>
      </w:r>
    </w:p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一、基本信息（Basic Information）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客户 / Customer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Stellantis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项目代号 / Program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KP1 A&amp;B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零件号 / Part No.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FC00SAA78530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零件名称 / Part Name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Fuel Supply Line（供油管路，滤清器至发动机）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RFQ 编号 / RFQ No.</w:t>
            </w:r>
          </w:p>
        </w:tc>
        <w:tc>
          <w:tcPr>
            <w:tcW w:type="dxa" w:w="56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 / TBD]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评审日期 / Review Date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2026-03-10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供应商名称 / Supplier</w:t>
            </w:r>
          </w:p>
        </w:tc>
        <w:tc>
          <w:tcPr>
            <w:tcW w:type="dxa" w:w="56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[公司名称 - 待填]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供应商集成等级 / SI Level</w:t>
            </w:r>
          </w:p>
        </w:tc>
        <w:tc>
          <w:tcPr>
            <w:tcW w:type="dxa" w:w="56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Level 2</w:t>
            </w:r>
          </w:p>
        </w:tc>
      </w:tr>
    </w:tbl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二、总体可行性结论（Overall Feasibility Conclusion）</w:t>
      </w:r>
    </w:p>
    <w:p>
      <w:r>
        <w:rPr>
          <w:b/>
          <w:sz w:val="24"/>
        </w:rPr>
        <w:t>☐ Go   ☒ 条件 Go（Conditional Go）   ☐ No-Go</w:t>
      </w:r>
    </w:p>
    <w:p>
      <w:r>
        <w:rPr>
          <w:b/>
        </w:rPr>
        <w:t>前提条件（Conditions）:</w:t>
      </w:r>
    </w:p>
    <w:p>
      <w:pPr>
        <w:pStyle w:val="ListNumber"/>
        <w:ind w:left="283"/>
      </w:pPr>
      <w:r>
        <w:rPr>
          <w:sz w:val="22"/>
        </w:rPr>
        <w:t>1. UG/Teamcenter (TcAE) 3D能力确认（Hard Prerequisite — Stellantis不接受其他3D格式）</w:t>
      </w:r>
    </w:p>
    <w:p>
      <w:pPr>
        <w:pStyle w:val="ListNumber"/>
        <w:ind w:left="283"/>
      </w:pPr>
      <w:r>
        <w:rPr>
          <w:sz w:val="22"/>
        </w:rPr>
        <w:t>2. CDS（零部件开发规格书）从客户获取</w:t>
      </w:r>
    </w:p>
    <w:p>
      <w:pPr>
        <w:pStyle w:val="ListNumber"/>
        <w:ind w:left="283"/>
      </w:pPr>
      <w:r>
        <w:rPr>
          <w:sz w:val="22"/>
        </w:rPr>
        <w:t>3. 车辆开发时间计划（VP/PS/SOP日期）从客户获取</w:t>
      </w:r>
    </w:p>
    <w:p>
      <w:pPr>
        <w:pStyle w:val="ListNumber"/>
        <w:ind w:left="283"/>
      </w:pPr>
      <w:r>
        <w:rPr>
          <w:sz w:val="22"/>
        </w:rPr>
        <w:t>4. 金属管内镀镍方案确认（自有 or 外协）</w:t>
      </w:r>
    </w:p>
    <w:p>
      <w:pPr>
        <w:pStyle w:val="ListNumber"/>
        <w:ind w:left="283"/>
      </w:pPr>
      <w:r>
        <w:rPr>
          <w:sz w:val="22"/>
        </w:rPr>
        <w:t>5. 关键测试委外实验室预约确认</w:t>
      </w:r>
    </w:p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三、特殊特性确认（CC/SC Commitment）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特性类型</w:t>
            </w:r>
          </w:p>
        </w:tc>
        <w:tc>
          <w:tcPr>
            <w:tcW w:type="dxa" w:w="2835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特性名称</w:t>
            </w:r>
          </w:p>
        </w:tc>
        <w:tc>
          <w:tcPr>
            <w:tcW w:type="dxa" w:w="1984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要求值</w:t>
            </w:r>
          </w:p>
        </w:tc>
        <w:tc>
          <w:tcPr>
            <w:tcW w:type="dxa" w:w="1701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我方承诺 Cpk</w:t>
            </w:r>
          </w:p>
        </w:tc>
        <w:tc>
          <w:tcPr>
            <w:tcW w:type="dxa" w:w="226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管控方案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燃油系统完整性（碰撞后不泄漏）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FMVSS 301全通过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N/A（OEM测试）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接头二次锁止设计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泄漏密封性（液体管）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≥150 PSI</w:t>
            </w:r>
          </w:p>
        </w:tc>
        <w:tc>
          <w:tcPr>
            <w:tcW w:type="dxa" w:w="1701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100%在线泄漏测试（15μm VLD）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静电耗散（防爆燃）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SAE J1645</w:t>
            </w:r>
          </w:p>
        </w:tc>
        <w:tc>
          <w:tcPr>
            <w:tcW w:type="dxa" w:w="1701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导电层设计 + 接地路径验证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接头拔脱力（液体管，RT）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≥450N</w:t>
            </w:r>
          </w:p>
        </w:tc>
        <w:tc>
          <w:tcPr>
            <w:tcW w:type="dxa" w:w="1701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接头设计和管端成型管控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脉冲耐久（300K/600K次）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R95C90, 45件</w:t>
            </w:r>
          </w:p>
        </w:tc>
        <w:tc>
          <w:tcPr>
            <w:tcW w:type="dxa" w:w="1701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委外测试（TÜV/SGS）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金属管内镀镍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Must（CTS强制）</w:t>
            </w:r>
          </w:p>
        </w:tc>
        <w:tc>
          <w:tcPr>
            <w:tcW w:type="dxa" w:w="1701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电镀供应商管控</w:t>
            </w:r>
          </w:p>
        </w:tc>
      </w:tr>
    </w:tbl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四、质量目标承诺（Quality Target Commitment）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质量指标</w:t>
            </w:r>
          </w:p>
        </w:tc>
        <w:tc>
          <w:tcPr>
            <w:tcW w:type="dxa" w:w="2835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685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我方承诺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CCP @3月市场故障率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0.00 PPM</w:t>
            </w:r>
          </w:p>
        </w:tc>
        <w:tc>
          <w:tcPr>
            <w:tcW w:type="dxa" w:w="3685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[待确认]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CCP @12月市场故障率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0.035 PPM</w:t>
            </w:r>
          </w:p>
        </w:tc>
        <w:tc>
          <w:tcPr>
            <w:tcW w:type="dxa" w:w="3685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[待确认]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ICP 初始客户感知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685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[待确认]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关键尺寸 Cpk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≥1.67（推测）</w:t>
            </w:r>
          </w:p>
        </w:tc>
        <w:tc>
          <w:tcPr>
            <w:tcW w:type="dxa" w:w="3685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[待填]</w:t>
            </w:r>
          </w:p>
        </w:tc>
      </w:tr>
      <w:tr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整车设计寿命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15年/150,000英里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确认</w:t>
            </w:r>
          </w:p>
        </w:tc>
      </w:tr>
    </w:tbl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五、制造可行性声明（Manufacturing Feasibility）</w:t>
      </w:r>
    </w:p>
    <w:p>
      <w:pPr>
        <w:ind w:left="283"/>
      </w:pPr>
      <w:r>
        <w:rPr>
          <w:sz w:val="22"/>
        </w:rPr>
        <w:t>• 工艺路线确认：[待工程师确认 — 尼龙管成型 + 金属管弯曲 + 快速接头装配]</w:t>
      </w:r>
    </w:p>
    <w:p>
      <w:pPr>
        <w:ind w:left="283"/>
      </w:pPr>
      <w:r>
        <w:rPr>
          <w:sz w:val="22"/>
        </w:rPr>
        <w:t>• DFM 结论：[待工程师评估]</w:t>
      </w:r>
    </w:p>
    <w:p>
      <w:pPr>
        <w:ind w:left="283"/>
      </w:pPr>
      <w:r>
        <w:rPr>
          <w:sz w:val="22"/>
        </w:rPr>
        <w:t>• 产能/节拍确认：[待工程师评估]</w:t>
      </w:r>
    </w:p>
    <w:p>
      <w:pPr>
        <w:ind w:left="283"/>
      </w:pPr>
      <w:r>
        <w:rPr>
          <w:sz w:val="22"/>
        </w:rPr>
        <w:t>• 金属管内镀镍：[自有 / 外协 — 待确认]</w:t>
      </w:r>
    </w:p>
    <w:p>
      <w:pPr>
        <w:ind w:left="283"/>
      </w:pPr>
      <w:r>
        <w:rPr>
          <w:sz w:val="22"/>
        </w:rPr>
        <w:t>• 阻尼器供应商：[待确认 Tier 2 配合意愿]</w:t>
      </w:r>
    </w:p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六、技术例外项（Technical Exceptions）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例外项</w:t>
            </w:r>
          </w:p>
        </w:tc>
        <w:tc>
          <w:tcPr>
            <w:tcW w:type="dxa" w:w="226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客户要求</w:t>
            </w:r>
          </w:p>
        </w:tc>
        <w:tc>
          <w:tcPr>
            <w:tcW w:type="dxa" w:w="1984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35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处置方向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UG/TcAE 3D能力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Native .prt / TcAE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🔵 待确认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内部确认/若无则为 Hard Stop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金属管内镀镍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CTS强制要求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🔵 待确认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外协电镀 or 预镀镍管采购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CDS未提供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TDR要求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❌ 已要求客户提供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向客户PM索要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车辆开发计划未提供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TDR要求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❌ 已要求客户提供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向客户PM索要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脉冲/振动测试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R95C90, 45件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🔵 待确认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委外第三方实验室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材料预批准（SD-M0008/03）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Stellantis预批准清单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🔵 待确认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确认管材供应商状态</w:t>
            </w:r>
          </w:p>
        </w:tc>
      </w:tr>
    </w:tbl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七、风险声明（Risk Statement）</w:t>
      </w:r>
    </w:p>
    <w:p>
      <w:r>
        <w:rPr>
          <w:b/>
        </w:rPr>
        <w:t>以下为主要高级别风险项（详见风险提示清单.md）：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风险级别</w:t>
            </w:r>
          </w:p>
        </w:tc>
        <w:tc>
          <w:tcPr>
            <w:tcW w:type="dxa" w:w="4535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3969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管控措施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UG/TcAE能力缺失 — 为报价 Hard Stop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立即确认内部能力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CDS/3D/开发计划缺失导致成本精度低（±30%）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立即向客户索要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塑料管材/接头预批准状态未知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TKO前确认材料和接头供应商批准状态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CCP 0.00 PPM@3月极严目标</w:t>
            </w:r>
          </w:p>
        </w:tc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从设计阶段建立防错和100%在线检测</w:t>
            </w:r>
          </w:p>
        </w:tc>
      </w:tr>
    </w:tbl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八、资源与进度承诺（Resource &amp; Timing Commitment）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 / Milestone</w:t>
            </w:r>
          </w:p>
        </w:tc>
        <w:tc>
          <w:tcPr>
            <w:tcW w:type="dxa" w:w="3969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状态/说明</w:t>
            </w:r>
          </w:p>
        </w:tc>
        <w:tc>
          <w:tcPr>
            <w:tcW w:type="dxa" w:w="311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CFT 团队确认</w:t>
            </w:r>
          </w:p>
        </w:tc>
        <w:tc>
          <w:tcPr>
            <w:tcW w:type="dxa" w:w="39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 SDT 名册填写]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见 SDT团队名册.xlsx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SOP 日期</w:t>
            </w:r>
          </w:p>
        </w:tc>
        <w:tc>
          <w:tcPr>
            <w:tcW w:type="dxa" w:w="39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[待客户提供车辆开发计划]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❌ 缺失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PPAP 提交日期</w:t>
            </w:r>
          </w:p>
        </w:tc>
        <w:tc>
          <w:tcPr>
            <w:tcW w:type="dxa" w:w="39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[待SOP日期确定后推算]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🔵 待定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DV 测试开始</w:t>
            </w:r>
          </w:p>
        </w:tc>
        <w:tc>
          <w:tcPr>
            <w:tcW w:type="dxa" w:w="39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[待VP日期确认]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🔵 待定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TKO</w:t>
            </w:r>
          </w:p>
        </w:tc>
        <w:tc>
          <w:tcPr>
            <w:tcW w:type="dxa" w:w="3969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[待客户提供]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20"/>
              </w:rPr>
              <w:t>❌ 缺失</w:t>
            </w:r>
          </w:p>
        </w:tc>
      </w:tr>
    </w:tbl>
    <w:p/>
    <w:p>
      <w:pPr>
        <w:shd w:val="clear" w:color="auto" w:fill="4472C4"/>
        <w:spacing w:before="160" w:after="80"/>
        <w:ind w:left="113"/>
      </w:pPr>
      <w:r>
        <w:rPr>
          <w:b/>
          <w:color w:val="FFFFFF"/>
          <w:sz w:val="24"/>
        </w:rPr>
        <w:t>九、签字栏（Sign-off）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3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工程负责人</w:t>
            </w:r>
          </w:p>
        </w:tc>
        <w:tc>
          <w:tcPr>
            <w:tcW w:type="dxa" w:w="243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质量负责人</w:t>
            </w:r>
          </w:p>
        </w:tc>
        <w:tc>
          <w:tcPr>
            <w:tcW w:type="dxa" w:w="243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销售负责人</w:t>
            </w:r>
          </w:p>
        </w:tc>
        <w:tc>
          <w:tcPr>
            <w:tcW w:type="dxa" w:w="2438"/>
            <w:shd w:val="clear" w:color="auto"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管理层代表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姓名：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姓名：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姓名：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姓名：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日期：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日期：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日期：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日期：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签字：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签字：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签字：</w:t>
            </w:r>
          </w:p>
        </w:tc>
        <w:tc>
          <w:tcPr>
            <w:tcW w:type="dxa" w:w="2438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签字：</w:t>
            </w:r>
          </w:p>
        </w:tc>
      </w:tr>
    </w:tbl>
    <w:p/>
    <w:p>
      <w:pPr>
        <w:ind w:left="170"/>
        <w:shd w:val="clear" w:color="auto" w:fill="FFF2CC"/>
      </w:pPr>
      <w:r>
        <w:rPr>
          <w:i/>
          <w:sz w:val="20"/>
        </w:rPr>
        <w:t>⚠️ 黄色字段需人工填写。本承诺书基于现有客户文件（SSTS KP1 Rev.00, 2022-03-09）自动生成，部分数据（CDS、开发计划、3D数据）缺失，已标注为待定。总体结论为“条件 Go”，前提条件须逐项确认后方可最终签字提交。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