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被试情况说明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本次实验共有</w:t>
      </w:r>
      <w:r>
        <w:rPr>
          <w:rFonts w:hint="eastAsia"/>
          <w:lang w:val="en-US" w:eastAsia="zh-CN"/>
        </w:rPr>
        <w:t>74人参加，其中6人在未完成时选择放弃，完成所有实验的68人。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（10，14，15，24，41，70，其中15号和41号完成了IAT，但放弃了社会联结范式）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实验顺序：编号为单数的被试先完成IAT，再完成社会联结范式；编号为双数的被试先完成社会联结范式，再完成IAT。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IAT有70人完成，除了编号40的被试第一次正式实验正确率为0.78，没达到0.8的正确率外，其他被试正确率均在0.8以上。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社会联结实验正确率0.6以上49人，0.7以上21人。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放弃实验原因：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1人因为心理压力较大，一直无法完成实验练习阶段选择放弃（10）；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5人因为还有其他事情，没有足够时间完成实验选择放弃。（14，15，24，41，70）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正确率较低的原因：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1.4月3日，主试口头指导语不当，给被试施加了心理上的压力，主观认为实验很难，导致正确率偏低（大概4人：2，8，9，12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2.4月4日由于天气原因，实验室无空调，实验环境温度很低，被试状态不佳难以完成实验。（4人：17，19，20，21）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月10日上午有其他同学借用实验室做实验，使实验室环境比较嘈杂，噪音较大。没能确保安静的实验条件，有一名被试明确反应噪音太大。当天上午参加实验的被试受到影响，正确率普遍不高。（5人：32,33,34,35,36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4.4月10日晚，一名被试情绪比较焦躁，做完实验后产生了愤怒的情绪，实验完成后直接与同伴离开。（1人：43）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被试自身状态原因。（2人：53,68）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3"/>
        <w:tblW w:w="4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5"/>
        <w:gridCol w:w="133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实验编号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SAT正确率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反应时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实验日期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842.72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699.95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604.74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784.22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812.64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733.57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671.42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601.09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676.4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33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0.49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619.92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664.83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807.14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676.6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722.03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698.94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477.64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33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0.59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667.99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729.63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33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0.78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681.58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787.11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682.98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783.11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605.16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796.07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133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817.12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561.22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653.67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475.87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673.87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502.19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692.69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736.39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660.71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576.62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133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765.36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4.10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837.03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785.99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826.82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738.81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767.77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808.58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569.66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859.32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710.19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627.18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769.74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571.83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33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0.63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623.71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803.87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732.76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766.55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779.83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774.19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</w:t>
            </w:r>
          </w:p>
        </w:tc>
        <w:tc>
          <w:tcPr>
            <w:tcW w:w="133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0.64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692.94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844.46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690.8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716.72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768.24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772.29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74</w:t>
            </w:r>
          </w:p>
        </w:tc>
        <w:tc>
          <w:tcPr>
            <w:tcW w:w="133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0.61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641.74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4.13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06C7E"/>
    <w:multiLevelType w:val="singleLevel"/>
    <w:tmpl w:val="5AD06C7E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867F3"/>
    <w:rsid w:val="2CFA56DE"/>
    <w:rsid w:val="3ED13315"/>
    <w:rsid w:val="7AAD69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2018-04-13T09:31:14Z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