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EndPr/>
      <w:sdtContent>
        <w:p w14:paraId="70599B22" w14:textId="3C1A6F83" w:rsidR="00F25571" w:rsidRPr="00FD34D6" w:rsidRDefault="00F25571">
          <w:pPr>
            <w:pStyle w:val="TOC"/>
            <w:rPr>
              <w:color w:val="auto"/>
            </w:rPr>
          </w:pPr>
        </w:p>
        <w:p w14:paraId="41634699" w14:textId="77777777" w:rsidR="0091282D"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1596612" w:history="1">
            <w:r w:rsidR="0091282D" w:rsidRPr="009C119F">
              <w:rPr>
                <w:rStyle w:val="aa"/>
                <w:rFonts w:ascii="Calibri" w:eastAsia="Calibri" w:hAnsi="Calibri" w:cs="Calibri"/>
                <w:noProof/>
              </w:rPr>
              <w:t>Abstract</w:t>
            </w:r>
            <w:r w:rsidR="0091282D">
              <w:rPr>
                <w:noProof/>
                <w:webHidden/>
              </w:rPr>
              <w:tab/>
            </w:r>
            <w:r w:rsidR="0091282D">
              <w:rPr>
                <w:noProof/>
                <w:webHidden/>
              </w:rPr>
              <w:fldChar w:fldCharType="begin"/>
            </w:r>
            <w:r w:rsidR="0091282D">
              <w:rPr>
                <w:noProof/>
                <w:webHidden/>
              </w:rPr>
              <w:instrText xml:space="preserve"> PAGEREF _Toc131596612 \h </w:instrText>
            </w:r>
            <w:r w:rsidR="0091282D">
              <w:rPr>
                <w:noProof/>
                <w:webHidden/>
              </w:rPr>
            </w:r>
            <w:r w:rsidR="0091282D">
              <w:rPr>
                <w:noProof/>
                <w:webHidden/>
              </w:rPr>
              <w:fldChar w:fldCharType="separate"/>
            </w:r>
            <w:r w:rsidR="0091282D">
              <w:rPr>
                <w:noProof/>
                <w:webHidden/>
              </w:rPr>
              <w:t>2</w:t>
            </w:r>
            <w:r w:rsidR="0091282D">
              <w:rPr>
                <w:noProof/>
                <w:webHidden/>
              </w:rPr>
              <w:fldChar w:fldCharType="end"/>
            </w:r>
          </w:hyperlink>
        </w:p>
        <w:p w14:paraId="189822D7"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13" w:history="1">
            <w:r w:rsidRPr="009C119F">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_Toc131596613 \h </w:instrText>
            </w:r>
            <w:r>
              <w:rPr>
                <w:noProof/>
                <w:webHidden/>
              </w:rPr>
            </w:r>
            <w:r>
              <w:rPr>
                <w:noProof/>
                <w:webHidden/>
              </w:rPr>
              <w:fldChar w:fldCharType="separate"/>
            </w:r>
            <w:r>
              <w:rPr>
                <w:noProof/>
                <w:webHidden/>
              </w:rPr>
              <w:t>3</w:t>
            </w:r>
            <w:r>
              <w:rPr>
                <w:noProof/>
                <w:webHidden/>
              </w:rPr>
              <w:fldChar w:fldCharType="end"/>
            </w:r>
          </w:hyperlink>
        </w:p>
        <w:p w14:paraId="1F7D61FB"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14" w:history="1">
            <w:r w:rsidRPr="009C119F">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_Toc131596614 \h </w:instrText>
            </w:r>
            <w:r>
              <w:rPr>
                <w:noProof/>
                <w:webHidden/>
              </w:rPr>
            </w:r>
            <w:r>
              <w:rPr>
                <w:noProof/>
                <w:webHidden/>
              </w:rPr>
              <w:fldChar w:fldCharType="separate"/>
            </w:r>
            <w:r>
              <w:rPr>
                <w:noProof/>
                <w:webHidden/>
              </w:rPr>
              <w:t>4</w:t>
            </w:r>
            <w:r>
              <w:rPr>
                <w:noProof/>
                <w:webHidden/>
              </w:rPr>
              <w:fldChar w:fldCharType="end"/>
            </w:r>
          </w:hyperlink>
        </w:p>
        <w:p w14:paraId="2824A5CA"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15" w:history="1">
            <w:r w:rsidRPr="009C119F">
              <w:rPr>
                <w:rStyle w:val="aa"/>
                <w:noProof/>
              </w:rPr>
              <w:t>Ethics information</w:t>
            </w:r>
            <w:r>
              <w:rPr>
                <w:noProof/>
                <w:webHidden/>
              </w:rPr>
              <w:tab/>
            </w:r>
            <w:r>
              <w:rPr>
                <w:noProof/>
                <w:webHidden/>
              </w:rPr>
              <w:fldChar w:fldCharType="begin"/>
            </w:r>
            <w:r>
              <w:rPr>
                <w:noProof/>
                <w:webHidden/>
              </w:rPr>
              <w:instrText xml:space="preserve"> PAGEREF _Toc131596615 \h </w:instrText>
            </w:r>
            <w:r>
              <w:rPr>
                <w:noProof/>
                <w:webHidden/>
              </w:rPr>
            </w:r>
            <w:r>
              <w:rPr>
                <w:noProof/>
                <w:webHidden/>
              </w:rPr>
              <w:fldChar w:fldCharType="separate"/>
            </w:r>
            <w:r>
              <w:rPr>
                <w:noProof/>
                <w:webHidden/>
              </w:rPr>
              <w:t>4</w:t>
            </w:r>
            <w:r>
              <w:rPr>
                <w:noProof/>
                <w:webHidden/>
              </w:rPr>
              <w:fldChar w:fldCharType="end"/>
            </w:r>
          </w:hyperlink>
        </w:p>
        <w:p w14:paraId="20F8F46D"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16" w:history="1">
            <w:r w:rsidRPr="009C119F">
              <w:rPr>
                <w:rStyle w:val="aa"/>
                <w:noProof/>
              </w:rPr>
              <w:t>Datasets</w:t>
            </w:r>
            <w:r>
              <w:rPr>
                <w:noProof/>
                <w:webHidden/>
              </w:rPr>
              <w:tab/>
            </w:r>
            <w:r>
              <w:rPr>
                <w:noProof/>
                <w:webHidden/>
              </w:rPr>
              <w:fldChar w:fldCharType="begin"/>
            </w:r>
            <w:r>
              <w:rPr>
                <w:noProof/>
                <w:webHidden/>
              </w:rPr>
              <w:instrText xml:space="preserve"> PAGEREF _Toc131596616 \h </w:instrText>
            </w:r>
            <w:r>
              <w:rPr>
                <w:noProof/>
                <w:webHidden/>
              </w:rPr>
            </w:r>
            <w:r>
              <w:rPr>
                <w:noProof/>
                <w:webHidden/>
              </w:rPr>
              <w:fldChar w:fldCharType="separate"/>
            </w:r>
            <w:r>
              <w:rPr>
                <w:noProof/>
                <w:webHidden/>
              </w:rPr>
              <w:t>4</w:t>
            </w:r>
            <w:r>
              <w:rPr>
                <w:noProof/>
                <w:webHidden/>
              </w:rPr>
              <w:fldChar w:fldCharType="end"/>
            </w:r>
          </w:hyperlink>
        </w:p>
        <w:p w14:paraId="09C5BC5D"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17" w:history="1">
            <w:r w:rsidRPr="009C119F">
              <w:rPr>
                <w:rStyle w:val="aa"/>
                <w:i/>
                <w:noProof/>
              </w:rPr>
              <w:t>Simulated data</w:t>
            </w:r>
            <w:r>
              <w:rPr>
                <w:noProof/>
                <w:webHidden/>
              </w:rPr>
              <w:tab/>
            </w:r>
            <w:r>
              <w:rPr>
                <w:noProof/>
                <w:webHidden/>
              </w:rPr>
              <w:fldChar w:fldCharType="begin"/>
            </w:r>
            <w:r>
              <w:rPr>
                <w:noProof/>
                <w:webHidden/>
              </w:rPr>
              <w:instrText xml:space="preserve"> PAGEREF _Toc131596617 \h </w:instrText>
            </w:r>
            <w:r>
              <w:rPr>
                <w:noProof/>
                <w:webHidden/>
              </w:rPr>
            </w:r>
            <w:r>
              <w:rPr>
                <w:noProof/>
                <w:webHidden/>
              </w:rPr>
              <w:fldChar w:fldCharType="separate"/>
            </w:r>
            <w:r>
              <w:rPr>
                <w:noProof/>
                <w:webHidden/>
              </w:rPr>
              <w:t>10</w:t>
            </w:r>
            <w:r>
              <w:rPr>
                <w:noProof/>
                <w:webHidden/>
              </w:rPr>
              <w:fldChar w:fldCharType="end"/>
            </w:r>
          </w:hyperlink>
        </w:p>
        <w:p w14:paraId="01D7E932"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18" w:history="1">
            <w:r w:rsidRPr="009C119F">
              <w:rPr>
                <w:rStyle w:val="aa"/>
                <w:noProof/>
              </w:rPr>
              <w:t>Analysis Plan</w:t>
            </w:r>
            <w:r>
              <w:rPr>
                <w:noProof/>
                <w:webHidden/>
              </w:rPr>
              <w:tab/>
            </w:r>
            <w:r>
              <w:rPr>
                <w:noProof/>
                <w:webHidden/>
              </w:rPr>
              <w:fldChar w:fldCharType="begin"/>
            </w:r>
            <w:r>
              <w:rPr>
                <w:noProof/>
                <w:webHidden/>
              </w:rPr>
              <w:instrText xml:space="preserve"> PAGEREF _Toc131596618 \h </w:instrText>
            </w:r>
            <w:r>
              <w:rPr>
                <w:noProof/>
                <w:webHidden/>
              </w:rPr>
            </w:r>
            <w:r>
              <w:rPr>
                <w:noProof/>
                <w:webHidden/>
              </w:rPr>
              <w:fldChar w:fldCharType="separate"/>
            </w:r>
            <w:r>
              <w:rPr>
                <w:noProof/>
                <w:webHidden/>
              </w:rPr>
              <w:t>10</w:t>
            </w:r>
            <w:r>
              <w:rPr>
                <w:noProof/>
                <w:webHidden/>
              </w:rPr>
              <w:fldChar w:fldCharType="end"/>
            </w:r>
          </w:hyperlink>
        </w:p>
        <w:p w14:paraId="5319D97C" w14:textId="77777777" w:rsidR="0091282D" w:rsidRDefault="0091282D">
          <w:pPr>
            <w:pStyle w:val="30"/>
            <w:tabs>
              <w:tab w:val="right" w:leader="dot" w:pos="9350"/>
            </w:tabs>
            <w:rPr>
              <w:rFonts w:eastAsiaTheme="minorEastAsia" w:cstheme="minorBidi"/>
              <w:noProof/>
              <w:kern w:val="2"/>
              <w:sz w:val="24"/>
              <w:szCs w:val="22"/>
              <w:lang w:val="en-US" w:eastAsia="zh-TW"/>
            </w:rPr>
          </w:pPr>
          <w:hyperlink w:anchor="_Toc131596619" w:history="1">
            <w:r w:rsidRPr="009C119F">
              <w:rPr>
                <w:rStyle w:val="aa"/>
                <w:rFonts w:eastAsia="Calibri"/>
                <w:i/>
                <w:noProof/>
                <w:lang w:val="en-US"/>
              </w:rPr>
              <w:t>Data pre-processing</w:t>
            </w:r>
            <w:r>
              <w:rPr>
                <w:noProof/>
                <w:webHidden/>
              </w:rPr>
              <w:tab/>
            </w:r>
            <w:r>
              <w:rPr>
                <w:noProof/>
                <w:webHidden/>
              </w:rPr>
              <w:fldChar w:fldCharType="begin"/>
            </w:r>
            <w:r>
              <w:rPr>
                <w:noProof/>
                <w:webHidden/>
              </w:rPr>
              <w:instrText xml:space="preserve"> PAGEREF _Toc131596619 \h </w:instrText>
            </w:r>
            <w:r>
              <w:rPr>
                <w:noProof/>
                <w:webHidden/>
              </w:rPr>
            </w:r>
            <w:r>
              <w:rPr>
                <w:noProof/>
                <w:webHidden/>
              </w:rPr>
              <w:fldChar w:fldCharType="separate"/>
            </w:r>
            <w:r>
              <w:rPr>
                <w:noProof/>
                <w:webHidden/>
              </w:rPr>
              <w:t>11</w:t>
            </w:r>
            <w:r>
              <w:rPr>
                <w:noProof/>
                <w:webHidden/>
              </w:rPr>
              <w:fldChar w:fldCharType="end"/>
            </w:r>
          </w:hyperlink>
        </w:p>
        <w:p w14:paraId="21B95E57" w14:textId="77777777" w:rsidR="0091282D" w:rsidRDefault="0091282D">
          <w:pPr>
            <w:pStyle w:val="30"/>
            <w:tabs>
              <w:tab w:val="right" w:leader="dot" w:pos="9350"/>
            </w:tabs>
            <w:rPr>
              <w:rFonts w:eastAsiaTheme="minorEastAsia" w:cstheme="minorBidi"/>
              <w:noProof/>
              <w:kern w:val="2"/>
              <w:sz w:val="24"/>
              <w:szCs w:val="22"/>
              <w:lang w:val="en-US" w:eastAsia="zh-TW"/>
            </w:rPr>
          </w:pPr>
          <w:hyperlink w:anchor="_Toc131596620" w:history="1">
            <w:r w:rsidRPr="009C119F">
              <w:rPr>
                <w:rStyle w:val="aa"/>
                <w:rFonts w:eastAsia="Calibri"/>
                <w:i/>
                <w:noProof/>
                <w:lang w:val="en-US"/>
              </w:rPr>
              <w:t>Calculating the SPE</w:t>
            </w:r>
            <w:r>
              <w:rPr>
                <w:noProof/>
                <w:webHidden/>
              </w:rPr>
              <w:tab/>
            </w:r>
            <w:r>
              <w:rPr>
                <w:noProof/>
                <w:webHidden/>
              </w:rPr>
              <w:fldChar w:fldCharType="begin"/>
            </w:r>
            <w:r>
              <w:rPr>
                <w:noProof/>
                <w:webHidden/>
              </w:rPr>
              <w:instrText xml:space="preserve"> PAGEREF _Toc131596620 \h </w:instrText>
            </w:r>
            <w:r>
              <w:rPr>
                <w:noProof/>
                <w:webHidden/>
              </w:rPr>
            </w:r>
            <w:r>
              <w:rPr>
                <w:noProof/>
                <w:webHidden/>
              </w:rPr>
              <w:fldChar w:fldCharType="separate"/>
            </w:r>
            <w:r>
              <w:rPr>
                <w:noProof/>
                <w:webHidden/>
              </w:rPr>
              <w:t>12</w:t>
            </w:r>
            <w:r>
              <w:rPr>
                <w:noProof/>
                <w:webHidden/>
              </w:rPr>
              <w:fldChar w:fldCharType="end"/>
            </w:r>
          </w:hyperlink>
        </w:p>
        <w:p w14:paraId="5F64F67C" w14:textId="77777777" w:rsidR="0091282D" w:rsidRDefault="0091282D">
          <w:pPr>
            <w:pStyle w:val="30"/>
            <w:tabs>
              <w:tab w:val="right" w:leader="dot" w:pos="9350"/>
            </w:tabs>
            <w:rPr>
              <w:rFonts w:eastAsiaTheme="minorEastAsia" w:cstheme="minorBidi"/>
              <w:noProof/>
              <w:kern w:val="2"/>
              <w:sz w:val="24"/>
              <w:szCs w:val="22"/>
              <w:lang w:val="en-US" w:eastAsia="zh-TW"/>
            </w:rPr>
          </w:pPr>
          <w:hyperlink w:anchor="_Toc131596621" w:history="1">
            <w:r w:rsidRPr="009C119F">
              <w:rPr>
                <w:rStyle w:val="aa"/>
                <w:i/>
                <w:noProof/>
                <w:lang w:val="en-US"/>
              </w:rPr>
              <w:t>Estimating the Reliability</w:t>
            </w:r>
            <w:r>
              <w:rPr>
                <w:noProof/>
                <w:webHidden/>
              </w:rPr>
              <w:tab/>
            </w:r>
            <w:r>
              <w:rPr>
                <w:noProof/>
                <w:webHidden/>
              </w:rPr>
              <w:fldChar w:fldCharType="begin"/>
            </w:r>
            <w:r>
              <w:rPr>
                <w:noProof/>
                <w:webHidden/>
              </w:rPr>
              <w:instrText xml:space="preserve"> PAGEREF _Toc131596621 \h </w:instrText>
            </w:r>
            <w:r>
              <w:rPr>
                <w:noProof/>
                <w:webHidden/>
              </w:rPr>
            </w:r>
            <w:r>
              <w:rPr>
                <w:noProof/>
                <w:webHidden/>
              </w:rPr>
              <w:fldChar w:fldCharType="separate"/>
            </w:r>
            <w:r>
              <w:rPr>
                <w:noProof/>
                <w:webHidden/>
              </w:rPr>
              <w:t>12</w:t>
            </w:r>
            <w:r>
              <w:rPr>
                <w:noProof/>
                <w:webHidden/>
              </w:rPr>
              <w:fldChar w:fldCharType="end"/>
            </w:r>
          </w:hyperlink>
        </w:p>
        <w:p w14:paraId="3F50ECCE"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2" w:history="1">
            <w:r w:rsidRPr="009C119F">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_Toc131596622 \h </w:instrText>
            </w:r>
            <w:r>
              <w:rPr>
                <w:noProof/>
                <w:webHidden/>
              </w:rPr>
            </w:r>
            <w:r>
              <w:rPr>
                <w:noProof/>
                <w:webHidden/>
              </w:rPr>
              <w:fldChar w:fldCharType="separate"/>
            </w:r>
            <w:r>
              <w:rPr>
                <w:noProof/>
                <w:webHidden/>
              </w:rPr>
              <w:t>14</w:t>
            </w:r>
            <w:r>
              <w:rPr>
                <w:noProof/>
                <w:webHidden/>
              </w:rPr>
              <w:fldChar w:fldCharType="end"/>
            </w:r>
          </w:hyperlink>
        </w:p>
        <w:p w14:paraId="1E997B0C"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3" w:history="1">
            <w:r w:rsidRPr="009C119F">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_Toc131596623 \h </w:instrText>
            </w:r>
            <w:r>
              <w:rPr>
                <w:noProof/>
                <w:webHidden/>
              </w:rPr>
            </w:r>
            <w:r>
              <w:rPr>
                <w:noProof/>
                <w:webHidden/>
              </w:rPr>
              <w:fldChar w:fldCharType="separate"/>
            </w:r>
            <w:r>
              <w:rPr>
                <w:noProof/>
                <w:webHidden/>
              </w:rPr>
              <w:t>14</w:t>
            </w:r>
            <w:r>
              <w:rPr>
                <w:noProof/>
                <w:webHidden/>
              </w:rPr>
              <w:fldChar w:fldCharType="end"/>
            </w:r>
          </w:hyperlink>
        </w:p>
        <w:p w14:paraId="01123788"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4" w:history="1">
            <w:r w:rsidRPr="009C119F">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_Toc131596624 \h </w:instrText>
            </w:r>
            <w:r>
              <w:rPr>
                <w:noProof/>
                <w:webHidden/>
              </w:rPr>
            </w:r>
            <w:r>
              <w:rPr>
                <w:noProof/>
                <w:webHidden/>
              </w:rPr>
              <w:fldChar w:fldCharType="separate"/>
            </w:r>
            <w:r>
              <w:rPr>
                <w:noProof/>
                <w:webHidden/>
              </w:rPr>
              <w:t>14</w:t>
            </w:r>
            <w:r>
              <w:rPr>
                <w:noProof/>
                <w:webHidden/>
              </w:rPr>
              <w:fldChar w:fldCharType="end"/>
            </w:r>
          </w:hyperlink>
        </w:p>
        <w:p w14:paraId="32E90A6A"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25" w:history="1">
            <w:r w:rsidRPr="009C119F">
              <w:rPr>
                <w:rStyle w:val="aa"/>
                <w:noProof/>
                <w:lang w:val="en-US"/>
              </w:rPr>
              <w:t>Split-Half Reliability</w:t>
            </w:r>
            <w:r>
              <w:rPr>
                <w:noProof/>
                <w:webHidden/>
              </w:rPr>
              <w:tab/>
            </w:r>
            <w:r>
              <w:rPr>
                <w:noProof/>
                <w:webHidden/>
              </w:rPr>
              <w:fldChar w:fldCharType="begin"/>
            </w:r>
            <w:r>
              <w:rPr>
                <w:noProof/>
                <w:webHidden/>
              </w:rPr>
              <w:instrText xml:space="preserve"> PAGEREF _Toc131596625 \h </w:instrText>
            </w:r>
            <w:r>
              <w:rPr>
                <w:noProof/>
                <w:webHidden/>
              </w:rPr>
            </w:r>
            <w:r>
              <w:rPr>
                <w:noProof/>
                <w:webHidden/>
              </w:rPr>
              <w:fldChar w:fldCharType="separate"/>
            </w:r>
            <w:r>
              <w:rPr>
                <w:noProof/>
                <w:webHidden/>
              </w:rPr>
              <w:t>14</w:t>
            </w:r>
            <w:r>
              <w:rPr>
                <w:noProof/>
                <w:webHidden/>
              </w:rPr>
              <w:fldChar w:fldCharType="end"/>
            </w:r>
          </w:hyperlink>
        </w:p>
        <w:p w14:paraId="31414C37" w14:textId="77777777" w:rsidR="0091282D" w:rsidRDefault="0091282D">
          <w:pPr>
            <w:pStyle w:val="20"/>
            <w:tabs>
              <w:tab w:val="right" w:leader="dot" w:pos="9350"/>
            </w:tabs>
            <w:rPr>
              <w:rFonts w:eastAsiaTheme="minorEastAsia" w:cstheme="minorBidi"/>
              <w:b w:val="0"/>
              <w:bCs w:val="0"/>
              <w:noProof/>
              <w:kern w:val="2"/>
              <w:sz w:val="24"/>
              <w:lang w:val="en-US" w:eastAsia="zh-TW"/>
            </w:rPr>
          </w:pPr>
          <w:hyperlink w:anchor="_Toc131596626" w:history="1">
            <w:r w:rsidRPr="009C119F">
              <w:rPr>
                <w:rStyle w:val="aa"/>
                <w:noProof/>
                <w:lang w:val="en-US"/>
              </w:rPr>
              <w:t>Intraclass correlation coefficient (ICC)</w:t>
            </w:r>
            <w:r>
              <w:rPr>
                <w:noProof/>
                <w:webHidden/>
              </w:rPr>
              <w:tab/>
            </w:r>
            <w:r>
              <w:rPr>
                <w:noProof/>
                <w:webHidden/>
              </w:rPr>
              <w:fldChar w:fldCharType="begin"/>
            </w:r>
            <w:r>
              <w:rPr>
                <w:noProof/>
                <w:webHidden/>
              </w:rPr>
              <w:instrText xml:space="preserve"> PAGEREF _Toc131596626 \h </w:instrText>
            </w:r>
            <w:r>
              <w:rPr>
                <w:noProof/>
                <w:webHidden/>
              </w:rPr>
            </w:r>
            <w:r>
              <w:rPr>
                <w:noProof/>
                <w:webHidden/>
              </w:rPr>
              <w:fldChar w:fldCharType="separate"/>
            </w:r>
            <w:r>
              <w:rPr>
                <w:noProof/>
                <w:webHidden/>
              </w:rPr>
              <w:t>15</w:t>
            </w:r>
            <w:r>
              <w:rPr>
                <w:noProof/>
                <w:webHidden/>
              </w:rPr>
              <w:fldChar w:fldCharType="end"/>
            </w:r>
          </w:hyperlink>
        </w:p>
        <w:p w14:paraId="3115B8CE"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7" w:history="1">
            <w:r w:rsidRPr="009C119F">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_Toc131596627 \h </w:instrText>
            </w:r>
            <w:r>
              <w:rPr>
                <w:noProof/>
                <w:webHidden/>
              </w:rPr>
            </w:r>
            <w:r>
              <w:rPr>
                <w:noProof/>
                <w:webHidden/>
              </w:rPr>
              <w:fldChar w:fldCharType="separate"/>
            </w:r>
            <w:r>
              <w:rPr>
                <w:noProof/>
                <w:webHidden/>
              </w:rPr>
              <w:t>17</w:t>
            </w:r>
            <w:r>
              <w:rPr>
                <w:noProof/>
                <w:webHidden/>
              </w:rPr>
              <w:fldChar w:fldCharType="end"/>
            </w:r>
          </w:hyperlink>
        </w:p>
        <w:p w14:paraId="295F785D"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8" w:history="1">
            <w:r w:rsidRPr="009C119F">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_Toc131596628 \h </w:instrText>
            </w:r>
            <w:r>
              <w:rPr>
                <w:noProof/>
                <w:webHidden/>
              </w:rPr>
            </w:r>
            <w:r>
              <w:rPr>
                <w:noProof/>
                <w:webHidden/>
              </w:rPr>
              <w:fldChar w:fldCharType="separate"/>
            </w:r>
            <w:r>
              <w:rPr>
                <w:noProof/>
                <w:webHidden/>
              </w:rPr>
              <w:t>18</w:t>
            </w:r>
            <w:r>
              <w:rPr>
                <w:noProof/>
                <w:webHidden/>
              </w:rPr>
              <w:fldChar w:fldCharType="end"/>
            </w:r>
          </w:hyperlink>
        </w:p>
        <w:p w14:paraId="4E99487C"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29" w:history="1">
            <w:r w:rsidRPr="009C119F">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_Toc131596629 \h </w:instrText>
            </w:r>
            <w:r>
              <w:rPr>
                <w:noProof/>
                <w:webHidden/>
              </w:rPr>
            </w:r>
            <w:r>
              <w:rPr>
                <w:noProof/>
                <w:webHidden/>
              </w:rPr>
              <w:fldChar w:fldCharType="separate"/>
            </w:r>
            <w:r>
              <w:rPr>
                <w:noProof/>
                <w:webHidden/>
              </w:rPr>
              <w:t>18</w:t>
            </w:r>
            <w:r>
              <w:rPr>
                <w:noProof/>
                <w:webHidden/>
              </w:rPr>
              <w:fldChar w:fldCharType="end"/>
            </w:r>
          </w:hyperlink>
        </w:p>
        <w:p w14:paraId="697EA42F"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30" w:history="1">
            <w:r w:rsidRPr="009C119F">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_Toc131596630 \h </w:instrText>
            </w:r>
            <w:r>
              <w:rPr>
                <w:noProof/>
                <w:webHidden/>
              </w:rPr>
            </w:r>
            <w:r>
              <w:rPr>
                <w:noProof/>
                <w:webHidden/>
              </w:rPr>
              <w:fldChar w:fldCharType="separate"/>
            </w:r>
            <w:r>
              <w:rPr>
                <w:noProof/>
                <w:webHidden/>
              </w:rPr>
              <w:t>18</w:t>
            </w:r>
            <w:r>
              <w:rPr>
                <w:noProof/>
                <w:webHidden/>
              </w:rPr>
              <w:fldChar w:fldCharType="end"/>
            </w:r>
          </w:hyperlink>
        </w:p>
        <w:p w14:paraId="3A6D8D38"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31" w:history="1">
            <w:r w:rsidRPr="009C119F">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_Toc131596631 \h </w:instrText>
            </w:r>
            <w:r>
              <w:rPr>
                <w:noProof/>
                <w:webHidden/>
              </w:rPr>
            </w:r>
            <w:r>
              <w:rPr>
                <w:noProof/>
                <w:webHidden/>
              </w:rPr>
              <w:fldChar w:fldCharType="separate"/>
            </w:r>
            <w:r>
              <w:rPr>
                <w:noProof/>
                <w:webHidden/>
              </w:rPr>
              <w:t>18</w:t>
            </w:r>
            <w:r>
              <w:rPr>
                <w:noProof/>
                <w:webHidden/>
              </w:rPr>
              <w:fldChar w:fldCharType="end"/>
            </w:r>
          </w:hyperlink>
        </w:p>
        <w:p w14:paraId="17CF77A3"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32" w:history="1">
            <w:r w:rsidRPr="009C119F">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_Toc131596632 \h </w:instrText>
            </w:r>
            <w:r>
              <w:rPr>
                <w:noProof/>
                <w:webHidden/>
              </w:rPr>
            </w:r>
            <w:r>
              <w:rPr>
                <w:noProof/>
                <w:webHidden/>
              </w:rPr>
              <w:fldChar w:fldCharType="separate"/>
            </w:r>
            <w:r>
              <w:rPr>
                <w:noProof/>
                <w:webHidden/>
              </w:rPr>
              <w:t>18</w:t>
            </w:r>
            <w:r>
              <w:rPr>
                <w:noProof/>
                <w:webHidden/>
              </w:rPr>
              <w:fldChar w:fldCharType="end"/>
            </w:r>
          </w:hyperlink>
        </w:p>
        <w:p w14:paraId="0D2D56F9"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33" w:history="1">
            <w:r w:rsidRPr="009C119F">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_Toc131596633 \h </w:instrText>
            </w:r>
            <w:r>
              <w:rPr>
                <w:noProof/>
                <w:webHidden/>
              </w:rPr>
            </w:r>
            <w:r>
              <w:rPr>
                <w:noProof/>
                <w:webHidden/>
              </w:rPr>
              <w:fldChar w:fldCharType="separate"/>
            </w:r>
            <w:r>
              <w:rPr>
                <w:noProof/>
                <w:webHidden/>
              </w:rPr>
              <w:t>19</w:t>
            </w:r>
            <w:r>
              <w:rPr>
                <w:noProof/>
                <w:webHidden/>
              </w:rPr>
              <w:fldChar w:fldCharType="end"/>
            </w:r>
          </w:hyperlink>
        </w:p>
        <w:p w14:paraId="1F6E4F1F" w14:textId="77777777" w:rsidR="0091282D" w:rsidRDefault="0091282D">
          <w:pPr>
            <w:pStyle w:val="11"/>
            <w:tabs>
              <w:tab w:val="right" w:leader="dot" w:pos="9350"/>
            </w:tabs>
            <w:rPr>
              <w:rFonts w:eastAsiaTheme="minorEastAsia" w:cstheme="minorBidi"/>
              <w:b w:val="0"/>
              <w:bCs w:val="0"/>
              <w:i w:val="0"/>
              <w:iCs w:val="0"/>
              <w:noProof/>
              <w:kern w:val="2"/>
              <w:szCs w:val="22"/>
              <w:lang w:val="en-US" w:eastAsia="zh-TW"/>
            </w:rPr>
          </w:pPr>
          <w:hyperlink w:anchor="_Toc131596634" w:history="1">
            <w:r w:rsidRPr="009C119F">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_Toc131596634 \h </w:instrText>
            </w:r>
            <w:r>
              <w:rPr>
                <w:noProof/>
                <w:webHidden/>
              </w:rPr>
            </w:r>
            <w:r>
              <w:rPr>
                <w:noProof/>
                <w:webHidden/>
              </w:rPr>
              <w:fldChar w:fldCharType="separate"/>
            </w:r>
            <w:r>
              <w:rPr>
                <w:noProof/>
                <w:webHidden/>
              </w:rPr>
              <w:t>20</w:t>
            </w:r>
            <w:r>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72DD3CE"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proofErr w:type="gramStart"/>
      <w:r w:rsidRPr="00FD34D6">
        <w:rPr>
          <w:rFonts w:eastAsia="Calibri"/>
        </w:rPr>
        <w:t>These</w:t>
      </w:r>
      <w:proofErr w:type="gramEnd"/>
      <w:r w:rsidRPr="00FD34D6">
        <w:rPr>
          <w:rFonts w:eastAsia="Calibri"/>
        </w:rPr>
        <w:t xml:space="preserv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596612"/>
      <w:bookmarkEnd w:id="0"/>
      <w:r w:rsidRPr="00FD34D6">
        <w:rPr>
          <w:rFonts w:ascii="Calibri" w:eastAsia="Calibri" w:hAnsi="Calibri" w:cs="Calibri"/>
          <w:b/>
          <w:sz w:val="42"/>
          <w:szCs w:val="42"/>
        </w:rPr>
        <w:t>Abstract</w:t>
      </w:r>
      <w:bookmarkEnd w:id="1"/>
      <w:bookmarkEnd w:id="2"/>
      <w:bookmarkEnd w:id="3"/>
    </w:p>
    <w:p w14:paraId="2B2FAC9C" w14:textId="6A6E2869" w:rsidR="00E12863" w:rsidRPr="00FD34D6" w:rsidRDefault="00E12863" w:rsidP="005F5285">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596613"/>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596614"/>
      <w:bookmarkEnd w:id="9"/>
      <w:r w:rsidRPr="00FD34D6">
        <w:rPr>
          <w:rFonts w:ascii="Calibri" w:eastAsia="Calibri" w:hAnsi="Calibri" w:cs="Calibri"/>
          <w:b/>
          <w:sz w:val="42"/>
          <w:szCs w:val="42"/>
        </w:rPr>
        <w:t>Methods</w:t>
      </w:r>
      <w:bookmarkEnd w:id="10"/>
      <w:bookmarkEnd w:id="11"/>
      <w:bookmarkEnd w:id="12"/>
    </w:p>
    <w:p w14:paraId="50A33AEB" w14:textId="77777777" w:rsidR="00586F83" w:rsidRPr="00FD34D6" w:rsidRDefault="00586F83"/>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596615"/>
      <w:bookmarkEnd w:id="13"/>
      <w:r w:rsidRPr="00FD34D6">
        <w:t>Ethics information</w:t>
      </w:r>
      <w:bookmarkEnd w:id="14"/>
      <w:bookmarkEnd w:id="15"/>
      <w:bookmarkEnd w:id="16"/>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596616"/>
      <w:bookmarkEnd w:id="17"/>
      <w:r w:rsidRPr="00FD34D6">
        <w:t>Datasets</w:t>
      </w:r>
      <w:bookmarkEnd w:id="18"/>
      <w:bookmarkEnd w:id="19"/>
      <w:bookmarkEnd w:id="20"/>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3E8FE979"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2A1A14D8" w:rsidR="00103F08" w:rsidRPr="00FD34D6" w:rsidRDefault="0091282D" w:rsidP="00664FB1">
            <w:pPr>
              <w:widowControl w:val="0"/>
              <w:jc w:val="center"/>
              <w:rPr>
                <w:rFonts w:eastAsia="PMingLiU"/>
                <w:szCs w:val="22"/>
              </w:rPr>
            </w:pPr>
            <w:r>
              <w:rPr>
                <w:rFonts w:eastAsia="PMingLiU"/>
                <w:szCs w:val="22"/>
              </w:rPr>
              <w:t>Exp.</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F778CA6" w:rsidR="00103F08" w:rsidRPr="00FD34D6" w:rsidRDefault="009B487E" w:rsidP="009B487E">
            <w:pPr>
              <w:widowControl w:val="0"/>
              <w:jc w:val="center"/>
              <w:rPr>
                <w:rFonts w:eastAsia="宋体"/>
                <w:szCs w:val="22"/>
              </w:rPr>
            </w:pPr>
            <w:r>
              <w:rPr>
                <w:rFonts w:eastAsia="宋体"/>
                <w:szCs w:val="22"/>
              </w:rPr>
              <w:t xml:space="preserve"># of </w:t>
            </w:r>
            <w:r w:rsidRPr="00FD34D6">
              <w:rPr>
                <w:rFonts w:eastAsia="宋体"/>
                <w:szCs w:val="22"/>
              </w:rPr>
              <w:t xml:space="preserve">Trials </w:t>
            </w:r>
            <w:r>
              <w:rPr>
                <w:rFonts w:eastAsia="宋体"/>
                <w:szCs w:val="22"/>
              </w:rPr>
              <w:t>per</w:t>
            </w:r>
            <w:r w:rsidR="00103F08" w:rsidRPr="00FD34D6">
              <w:rPr>
                <w:rFonts w:eastAsia="宋体"/>
                <w:szCs w:val="22"/>
              </w:rPr>
              <w:t xml:space="preserve"> Condition </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349A82CD"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2D126A74"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455856C"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B955CD">
        <w:trPr>
          <w:trHeight w:val="640"/>
          <w:jc w:val="center"/>
        </w:trPr>
        <w:tc>
          <w:tcPr>
            <w:tcW w:w="1706" w:type="dxa"/>
            <w:tcBorders>
              <w:bottom w:val="nil"/>
            </w:tcBorders>
            <w:noWrap/>
            <w:vAlign w:val="center"/>
            <w:hideMark/>
          </w:tcPr>
          <w:p w14:paraId="557A8AAE" w14:textId="66CBC742"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46" w:type="dxa"/>
            <w:tcBorders>
              <w:bottom w:val="nil"/>
            </w:tcBorders>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bottom w:val="nil"/>
            </w:tcBorders>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bottom w:val="nil"/>
            </w:tcBorders>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bottom w:val="nil"/>
            </w:tcBorders>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tcBorders>
              <w:bottom w:val="nil"/>
            </w:tcBorders>
            <w:vAlign w:val="center"/>
          </w:tcPr>
          <w:p w14:paraId="79FD61A4" w14:textId="77777777" w:rsidR="00103F08" w:rsidRPr="00FD34D6" w:rsidRDefault="00103F08" w:rsidP="00664FB1">
            <w:pPr>
              <w:widowControl w:val="0"/>
              <w:jc w:val="center"/>
              <w:rPr>
                <w:rFonts w:eastAsia="PMingLiU"/>
                <w:szCs w:val="22"/>
              </w:rPr>
            </w:pPr>
          </w:p>
        </w:tc>
        <w:tc>
          <w:tcPr>
            <w:tcW w:w="987" w:type="dxa"/>
            <w:tcBorders>
              <w:bottom w:val="nil"/>
            </w:tcBorders>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tcBorders>
              <w:bottom w:val="nil"/>
            </w:tcBorders>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B955CD" w:rsidRPr="00FD34D6" w14:paraId="3020CA29" w14:textId="77777777" w:rsidTr="00B955CD">
        <w:trPr>
          <w:trHeight w:val="640"/>
          <w:jc w:val="center"/>
        </w:trPr>
        <w:tc>
          <w:tcPr>
            <w:tcW w:w="1706" w:type="dxa"/>
            <w:vMerge w:val="restart"/>
            <w:tcBorders>
              <w:top w:val="nil"/>
              <w:left w:val="nil"/>
              <w:bottom w:val="nil"/>
              <w:right w:val="nil"/>
            </w:tcBorders>
            <w:noWrap/>
            <w:vAlign w:val="center"/>
          </w:tcPr>
          <w:p w14:paraId="4A1896D0" w14:textId="0B5657F7" w:rsidR="00B955CD" w:rsidRPr="00FD34D6" w:rsidRDefault="00B955CD" w:rsidP="00B955CD">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p>
        </w:tc>
        <w:tc>
          <w:tcPr>
            <w:tcW w:w="846" w:type="dxa"/>
            <w:tcBorders>
              <w:top w:val="nil"/>
              <w:left w:val="nil"/>
              <w:bottom w:val="nil"/>
              <w:right w:val="nil"/>
            </w:tcBorders>
            <w:noWrap/>
            <w:vAlign w:val="center"/>
          </w:tcPr>
          <w:p w14:paraId="2C5E7B50" w14:textId="62A06891" w:rsidR="00B955CD" w:rsidRPr="00B955CD" w:rsidRDefault="00B955CD" w:rsidP="00B955CD">
            <w:pPr>
              <w:widowControl w:val="0"/>
              <w:jc w:val="center"/>
              <w:rPr>
                <w:rFonts w:eastAsiaTheme="minorEastAsia"/>
                <w:szCs w:val="22"/>
                <w:lang w:eastAsia="zh-CN"/>
              </w:rPr>
            </w:pPr>
            <w:r>
              <w:rPr>
                <w:rFonts w:eastAsiaTheme="minorEastAsia"/>
                <w:szCs w:val="22"/>
                <w:lang w:eastAsia="zh-CN"/>
              </w:rPr>
              <w:t>1</w:t>
            </w:r>
          </w:p>
        </w:tc>
        <w:tc>
          <w:tcPr>
            <w:tcW w:w="992" w:type="dxa"/>
            <w:tcBorders>
              <w:top w:val="nil"/>
              <w:left w:val="nil"/>
              <w:bottom w:val="nil"/>
              <w:right w:val="nil"/>
            </w:tcBorders>
            <w:noWrap/>
            <w:vAlign w:val="center"/>
          </w:tcPr>
          <w:p w14:paraId="3FAD660F" w14:textId="26E999FD"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7A31178D" w14:textId="6AC53FDF"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48616EB7"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5CE12AEF"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45390577" w14:textId="7B500E65"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3</w:t>
            </w:r>
          </w:p>
        </w:tc>
        <w:tc>
          <w:tcPr>
            <w:tcW w:w="1276" w:type="dxa"/>
            <w:tcBorders>
              <w:top w:val="nil"/>
              <w:left w:val="nil"/>
              <w:bottom w:val="nil"/>
              <w:right w:val="nil"/>
            </w:tcBorders>
            <w:vAlign w:val="center"/>
          </w:tcPr>
          <w:p w14:paraId="37937CA0" w14:textId="77EFE199"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55A4CF3B" w14:textId="77777777" w:rsidTr="00B955CD">
        <w:trPr>
          <w:trHeight w:val="640"/>
          <w:jc w:val="center"/>
        </w:trPr>
        <w:tc>
          <w:tcPr>
            <w:tcW w:w="1706" w:type="dxa"/>
            <w:vMerge/>
            <w:tcBorders>
              <w:top w:val="nil"/>
              <w:left w:val="nil"/>
              <w:bottom w:val="nil"/>
              <w:right w:val="nil"/>
            </w:tcBorders>
            <w:noWrap/>
            <w:vAlign w:val="center"/>
          </w:tcPr>
          <w:p w14:paraId="7EDAE5E2" w14:textId="45744CF5"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2EB1FF58" w14:textId="28646A5B" w:rsidR="00B955CD" w:rsidRPr="00B955CD" w:rsidRDefault="00CE7099" w:rsidP="00B955CD">
            <w:pPr>
              <w:widowControl w:val="0"/>
              <w:jc w:val="center"/>
              <w:rPr>
                <w:rFonts w:eastAsiaTheme="minorEastAsia"/>
                <w:szCs w:val="22"/>
                <w:lang w:eastAsia="zh-CN"/>
              </w:rPr>
            </w:pPr>
            <w:r>
              <w:rPr>
                <w:rFonts w:eastAsiaTheme="minorEastAsia"/>
                <w:szCs w:val="22"/>
                <w:lang w:eastAsia="zh-CN"/>
              </w:rPr>
              <w:t>3</w:t>
            </w:r>
          </w:p>
        </w:tc>
        <w:tc>
          <w:tcPr>
            <w:tcW w:w="992" w:type="dxa"/>
            <w:tcBorders>
              <w:top w:val="nil"/>
              <w:left w:val="nil"/>
              <w:bottom w:val="nil"/>
              <w:right w:val="nil"/>
            </w:tcBorders>
            <w:noWrap/>
            <w:vAlign w:val="center"/>
          </w:tcPr>
          <w:p w14:paraId="7D9DB0B3" w14:textId="2C303A5C"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16571ABA" w14:textId="77777777" w:rsidR="00B955CD" w:rsidRDefault="00B955CD" w:rsidP="00B955CD">
            <w:pPr>
              <w:widowControl w:val="0"/>
              <w:jc w:val="center"/>
              <w:rPr>
                <w:rFonts w:eastAsia="PMingLiU"/>
                <w:szCs w:val="22"/>
              </w:rPr>
            </w:pPr>
            <w:r w:rsidRPr="00FD34D6">
              <w:rPr>
                <w:rFonts w:eastAsia="PMingLiU"/>
                <w:szCs w:val="22"/>
              </w:rPr>
              <w:t>Identity</w:t>
            </w:r>
          </w:p>
          <w:p w14:paraId="2590CC26" w14:textId="56432DDD" w:rsidR="00B955CD" w:rsidRPr="00FD34D6" w:rsidRDefault="00B955CD" w:rsidP="00B955CD">
            <w:pPr>
              <w:widowControl w:val="0"/>
              <w:jc w:val="center"/>
              <w:rPr>
                <w:rFonts w:eastAsia="PMingLiU"/>
                <w:szCs w:val="22"/>
              </w:rPr>
            </w:pPr>
            <w:r w:rsidRPr="00FD34D6">
              <w:rPr>
                <w:rFonts w:eastAsia="PMingLiU"/>
                <w:sz w:val="18"/>
                <w:szCs w:val="22"/>
              </w:rPr>
              <w:t xml:space="preserve">Self; </w:t>
            </w:r>
            <w:r>
              <w:rPr>
                <w:rFonts w:eastAsia="PMingLiU"/>
                <w:sz w:val="18"/>
                <w:szCs w:val="22"/>
              </w:rPr>
              <w:t>Father; Stranger</w:t>
            </w:r>
          </w:p>
        </w:tc>
        <w:tc>
          <w:tcPr>
            <w:tcW w:w="1701" w:type="dxa"/>
            <w:tcBorders>
              <w:top w:val="nil"/>
              <w:left w:val="nil"/>
              <w:bottom w:val="nil"/>
              <w:right w:val="nil"/>
            </w:tcBorders>
            <w:vAlign w:val="center"/>
          </w:tcPr>
          <w:p w14:paraId="3EF490DE"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47665DEE"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3D2E3FAA" w14:textId="010BCAB4"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7</w:t>
            </w:r>
          </w:p>
        </w:tc>
        <w:tc>
          <w:tcPr>
            <w:tcW w:w="1276" w:type="dxa"/>
            <w:tcBorders>
              <w:top w:val="nil"/>
              <w:left w:val="nil"/>
              <w:bottom w:val="nil"/>
              <w:right w:val="nil"/>
            </w:tcBorders>
            <w:vAlign w:val="center"/>
          </w:tcPr>
          <w:p w14:paraId="324D2C2F" w14:textId="70BAE8AD"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67611ABB" w14:textId="77777777" w:rsidTr="00B955CD">
        <w:trPr>
          <w:trHeight w:val="640"/>
          <w:jc w:val="center"/>
        </w:trPr>
        <w:tc>
          <w:tcPr>
            <w:tcW w:w="1706" w:type="dxa"/>
            <w:vMerge/>
            <w:tcBorders>
              <w:top w:val="nil"/>
              <w:left w:val="nil"/>
              <w:bottom w:val="nil"/>
              <w:right w:val="nil"/>
            </w:tcBorders>
            <w:noWrap/>
            <w:vAlign w:val="center"/>
          </w:tcPr>
          <w:p w14:paraId="30874307" w14:textId="77777777"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50233E95" w14:textId="15FC696C" w:rsidR="00B955CD" w:rsidRPr="00B955CD" w:rsidRDefault="00B955CD" w:rsidP="00B955CD">
            <w:pPr>
              <w:widowControl w:val="0"/>
              <w:jc w:val="center"/>
              <w:rPr>
                <w:rFonts w:eastAsiaTheme="minorEastAsia"/>
                <w:szCs w:val="22"/>
                <w:lang w:eastAsia="zh-CN"/>
              </w:rPr>
            </w:pPr>
            <w:r>
              <w:rPr>
                <w:rFonts w:eastAsiaTheme="minorEastAsia"/>
                <w:szCs w:val="22"/>
                <w:lang w:eastAsia="zh-CN"/>
              </w:rPr>
              <w:t>4</w:t>
            </w:r>
          </w:p>
        </w:tc>
        <w:tc>
          <w:tcPr>
            <w:tcW w:w="992" w:type="dxa"/>
            <w:tcBorders>
              <w:top w:val="nil"/>
              <w:left w:val="nil"/>
              <w:bottom w:val="nil"/>
              <w:right w:val="nil"/>
            </w:tcBorders>
            <w:noWrap/>
            <w:vAlign w:val="center"/>
          </w:tcPr>
          <w:p w14:paraId="7324A834" w14:textId="78ABB3C5"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6055B711" w14:textId="6E1C88B8"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535D01D5"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321C2F7B"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7E56591F" w14:textId="34864487"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tcBorders>
              <w:top w:val="nil"/>
              <w:left w:val="nil"/>
              <w:bottom w:val="nil"/>
              <w:right w:val="nil"/>
            </w:tcBorders>
            <w:vAlign w:val="center"/>
          </w:tcPr>
          <w:p w14:paraId="51A5F97D" w14:textId="5635733B"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FD34D6" w:rsidRPr="00FD34D6" w14:paraId="551409C2" w14:textId="77777777" w:rsidTr="00B955CD">
        <w:trPr>
          <w:trHeight w:val="557"/>
          <w:jc w:val="center"/>
        </w:trPr>
        <w:tc>
          <w:tcPr>
            <w:tcW w:w="1706" w:type="dxa"/>
            <w:vMerge w:val="restart"/>
            <w:tcBorders>
              <w:top w:val="nil"/>
            </w:tcBorders>
            <w:noWrap/>
            <w:vAlign w:val="center"/>
            <w:hideMark/>
          </w:tcPr>
          <w:p w14:paraId="5E8F1008" w14:textId="2C1DA061"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46" w:type="dxa"/>
            <w:tcBorders>
              <w:top w:val="nil"/>
            </w:tcBorders>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top w:val="nil"/>
            </w:tcBorders>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tcBorders>
              <w:top w:val="nil"/>
            </w:tcBorders>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tcBorders>
              <w:top w:val="nil"/>
            </w:tcBorders>
            <w:vAlign w:val="center"/>
          </w:tcPr>
          <w:p w14:paraId="22DF37BE" w14:textId="77777777" w:rsidR="00103F08" w:rsidRPr="00FD34D6" w:rsidRDefault="00103F08" w:rsidP="00664FB1">
            <w:pPr>
              <w:widowControl w:val="0"/>
              <w:jc w:val="center"/>
              <w:rPr>
                <w:rFonts w:eastAsia="PMingLiU"/>
                <w:szCs w:val="22"/>
              </w:rPr>
            </w:pPr>
          </w:p>
        </w:tc>
        <w:tc>
          <w:tcPr>
            <w:tcW w:w="987" w:type="dxa"/>
            <w:tcBorders>
              <w:top w:val="nil"/>
            </w:tcBorders>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tcBorders>
              <w:top w:val="nil"/>
            </w:tcBorders>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1D9EB2C9"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4ADF1E36"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1C1D2D6E"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5209BB20"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1010AD9B" w:rsidR="00103F08" w:rsidRPr="00FD34D6" w:rsidRDefault="00103F08" w:rsidP="00664FB1">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102BFCB4" w14:textId="77777777" w:rsidR="009B487E" w:rsidRDefault="002A64FF" w:rsidP="009B487E">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A2C5915"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w:t>
      </w:r>
      <w:proofErr w:type="gramStart"/>
      <w:r w:rsidR="009B487E" w:rsidRPr="00FD34D6">
        <w:rPr>
          <w:rFonts w:eastAsiaTheme="minorEastAsia"/>
          <w:lang w:val="en-US"/>
        </w:rPr>
        <w:t>In</w:t>
      </w:r>
      <w:proofErr w:type="gramEnd"/>
      <w:r w:rsidR="009B487E" w:rsidRPr="00FD34D6">
        <w:rPr>
          <w:rFonts w:eastAsiaTheme="minorEastAsia"/>
          <w:lang w:val="en-US"/>
        </w:rPr>
        <w:t xml:space="preserve"> phase 1, participants completed the original SALT,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 xml:space="preserve">were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w:t>
      </w:r>
      <w:r w:rsidRPr="00FD34D6">
        <w:rPr>
          <w:rFonts w:eastAsiaTheme="minorEastAsia"/>
          <w:lang w:val="en-US"/>
        </w:rPr>
        <w:lastRenderedPageBreak/>
        <w:t xml:space="preserve">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5"/>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5"/>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691C77" w:rsidRPr="00FD34D6" w14:paraId="31B740AA" w14:textId="77777777" w:rsidTr="002A64FF">
        <w:trPr>
          <w:trHeight w:val="557"/>
        </w:trPr>
        <w:tc>
          <w:tcPr>
            <w:tcW w:w="1843" w:type="dxa"/>
            <w:vMerge w:val="restart"/>
            <w:noWrap/>
            <w:vAlign w:val="center"/>
          </w:tcPr>
          <w:p w14:paraId="3B1DEC7A" w14:textId="0B7841E4" w:rsidR="00691C77" w:rsidRPr="00FD34D6" w:rsidRDefault="00691C77" w:rsidP="00691C77">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p>
        </w:tc>
        <w:tc>
          <w:tcPr>
            <w:tcW w:w="883" w:type="dxa"/>
            <w:noWrap/>
            <w:vAlign w:val="center"/>
          </w:tcPr>
          <w:p w14:paraId="0605D82B" w14:textId="5E388429" w:rsidR="00691C77" w:rsidRPr="00691C77" w:rsidRDefault="00691C77" w:rsidP="00691C77">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2942A6EA" w14:textId="07067AAC"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7D0A28CF" w14:textId="1E9CC6CB"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9CC8A2F" w14:textId="7F8316F5"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06DDDFA8" w14:textId="6314C491"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08D9D473" w14:textId="2EC5C96A"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27B7FDE5" w14:textId="74CCC012"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589403EB" w14:textId="77777777" w:rsidR="00691C77" w:rsidRPr="00FD34D6" w:rsidRDefault="00691C77" w:rsidP="00691C77">
            <w:pPr>
              <w:widowControl w:val="0"/>
              <w:jc w:val="center"/>
              <w:rPr>
                <w:rFonts w:eastAsia="PMingLiU"/>
                <w:szCs w:val="22"/>
              </w:rPr>
            </w:pPr>
          </w:p>
        </w:tc>
        <w:tc>
          <w:tcPr>
            <w:tcW w:w="842" w:type="dxa"/>
            <w:vAlign w:val="center"/>
          </w:tcPr>
          <w:p w14:paraId="41674462" w14:textId="6DF16733"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0AB1FD6D" w14:textId="77777777" w:rsidTr="002A64FF">
        <w:trPr>
          <w:trHeight w:val="557"/>
        </w:trPr>
        <w:tc>
          <w:tcPr>
            <w:tcW w:w="1843" w:type="dxa"/>
            <w:vMerge/>
            <w:noWrap/>
            <w:vAlign w:val="center"/>
          </w:tcPr>
          <w:p w14:paraId="172D2A57" w14:textId="77777777" w:rsidR="00691C77" w:rsidRPr="00FD34D6" w:rsidRDefault="00691C77" w:rsidP="00691C77">
            <w:pPr>
              <w:widowControl w:val="0"/>
              <w:jc w:val="center"/>
              <w:rPr>
                <w:rFonts w:eastAsia="PMingLiU"/>
                <w:szCs w:val="22"/>
              </w:rPr>
            </w:pPr>
          </w:p>
        </w:tc>
        <w:tc>
          <w:tcPr>
            <w:tcW w:w="883" w:type="dxa"/>
            <w:noWrap/>
            <w:vAlign w:val="center"/>
          </w:tcPr>
          <w:p w14:paraId="3ABE1470" w14:textId="4D72BBB7" w:rsidR="00691C77" w:rsidRPr="00691C77" w:rsidRDefault="00CE7099" w:rsidP="00691C77">
            <w:pPr>
              <w:widowControl w:val="0"/>
              <w:jc w:val="center"/>
              <w:rPr>
                <w:rFonts w:eastAsiaTheme="minorEastAsia"/>
                <w:szCs w:val="22"/>
                <w:lang w:eastAsia="zh-CN"/>
              </w:rPr>
            </w:pPr>
            <w:r>
              <w:rPr>
                <w:rFonts w:eastAsiaTheme="minorEastAsia"/>
                <w:szCs w:val="22"/>
                <w:lang w:eastAsia="zh-CN"/>
              </w:rPr>
              <w:t>3</w:t>
            </w:r>
          </w:p>
        </w:tc>
        <w:tc>
          <w:tcPr>
            <w:tcW w:w="555" w:type="dxa"/>
            <w:vAlign w:val="center"/>
          </w:tcPr>
          <w:p w14:paraId="2922D572" w14:textId="611108AF"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38633834" w14:textId="658716D6"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516FE8CC" w14:textId="0A83F3DA"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D42C601" w14:textId="032E9916"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15B303C9" w14:textId="2DB39EE2"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0FA4ED52" w14:textId="5EE31F4A"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45311837" w14:textId="77777777" w:rsidR="00691C77" w:rsidRPr="00FD34D6" w:rsidRDefault="00691C77" w:rsidP="00691C77">
            <w:pPr>
              <w:widowControl w:val="0"/>
              <w:jc w:val="center"/>
              <w:rPr>
                <w:rFonts w:eastAsia="PMingLiU"/>
                <w:szCs w:val="22"/>
              </w:rPr>
            </w:pPr>
          </w:p>
        </w:tc>
        <w:tc>
          <w:tcPr>
            <w:tcW w:w="842" w:type="dxa"/>
            <w:vAlign w:val="center"/>
          </w:tcPr>
          <w:p w14:paraId="077ABD04" w14:textId="4A344CE6"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5933CB03" w14:textId="77777777" w:rsidTr="002A64FF">
        <w:trPr>
          <w:trHeight w:val="557"/>
        </w:trPr>
        <w:tc>
          <w:tcPr>
            <w:tcW w:w="1843" w:type="dxa"/>
            <w:vMerge/>
            <w:noWrap/>
            <w:vAlign w:val="center"/>
          </w:tcPr>
          <w:p w14:paraId="16DCF7F4" w14:textId="77777777" w:rsidR="00691C77" w:rsidRPr="00FD34D6" w:rsidRDefault="00691C77" w:rsidP="00691C77">
            <w:pPr>
              <w:widowControl w:val="0"/>
              <w:jc w:val="center"/>
              <w:rPr>
                <w:rFonts w:eastAsia="PMingLiU"/>
                <w:szCs w:val="22"/>
              </w:rPr>
            </w:pPr>
          </w:p>
        </w:tc>
        <w:tc>
          <w:tcPr>
            <w:tcW w:w="883" w:type="dxa"/>
            <w:noWrap/>
            <w:vAlign w:val="center"/>
          </w:tcPr>
          <w:p w14:paraId="36210629" w14:textId="55DEA703" w:rsidR="00691C77" w:rsidRPr="00691C77" w:rsidRDefault="00691C77" w:rsidP="00691C77">
            <w:pPr>
              <w:widowControl w:val="0"/>
              <w:jc w:val="center"/>
              <w:rPr>
                <w:rFonts w:eastAsiaTheme="minorEastAsia"/>
                <w:szCs w:val="22"/>
                <w:lang w:eastAsia="zh-CN"/>
              </w:rPr>
            </w:pPr>
            <w:r>
              <w:rPr>
                <w:rFonts w:eastAsiaTheme="minorEastAsia"/>
                <w:szCs w:val="22"/>
                <w:lang w:eastAsia="zh-CN"/>
              </w:rPr>
              <w:t>4</w:t>
            </w:r>
          </w:p>
        </w:tc>
        <w:tc>
          <w:tcPr>
            <w:tcW w:w="555" w:type="dxa"/>
            <w:vAlign w:val="center"/>
          </w:tcPr>
          <w:p w14:paraId="2BF6276A" w14:textId="5376E66D"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1D52E327" w14:textId="1372B965"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FE11A40" w14:textId="333F0A58"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9B8BCE0" w14:textId="147CA3B8"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4F32BCFC" w14:textId="0CA183D7"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6888E0B1" w14:textId="2B4B9936"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6620DBA3" w14:textId="77777777" w:rsidR="00691C77" w:rsidRPr="00FD34D6" w:rsidRDefault="00691C77" w:rsidP="00691C77">
            <w:pPr>
              <w:widowControl w:val="0"/>
              <w:jc w:val="center"/>
              <w:rPr>
                <w:rFonts w:eastAsia="PMingLiU"/>
                <w:szCs w:val="22"/>
              </w:rPr>
            </w:pPr>
          </w:p>
        </w:tc>
        <w:tc>
          <w:tcPr>
            <w:tcW w:w="842" w:type="dxa"/>
            <w:vAlign w:val="center"/>
          </w:tcPr>
          <w:p w14:paraId="1596E74A" w14:textId="0E4178BF" w:rsidR="00691C77" w:rsidRPr="00FD34D6" w:rsidRDefault="00691C77" w:rsidP="00691C77">
            <w:pPr>
              <w:widowControl w:val="0"/>
              <w:jc w:val="center"/>
              <w:rPr>
                <w:rFonts w:eastAsia="宋体"/>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596617"/>
      <w:bookmarkEnd w:id="21"/>
      <w:r w:rsidRPr="00FD34D6">
        <w:rPr>
          <w:i/>
        </w:rPr>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1"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596618"/>
      <w:bookmarkEnd w:id="28"/>
      <w:r w:rsidRPr="00FD34D6">
        <w:t>Analysis Plan</w:t>
      </w:r>
      <w:bookmarkEnd w:id="29"/>
      <w:bookmarkEnd w:id="30"/>
      <w:bookmarkEnd w:id="3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2187330"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SALT.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lastRenderedPageBreak/>
        <w:drawing>
          <wp:inline distT="0" distB="0" distL="0" distR="0" wp14:anchorId="0AFBE623" wp14:editId="73BDB4AB">
            <wp:extent cx="4658729" cy="63627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3">
                      <a:extLst>
                        <a:ext uri="{28A0092B-C50C-407E-A947-70E740481C1C}">
                          <a14:useLocalDpi xmlns:a14="http://schemas.microsoft.com/office/drawing/2010/main" val="0"/>
                        </a:ext>
                      </a:extLst>
                    </a:blip>
                    <a:srcRect l="29006" r="29808"/>
                    <a:stretch/>
                  </pic:blipFill>
                  <pic:spPr bwMode="auto">
                    <a:xfrm>
                      <a:off x="0" y="0"/>
                      <a:ext cx="4676131" cy="6386467"/>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bookmarkStart w:id="32" w:name="_GoBack"/>
      <w:bookmarkEnd w:id="32"/>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3" w:name="_Toc131596619"/>
      <w:r w:rsidRPr="00FD34D6">
        <w:rPr>
          <w:rFonts w:eastAsia="Calibri"/>
          <w:i/>
          <w:color w:val="auto"/>
          <w:u w:val="none"/>
          <w:lang w:val="en-US"/>
        </w:rPr>
        <w:t>Data pre-processing</w:t>
      </w:r>
      <w:bookmarkEnd w:id="33"/>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b"/>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b"/>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b"/>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b"/>
        <w:numPr>
          <w:ilvl w:val="0"/>
          <w:numId w:val="24"/>
        </w:numPr>
        <w:rPr>
          <w:lang w:val="en-GB"/>
        </w:rPr>
      </w:pPr>
      <w:r w:rsidRPr="00FD34D6">
        <w:rPr>
          <w:lang w:val="en-GB"/>
        </w:rPr>
        <w:lastRenderedPageBreak/>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b"/>
        <w:numPr>
          <w:ilvl w:val="0"/>
          <w:numId w:val="23"/>
        </w:numPr>
        <w:rPr>
          <w:lang w:val="en-GB"/>
        </w:rPr>
      </w:pPr>
      <w:r w:rsidRPr="0007233A">
        <w:rPr>
          <w:lang w:val="en-GB"/>
        </w:rPr>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FD34D6" w:rsidRDefault="00C87380" w:rsidP="00C87380">
      <w:pPr>
        <w:pStyle w:val="3"/>
        <w:rPr>
          <w:rFonts w:eastAsia="Calibri"/>
          <w:i/>
          <w:color w:val="auto"/>
          <w:u w:val="none"/>
          <w:lang w:val="en-US"/>
        </w:rPr>
      </w:pPr>
      <w:bookmarkStart w:id="36" w:name="_Toc131596620"/>
      <w:bookmarkEnd w:id="34"/>
      <w:bookmarkEnd w:id="35"/>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6"/>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4A1934"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4A1934"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4A1934"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4A1934"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4A1934"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4A1934"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4A1934"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4A1934"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4A1934"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4A1934"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lastRenderedPageBreak/>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4A1934"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2B17D41F" w14:textId="1AD8FC44" w:rsidR="00001E83" w:rsidRPr="00FD34D6" w:rsidRDefault="003A496A" w:rsidP="00376756">
      <w:r w:rsidRPr="00FD34D6">
        <w:rPr>
          <w:i/>
          <w:iCs/>
          <w:lang w:val="en-US"/>
        </w:rPr>
        <w:lastRenderedPageBreak/>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1F0C68F9" w14:textId="77777777" w:rsidR="00C87380" w:rsidRDefault="00C87380" w:rsidP="00C87380">
      <w:pPr>
        <w:pStyle w:val="3"/>
        <w:rPr>
          <w:rFonts w:eastAsiaTheme="minorEastAsia"/>
          <w:i/>
          <w:color w:val="auto"/>
          <w:u w:val="none"/>
          <w:lang w:val="en-US"/>
        </w:rPr>
      </w:pPr>
      <w:bookmarkStart w:id="37" w:name="_Toc129530164"/>
      <w:bookmarkStart w:id="38" w:name="_Toc129530194"/>
    </w:p>
    <w:p w14:paraId="7F7E42DD" w14:textId="77777777" w:rsidR="00C87380" w:rsidRPr="00005823" w:rsidRDefault="00C87380" w:rsidP="00C87380">
      <w:pPr>
        <w:pStyle w:val="3"/>
        <w:rPr>
          <w:i/>
          <w:color w:val="auto"/>
          <w:u w:val="none"/>
          <w:lang w:val="en-US"/>
        </w:rPr>
      </w:pPr>
      <w:bookmarkStart w:id="39" w:name="_Toc131596621"/>
      <w:r>
        <w:rPr>
          <w:i/>
          <w:color w:val="auto"/>
          <w:u w:val="none"/>
          <w:lang w:val="en-US"/>
        </w:rPr>
        <w:t xml:space="preserve">Estimating the </w:t>
      </w:r>
      <w:r w:rsidRPr="00FD34D6">
        <w:rPr>
          <w:i/>
          <w:color w:val="auto"/>
          <w:u w:val="none"/>
          <w:lang w:val="en-US"/>
        </w:rPr>
        <w:t>Reliability</w:t>
      </w:r>
      <w:bookmarkEnd w:id="37"/>
      <w:bookmarkEnd w:id="38"/>
      <w:bookmarkEnd w:id="39"/>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40" w:name="_Toc129530165"/>
      <w:bookmarkStart w:id="41"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40"/>
      <w:bookmarkEnd w:id="41"/>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4A1934"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4A1934"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2" w:name="_8ky6xw9d7iji" w:colFirst="0" w:colLast="0"/>
      <w:bookmarkStart w:id="43" w:name="_Toc129530166"/>
      <w:bookmarkStart w:id="44" w:name="_Toc129530196"/>
      <w:bookmarkStart w:id="45" w:name="_Toc131596622"/>
      <w:bookmarkEnd w:id="42"/>
      <w:r w:rsidRPr="00FD34D6">
        <w:rPr>
          <w:rFonts w:ascii="Calibri" w:eastAsia="Calibri" w:hAnsi="Calibri" w:cs="Calibri"/>
          <w:b/>
          <w:sz w:val="42"/>
          <w:szCs w:val="42"/>
        </w:rPr>
        <w:t>Data availability</w:t>
      </w:r>
      <w:bookmarkEnd w:id="43"/>
      <w:bookmarkEnd w:id="44"/>
      <w:bookmarkEnd w:id="45"/>
    </w:p>
    <w:p w14:paraId="625BF74F" w14:textId="16977228"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58643B" w:rsidRPr="0058643B">
        <w:t>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6" w:name="_v3xn7y51vn90" w:colFirst="0" w:colLast="0"/>
      <w:bookmarkStart w:id="47" w:name="_Toc129530167"/>
      <w:bookmarkStart w:id="48" w:name="_Toc129530197"/>
      <w:bookmarkStart w:id="49" w:name="_Toc131596623"/>
      <w:bookmarkEnd w:id="46"/>
      <w:r w:rsidRPr="00FD34D6">
        <w:rPr>
          <w:rFonts w:ascii="Calibri" w:eastAsia="Calibri" w:hAnsi="Calibri" w:cs="Calibri"/>
          <w:b/>
          <w:sz w:val="42"/>
          <w:szCs w:val="42"/>
        </w:rPr>
        <w:t>Code availability</w:t>
      </w:r>
      <w:bookmarkEnd w:id="47"/>
      <w:bookmarkEnd w:id="48"/>
      <w:bookmarkEnd w:id="49"/>
    </w:p>
    <w:p w14:paraId="32DA3EE1" w14:textId="474E015F"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07233A" w:rsidRPr="0058643B">
        <w:t>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50" w:name="_wv0gj0dgrmeo" w:colFirst="0" w:colLast="0"/>
      <w:bookmarkStart w:id="51" w:name="_Toc129530168"/>
      <w:bookmarkStart w:id="52" w:name="_Toc129530198"/>
      <w:bookmarkStart w:id="53" w:name="_Toc131596624"/>
      <w:bookmarkEnd w:id="50"/>
      <w:r w:rsidRPr="00FD34D6">
        <w:rPr>
          <w:rFonts w:ascii="Calibri" w:eastAsia="Calibri" w:hAnsi="Calibri" w:cs="Calibri"/>
          <w:b/>
          <w:sz w:val="42"/>
          <w:szCs w:val="42"/>
        </w:rPr>
        <w:t>Results</w:t>
      </w:r>
      <w:bookmarkEnd w:id="51"/>
      <w:bookmarkEnd w:id="52"/>
      <w:bookmarkEnd w:id="53"/>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4" w:name="_Toc129530169"/>
      <w:bookmarkStart w:id="55" w:name="_Toc129530199"/>
    </w:p>
    <w:p w14:paraId="32EB2324" w14:textId="6822A31A" w:rsidR="00F41AAC" w:rsidRPr="00FD34D6" w:rsidRDefault="00F41AAC" w:rsidP="00F41AAC">
      <w:pPr>
        <w:pStyle w:val="2"/>
        <w:rPr>
          <w:lang w:val="en-US"/>
        </w:rPr>
      </w:pPr>
      <w:bookmarkStart w:id="56" w:name="_Toc131596625"/>
      <w:r w:rsidRPr="00FD34D6">
        <w:rPr>
          <w:lang w:val="en-US"/>
        </w:rPr>
        <w:t>Split-Half Reliability</w:t>
      </w:r>
      <w:bookmarkEnd w:id="56"/>
      <w:r w:rsidR="00AF6D94" w:rsidRPr="00FD34D6">
        <w:rPr>
          <w:lang w:val="en-US"/>
        </w:rPr>
        <w:t xml:space="preserve"> </w:t>
      </w:r>
      <w:bookmarkEnd w:id="54"/>
      <w:bookmarkEnd w:id="55"/>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4"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7" w:name="_Toc129530170"/>
      <w:bookmarkStart w:id="58" w:name="_Toc129530200"/>
      <w:bookmarkStart w:id="59" w:name="_Toc131596626"/>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7"/>
      <w:bookmarkEnd w:id="58"/>
      <w:bookmarkEnd w:id="59"/>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4A7E19"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pt">
            <v:imagedata r:id="rId15"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footerReference w:type="default" r:id="rId16"/>
          <w:footerReference w:type="first" r:id="rId17"/>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60" w:name="_Toc129530171"/>
      <w:bookmarkStart w:id="61"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2" w:name="_Toc131596627"/>
      <w:r w:rsidRPr="00FD34D6">
        <w:rPr>
          <w:rFonts w:ascii="Calibri" w:eastAsia="Calibri" w:hAnsi="Calibri" w:cs="Calibri"/>
          <w:b/>
          <w:sz w:val="42"/>
          <w:szCs w:val="42"/>
        </w:rPr>
        <w:lastRenderedPageBreak/>
        <w:t>Discussion</w:t>
      </w:r>
      <w:bookmarkEnd w:id="60"/>
      <w:bookmarkEnd w:id="61"/>
      <w:bookmarkEnd w:id="62"/>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3" w:name="_55me02ptpjfj" w:colFirst="0" w:colLast="0"/>
      <w:bookmarkStart w:id="64" w:name="_mdjadefs2vka" w:colFirst="0" w:colLast="0"/>
      <w:bookmarkEnd w:id="63"/>
      <w:bookmarkEnd w:id="64"/>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5" w:name="_Toc129530172"/>
      <w:bookmarkStart w:id="66" w:name="_Toc129530202"/>
      <w:bookmarkStart w:id="67" w:name="_Toc131596628"/>
      <w:r w:rsidRPr="00FD34D6">
        <w:rPr>
          <w:rFonts w:ascii="Calibri" w:eastAsia="Calibri" w:hAnsi="Calibri" w:cs="Calibri"/>
          <w:b/>
          <w:sz w:val="42"/>
          <w:szCs w:val="42"/>
        </w:rPr>
        <w:lastRenderedPageBreak/>
        <w:t>Acknowledgements</w:t>
      </w:r>
      <w:bookmarkEnd w:id="65"/>
      <w:bookmarkEnd w:id="66"/>
      <w:bookmarkEnd w:id="67"/>
    </w:p>
    <w:p w14:paraId="1E3C6B82" w14:textId="79BD882E" w:rsidR="00586F83" w:rsidRPr="00FD34D6" w:rsidRDefault="00D17E28" w:rsidP="0014261E">
      <w:pPr>
        <w:rPr>
          <w:lang w:val="en-US"/>
        </w:rPr>
      </w:pPr>
      <w:r w:rsidRPr="00FD34D6">
        <w:rPr>
          <w:lang w:val="en-US"/>
        </w:rPr>
        <w:t xml:space="preserve">The present research is support by xxx. </w:t>
      </w:r>
      <w:bookmarkStart w:id="68" w:name="_wvd57wep2hh3" w:colFirst="0" w:colLast="0"/>
      <w:bookmarkEnd w:id="68"/>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9" w:name="_ridkkf2yzxxx" w:colFirst="0" w:colLast="0"/>
      <w:bookmarkStart w:id="70" w:name="_Toc129530173"/>
      <w:bookmarkStart w:id="71" w:name="_Toc129530203"/>
      <w:bookmarkStart w:id="72" w:name="_Toc131596629"/>
      <w:bookmarkEnd w:id="69"/>
      <w:r w:rsidRPr="00FD34D6">
        <w:rPr>
          <w:rFonts w:ascii="Calibri" w:eastAsia="Calibri" w:hAnsi="Calibri" w:cs="Calibri"/>
          <w:b/>
          <w:sz w:val="42"/>
          <w:szCs w:val="42"/>
        </w:rPr>
        <w:t>Author contributions</w:t>
      </w:r>
      <w:bookmarkEnd w:id="70"/>
      <w:bookmarkEnd w:id="71"/>
      <w:bookmarkEnd w:id="72"/>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3" w:name="_Toc129530174"/>
      <w:bookmarkStart w:id="74" w:name="_Toc129530204"/>
      <w:bookmarkStart w:id="75" w:name="_Toc131596630"/>
      <w:r w:rsidRPr="00FD34D6">
        <w:rPr>
          <w:rFonts w:ascii="Calibri" w:eastAsia="Calibri" w:hAnsi="Calibri" w:cs="Calibri"/>
          <w:b/>
          <w:sz w:val="42"/>
          <w:szCs w:val="42"/>
        </w:rPr>
        <w:t>Competing interests</w:t>
      </w:r>
      <w:bookmarkEnd w:id="73"/>
      <w:bookmarkEnd w:id="74"/>
      <w:bookmarkEnd w:id="75"/>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6" w:name="_Toc129530175"/>
      <w:bookmarkStart w:id="77" w:name="_Toc129530205"/>
      <w:bookmarkStart w:id="78" w:name="_Toc131596631"/>
      <w:r w:rsidRPr="00FD34D6">
        <w:rPr>
          <w:rFonts w:ascii="Calibri" w:eastAsia="Calibri" w:hAnsi="Calibri" w:cs="Calibri"/>
          <w:b/>
          <w:sz w:val="42"/>
          <w:szCs w:val="42"/>
        </w:rPr>
        <w:t>Figures</w:t>
      </w:r>
      <w:bookmarkEnd w:id="76"/>
      <w:bookmarkEnd w:id="77"/>
      <w:bookmarkEnd w:id="78"/>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9" w:name="_wbmlk2iy1qsw" w:colFirst="0" w:colLast="0"/>
      <w:bookmarkEnd w:id="79"/>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80" w:name="_1r3wz94tf58i" w:colFirst="0" w:colLast="0"/>
      <w:bookmarkStart w:id="81" w:name="_Toc129530176"/>
      <w:bookmarkStart w:id="82" w:name="_Toc129530206"/>
      <w:bookmarkStart w:id="83" w:name="_Toc131596632"/>
      <w:bookmarkEnd w:id="80"/>
      <w:r w:rsidRPr="00FD34D6">
        <w:rPr>
          <w:rFonts w:ascii="Calibri" w:eastAsia="Calibri" w:hAnsi="Calibri" w:cs="Calibri"/>
          <w:b/>
          <w:sz w:val="42"/>
          <w:szCs w:val="42"/>
        </w:rPr>
        <w:t>Figure Legends</w:t>
      </w:r>
      <w:bookmarkEnd w:id="81"/>
      <w:bookmarkEnd w:id="82"/>
      <w:bookmarkEnd w:id="83"/>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4" w:name="_5v980ihlaje4" w:colFirst="0" w:colLast="0"/>
      <w:bookmarkEnd w:id="84"/>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5" w:name="_Toc129530177"/>
      <w:bookmarkStart w:id="86" w:name="_Toc129530207"/>
      <w:bookmarkStart w:id="87" w:name="_Toc131596633"/>
      <w:r w:rsidRPr="00FD34D6">
        <w:rPr>
          <w:rFonts w:ascii="Calibri" w:eastAsia="Calibri" w:hAnsi="Calibri" w:cs="Calibri"/>
          <w:b/>
          <w:sz w:val="42"/>
          <w:szCs w:val="42"/>
        </w:rPr>
        <w:lastRenderedPageBreak/>
        <w:t>Supplementary information</w:t>
      </w:r>
      <w:bookmarkEnd w:id="85"/>
      <w:bookmarkEnd w:id="86"/>
      <w:bookmarkEnd w:id="87"/>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28B456A1" w:rsidR="003E7247" w:rsidRPr="00FD34D6" w:rsidRDefault="003E7247" w:rsidP="003E7247">
      <w:pPr>
        <w:rPr>
          <w:rFonts w:eastAsia="Calibri"/>
          <w:lang w:val="en-US"/>
        </w:rPr>
      </w:pPr>
      <w:bookmarkStart w:id="88" w:name="_dz5w9vw0a4hh" w:colFirst="0" w:colLast="0"/>
      <w:bookmarkStart w:id="89" w:name="_7gc9ix103005" w:colFirst="0" w:colLast="0"/>
      <w:bookmarkEnd w:id="88"/>
      <w:bookmarkEnd w:id="89"/>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90" w:name="_Toc129530178"/>
      <w:bookmarkStart w:id="91" w:name="_Toc129530208"/>
      <w:bookmarkStart w:id="92" w:name="_Toc131596634"/>
      <w:r w:rsidRPr="00FD34D6">
        <w:rPr>
          <w:rFonts w:ascii="Calibri" w:eastAsia="Calibri" w:hAnsi="Calibri" w:cs="Calibri"/>
          <w:b/>
          <w:sz w:val="42"/>
          <w:szCs w:val="42"/>
        </w:rPr>
        <w:lastRenderedPageBreak/>
        <w:t>References</w:t>
      </w:r>
      <w:bookmarkEnd w:id="90"/>
      <w:bookmarkEnd w:id="91"/>
      <w:bookmarkEnd w:id="92"/>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76834CAB" w14:textId="77777777" w:rsidR="00691C77" w:rsidRPr="00691C77" w:rsidRDefault="00B03D7E" w:rsidP="00691C77">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691C77" w:rsidRPr="00691C77">
        <w:rPr>
          <w:noProof/>
        </w:rPr>
        <w:t xml:space="preserve">Bukowski, H., et al. (2021). Socio-cognitive training impacts emotional and perceptual self-salience but not self-other distinction. </w:t>
      </w:r>
      <w:r w:rsidR="00691C77" w:rsidRPr="00691C77">
        <w:rPr>
          <w:i/>
          <w:noProof/>
        </w:rPr>
        <w:t>Acta psychologica, 216</w:t>
      </w:r>
      <w:r w:rsidR="00691C77" w:rsidRPr="00691C77">
        <w:rPr>
          <w:noProof/>
        </w:rPr>
        <w:t xml:space="preserve">, 103297. </w:t>
      </w:r>
    </w:p>
    <w:p w14:paraId="6156AD74" w14:textId="77777777" w:rsidR="00691C77" w:rsidRPr="00691C77" w:rsidRDefault="00691C77" w:rsidP="00691C77">
      <w:pPr>
        <w:pStyle w:val="EndNoteBibliography"/>
        <w:rPr>
          <w:noProof/>
        </w:rPr>
      </w:pPr>
    </w:p>
    <w:p w14:paraId="4E9AFDA0" w14:textId="77777777" w:rsidR="00691C77" w:rsidRPr="00691C77" w:rsidRDefault="00691C77" w:rsidP="00691C77">
      <w:pPr>
        <w:pStyle w:val="EndNoteBibliography"/>
        <w:ind w:left="720" w:hanging="720"/>
        <w:rPr>
          <w:noProof/>
        </w:rPr>
      </w:pPr>
      <w:r w:rsidRPr="00691C77">
        <w:rPr>
          <w:noProof/>
        </w:rPr>
        <w:t xml:space="preserve">Cheng, M., &amp; Tseng, C.-h. (2019). Saliency at first sight: instant identity referential advantage toward a newly met partner. </w:t>
      </w:r>
      <w:r w:rsidRPr="00691C77">
        <w:rPr>
          <w:i/>
          <w:noProof/>
        </w:rPr>
        <w:t>Cognitive Research: Principles and Implications, 4</w:t>
      </w:r>
      <w:r w:rsidRPr="00691C77">
        <w:rPr>
          <w:noProof/>
        </w:rPr>
        <w:t xml:space="preserve">(1), 1-18. </w:t>
      </w:r>
    </w:p>
    <w:p w14:paraId="59D37992" w14:textId="77777777" w:rsidR="00691C77" w:rsidRPr="00691C77" w:rsidRDefault="00691C77" w:rsidP="00691C77">
      <w:pPr>
        <w:pStyle w:val="EndNoteBibliography"/>
        <w:rPr>
          <w:noProof/>
        </w:rPr>
      </w:pPr>
    </w:p>
    <w:p w14:paraId="43D91300" w14:textId="044E783B" w:rsidR="00691C77" w:rsidRPr="00691C77" w:rsidRDefault="00691C77" w:rsidP="00691C77">
      <w:pPr>
        <w:pStyle w:val="EndNoteBibliography"/>
        <w:ind w:left="720" w:hanging="720"/>
        <w:rPr>
          <w:noProof/>
        </w:rPr>
      </w:pPr>
      <w:r w:rsidRPr="00691C77">
        <w:rPr>
          <w:noProof/>
        </w:rPr>
        <w:t xml:space="preserve">Cherry, E.C. (1953). Some experiments on the recognition of speech, with one and with two ears. </w:t>
      </w:r>
      <w:r w:rsidRPr="00691C77">
        <w:rPr>
          <w:i/>
          <w:noProof/>
        </w:rPr>
        <w:t>The Journal of the acoustical society of America, 25</w:t>
      </w:r>
      <w:r w:rsidRPr="00691C77">
        <w:rPr>
          <w:noProof/>
        </w:rPr>
        <w:t xml:space="preserve">(5), 975-979. </w:t>
      </w:r>
      <w:hyperlink r:id="rId18" w:history="1">
        <w:r w:rsidRPr="00691C77">
          <w:rPr>
            <w:rStyle w:val="aa"/>
            <w:noProof/>
          </w:rPr>
          <w:t>https://doi.org/10.1121/1.1907229</w:t>
        </w:r>
      </w:hyperlink>
      <w:r w:rsidRPr="00691C77">
        <w:rPr>
          <w:noProof/>
        </w:rPr>
        <w:t xml:space="preserve"> </w:t>
      </w:r>
    </w:p>
    <w:p w14:paraId="0DB85BF1" w14:textId="77777777" w:rsidR="00691C77" w:rsidRPr="00691C77" w:rsidRDefault="00691C77" w:rsidP="00691C77">
      <w:pPr>
        <w:pStyle w:val="EndNoteBibliography"/>
        <w:rPr>
          <w:noProof/>
        </w:rPr>
      </w:pPr>
    </w:p>
    <w:p w14:paraId="03985D5F" w14:textId="77777777" w:rsidR="00691C77" w:rsidRPr="00691C77" w:rsidRDefault="00691C77" w:rsidP="00691C77">
      <w:pPr>
        <w:pStyle w:val="EndNoteBibliography"/>
        <w:ind w:left="720" w:hanging="720"/>
        <w:rPr>
          <w:noProof/>
        </w:rPr>
      </w:pPr>
      <w:r w:rsidRPr="00691C77">
        <w:rPr>
          <w:noProof/>
        </w:rPr>
        <w:t xml:space="preserve">Cicchetti, D.V., &amp; Sparrow, S.A. (1981). Developing criteria for establishing interrater reliability of specific items: applications to assessment of adaptive behavior. </w:t>
      </w:r>
      <w:r w:rsidRPr="00691C77">
        <w:rPr>
          <w:i/>
          <w:noProof/>
        </w:rPr>
        <w:t>Am J Ment Defic, 86</w:t>
      </w:r>
      <w:r w:rsidRPr="00691C77">
        <w:rPr>
          <w:noProof/>
        </w:rPr>
        <w:t xml:space="preserve">(2), 127-137. </w:t>
      </w:r>
    </w:p>
    <w:p w14:paraId="240AA73E" w14:textId="77777777" w:rsidR="00691C77" w:rsidRPr="00691C77" w:rsidRDefault="00691C77" w:rsidP="00691C77">
      <w:pPr>
        <w:pStyle w:val="EndNoteBibliography"/>
        <w:rPr>
          <w:noProof/>
        </w:rPr>
      </w:pPr>
    </w:p>
    <w:p w14:paraId="4CDB4029" w14:textId="26876934" w:rsidR="00691C77" w:rsidRPr="00691C77" w:rsidRDefault="00691C77" w:rsidP="00691C77">
      <w:pPr>
        <w:pStyle w:val="EndNoteBibliography"/>
        <w:ind w:left="720" w:hanging="720"/>
        <w:rPr>
          <w:noProof/>
        </w:rPr>
      </w:pPr>
      <w:r w:rsidRPr="00691C77">
        <w:rPr>
          <w:noProof/>
        </w:rPr>
        <w:t xml:space="preserve">Constable, M.D., et al. (2019). Relevant for us? We-prioritization in cognitive processing. </w:t>
      </w:r>
      <w:r w:rsidRPr="00691C77">
        <w:rPr>
          <w:i/>
          <w:noProof/>
        </w:rPr>
        <w:t>Journal of Experimental Psychology: Human Perception and Performance, 45</w:t>
      </w:r>
      <w:r w:rsidRPr="00691C77">
        <w:rPr>
          <w:noProof/>
        </w:rPr>
        <w:t xml:space="preserve">(12). </w:t>
      </w:r>
      <w:hyperlink r:id="rId19" w:history="1">
        <w:r w:rsidRPr="00691C77">
          <w:rPr>
            <w:rStyle w:val="aa"/>
            <w:noProof/>
          </w:rPr>
          <w:t>https://doi.org/10.1037/xhp0000691</w:t>
        </w:r>
      </w:hyperlink>
      <w:r w:rsidRPr="00691C77">
        <w:rPr>
          <w:noProof/>
        </w:rPr>
        <w:t xml:space="preserve"> </w:t>
      </w:r>
    </w:p>
    <w:p w14:paraId="3AC67159" w14:textId="77777777" w:rsidR="00691C77" w:rsidRPr="00691C77" w:rsidRDefault="00691C77" w:rsidP="00691C77">
      <w:pPr>
        <w:pStyle w:val="EndNoteBibliography"/>
        <w:rPr>
          <w:noProof/>
        </w:rPr>
      </w:pPr>
    </w:p>
    <w:p w14:paraId="19474F52" w14:textId="77777777" w:rsidR="00691C77" w:rsidRPr="00691C77" w:rsidRDefault="00691C77" w:rsidP="00691C77">
      <w:pPr>
        <w:pStyle w:val="EndNoteBibliography"/>
        <w:ind w:left="720" w:hanging="720"/>
        <w:rPr>
          <w:noProof/>
        </w:rPr>
      </w:pPr>
      <w:r w:rsidRPr="00691C77">
        <w:rPr>
          <w:noProof/>
        </w:rPr>
        <w:t xml:space="preserve">Constable, M.D., &amp; Knoblich, G. (2020). Sticking together? Re-binding previous other-associated stimuli interferes with self-verification but not partner-verification. </w:t>
      </w:r>
      <w:r w:rsidRPr="00691C77">
        <w:rPr>
          <w:i/>
          <w:noProof/>
        </w:rPr>
        <w:t>Acta psychologica, 210</w:t>
      </w:r>
      <w:r w:rsidRPr="00691C77">
        <w:rPr>
          <w:noProof/>
        </w:rPr>
        <w:t xml:space="preserve">, 103167. </w:t>
      </w:r>
    </w:p>
    <w:p w14:paraId="19BAFED9" w14:textId="77777777" w:rsidR="00691C77" w:rsidRPr="00691C77" w:rsidRDefault="00691C77" w:rsidP="00691C77">
      <w:pPr>
        <w:pStyle w:val="EndNoteBibliography"/>
        <w:rPr>
          <w:noProof/>
        </w:rPr>
      </w:pPr>
    </w:p>
    <w:p w14:paraId="58089AEE" w14:textId="77777777" w:rsidR="00691C77" w:rsidRPr="00691C77" w:rsidRDefault="00691C77" w:rsidP="00691C77">
      <w:pPr>
        <w:pStyle w:val="EndNoteBibliography"/>
        <w:ind w:left="720" w:hanging="720"/>
        <w:rPr>
          <w:noProof/>
        </w:rPr>
      </w:pPr>
      <w:r w:rsidRPr="00691C77">
        <w:rPr>
          <w:noProof/>
        </w:rPr>
        <w:t xml:space="preserve">Constable, M.D., et al. (2019). It is not in the details: Self-related shapes are rapidly classified but their features are not better remembered. </w:t>
      </w:r>
      <w:r w:rsidRPr="00691C77">
        <w:rPr>
          <w:i/>
          <w:noProof/>
        </w:rPr>
        <w:t>Memory &amp; Cognition, 47</w:t>
      </w:r>
      <w:r w:rsidRPr="00691C77">
        <w:rPr>
          <w:noProof/>
        </w:rPr>
        <w:t xml:space="preserve">, 1145-1157. </w:t>
      </w:r>
    </w:p>
    <w:p w14:paraId="10DC95F4" w14:textId="77777777" w:rsidR="00691C77" w:rsidRPr="00691C77" w:rsidRDefault="00691C77" w:rsidP="00691C77">
      <w:pPr>
        <w:pStyle w:val="EndNoteBibliography"/>
        <w:rPr>
          <w:noProof/>
        </w:rPr>
      </w:pPr>
    </w:p>
    <w:p w14:paraId="10352B12" w14:textId="1BE8A8A2" w:rsidR="00691C77" w:rsidRPr="00691C77" w:rsidRDefault="00691C77" w:rsidP="00691C77">
      <w:pPr>
        <w:pStyle w:val="EndNoteBibliography"/>
        <w:ind w:left="720" w:hanging="720"/>
        <w:rPr>
          <w:noProof/>
        </w:rPr>
      </w:pPr>
      <w:r w:rsidRPr="00691C77">
        <w:rPr>
          <w:noProof/>
        </w:rPr>
        <w:t xml:space="preserve">Conway, M.A., &amp; Dewhurst, S.A. (1995). The self and recollective experience. </w:t>
      </w:r>
      <w:r w:rsidRPr="00691C77">
        <w:rPr>
          <w:i/>
          <w:noProof/>
        </w:rPr>
        <w:t>Applied Cognitive Psychology, 9</w:t>
      </w:r>
      <w:r w:rsidRPr="00691C77">
        <w:rPr>
          <w:noProof/>
        </w:rPr>
        <w:t xml:space="preserve">(1), 1-19. </w:t>
      </w:r>
      <w:hyperlink r:id="rId20" w:history="1">
        <w:r w:rsidRPr="00691C77">
          <w:rPr>
            <w:rStyle w:val="aa"/>
            <w:noProof/>
          </w:rPr>
          <w:t>https://doi.org/10.1002/acp.2350090102</w:t>
        </w:r>
      </w:hyperlink>
      <w:r w:rsidRPr="00691C77">
        <w:rPr>
          <w:noProof/>
        </w:rPr>
        <w:t xml:space="preserve"> </w:t>
      </w:r>
    </w:p>
    <w:p w14:paraId="49FC2878" w14:textId="77777777" w:rsidR="00691C77" w:rsidRPr="00691C77" w:rsidRDefault="00691C77" w:rsidP="00691C77">
      <w:pPr>
        <w:pStyle w:val="EndNoteBibliography"/>
        <w:rPr>
          <w:noProof/>
        </w:rPr>
      </w:pPr>
    </w:p>
    <w:p w14:paraId="42BEE30D" w14:textId="77777777" w:rsidR="00691C77" w:rsidRPr="00691C77" w:rsidRDefault="00691C77" w:rsidP="00691C77">
      <w:pPr>
        <w:pStyle w:val="EndNoteBibliography"/>
        <w:ind w:left="720" w:hanging="720"/>
        <w:rPr>
          <w:noProof/>
        </w:rPr>
      </w:pPr>
      <w:r w:rsidRPr="00691C77">
        <w:rPr>
          <w:noProof/>
        </w:rPr>
        <w:t xml:space="preserve">Copeland, A., et al. (2022). Methodological issues with value-based decision-making (VBDM) tasks: The effect of trial wording on evidence accumulation outputs from the EZ drift-diffusion model. </w:t>
      </w:r>
      <w:r w:rsidRPr="00691C77">
        <w:rPr>
          <w:i/>
          <w:noProof/>
        </w:rPr>
        <w:t>Cogent Psychology, 9</w:t>
      </w:r>
      <w:r w:rsidRPr="00691C77">
        <w:rPr>
          <w:noProof/>
        </w:rPr>
        <w:t xml:space="preserve">(1), 2079801. </w:t>
      </w:r>
    </w:p>
    <w:p w14:paraId="543EDD1D" w14:textId="77777777" w:rsidR="00691C77" w:rsidRPr="00691C77" w:rsidRDefault="00691C77" w:rsidP="00691C77">
      <w:pPr>
        <w:pStyle w:val="EndNoteBibliography"/>
        <w:rPr>
          <w:noProof/>
        </w:rPr>
      </w:pPr>
    </w:p>
    <w:p w14:paraId="42828FE4" w14:textId="2C08C373" w:rsidR="00691C77" w:rsidRPr="00691C77" w:rsidRDefault="00691C77" w:rsidP="00691C77">
      <w:pPr>
        <w:pStyle w:val="EndNoteBibliography"/>
        <w:ind w:left="720" w:hanging="720"/>
        <w:rPr>
          <w:noProof/>
        </w:rPr>
      </w:pPr>
      <w:r w:rsidRPr="00691C77">
        <w:rPr>
          <w:noProof/>
        </w:rPr>
        <w:t xml:space="preserve">Craik, F.I.M., &amp; Tulving, E. (1975). Depth of processing and the retention of words in episodic memory. </w:t>
      </w:r>
      <w:r w:rsidRPr="00691C77">
        <w:rPr>
          <w:i/>
          <w:noProof/>
        </w:rPr>
        <w:t>Journal of Experimental Psychology: General, 104</w:t>
      </w:r>
      <w:r w:rsidRPr="00691C77">
        <w:rPr>
          <w:noProof/>
        </w:rPr>
        <w:t xml:space="preserve">(3), 268-294. </w:t>
      </w:r>
      <w:hyperlink r:id="rId21" w:history="1">
        <w:r w:rsidRPr="00691C77">
          <w:rPr>
            <w:rStyle w:val="aa"/>
            <w:noProof/>
          </w:rPr>
          <w:t>https://doi.org/10.1037/0096-3445.104.3.268</w:t>
        </w:r>
      </w:hyperlink>
      <w:r w:rsidRPr="00691C77">
        <w:rPr>
          <w:noProof/>
        </w:rPr>
        <w:t xml:space="preserve"> </w:t>
      </w:r>
    </w:p>
    <w:p w14:paraId="43F0A0E5" w14:textId="77777777" w:rsidR="00691C77" w:rsidRPr="00691C77" w:rsidRDefault="00691C77" w:rsidP="00691C77">
      <w:pPr>
        <w:pStyle w:val="EndNoteBibliography"/>
        <w:rPr>
          <w:noProof/>
        </w:rPr>
      </w:pPr>
    </w:p>
    <w:p w14:paraId="3727B441" w14:textId="7F4E64E2" w:rsidR="00691C77" w:rsidRPr="00691C77" w:rsidRDefault="00691C77" w:rsidP="00691C77">
      <w:pPr>
        <w:pStyle w:val="EndNoteBibliography"/>
        <w:ind w:left="720" w:hanging="720"/>
        <w:rPr>
          <w:noProof/>
        </w:rPr>
      </w:pPr>
      <w:r w:rsidRPr="00691C77">
        <w:rPr>
          <w:noProof/>
        </w:rPr>
        <w:t xml:space="preserve">Cunningham, S.J., &amp; Turk, D.J. (2017, Jun). Editorial: A review of self-processing biases in cognition. </w:t>
      </w:r>
      <w:r w:rsidRPr="00691C77">
        <w:rPr>
          <w:i/>
          <w:noProof/>
        </w:rPr>
        <w:t>Quarterly journal of experimental psychology, 70</w:t>
      </w:r>
      <w:r w:rsidRPr="00691C77">
        <w:rPr>
          <w:noProof/>
        </w:rPr>
        <w:t xml:space="preserve">(6), 987-995. </w:t>
      </w:r>
      <w:hyperlink r:id="rId22" w:history="1">
        <w:r w:rsidRPr="00691C77">
          <w:rPr>
            <w:rStyle w:val="aa"/>
            <w:noProof/>
          </w:rPr>
          <w:t>https://doi.org/10.1080/17470218.2016.1276609</w:t>
        </w:r>
      </w:hyperlink>
      <w:r w:rsidRPr="00691C77">
        <w:rPr>
          <w:noProof/>
        </w:rPr>
        <w:t xml:space="preserve"> </w:t>
      </w:r>
    </w:p>
    <w:p w14:paraId="3410025E" w14:textId="77777777" w:rsidR="00691C77" w:rsidRPr="00691C77" w:rsidRDefault="00691C77" w:rsidP="00691C77">
      <w:pPr>
        <w:pStyle w:val="EndNoteBibliography"/>
        <w:rPr>
          <w:noProof/>
        </w:rPr>
      </w:pPr>
    </w:p>
    <w:p w14:paraId="1BD9FE5E" w14:textId="1B971558" w:rsidR="00691C77" w:rsidRPr="00691C77" w:rsidRDefault="00691C77" w:rsidP="00691C77">
      <w:pPr>
        <w:pStyle w:val="EndNoteBibliography"/>
        <w:ind w:left="720" w:hanging="720"/>
        <w:rPr>
          <w:noProof/>
        </w:rPr>
      </w:pPr>
      <w:r w:rsidRPr="00691C77">
        <w:rPr>
          <w:noProof/>
        </w:rPr>
        <w:t xml:space="preserve">Cunningham, S.J., et al. (2008). Yours or mine? Ownership and memory. </w:t>
      </w:r>
      <w:r w:rsidRPr="00691C77">
        <w:rPr>
          <w:i/>
          <w:noProof/>
        </w:rPr>
        <w:t>Consciousness and cognition, 17</w:t>
      </w:r>
      <w:r w:rsidRPr="00691C77">
        <w:rPr>
          <w:noProof/>
        </w:rPr>
        <w:t xml:space="preserve">(1), 312-318. </w:t>
      </w:r>
      <w:hyperlink r:id="rId23" w:history="1">
        <w:r w:rsidRPr="00691C77">
          <w:rPr>
            <w:rStyle w:val="aa"/>
            <w:noProof/>
          </w:rPr>
          <w:t>https://doi.org/10.1016/j.concog.2007.04.003</w:t>
        </w:r>
      </w:hyperlink>
      <w:r w:rsidRPr="00691C77">
        <w:rPr>
          <w:noProof/>
        </w:rPr>
        <w:t xml:space="preserve"> </w:t>
      </w:r>
    </w:p>
    <w:p w14:paraId="4260B0E3" w14:textId="77777777" w:rsidR="00691C77" w:rsidRPr="00691C77" w:rsidRDefault="00691C77" w:rsidP="00691C77">
      <w:pPr>
        <w:pStyle w:val="EndNoteBibliography"/>
        <w:rPr>
          <w:noProof/>
        </w:rPr>
      </w:pPr>
    </w:p>
    <w:p w14:paraId="3F15C1B5" w14:textId="77777777" w:rsidR="00691C77" w:rsidRPr="00691C77" w:rsidRDefault="00691C77" w:rsidP="00691C77">
      <w:pPr>
        <w:pStyle w:val="EndNoteBibliography"/>
        <w:ind w:left="720" w:hanging="720"/>
        <w:rPr>
          <w:noProof/>
        </w:rPr>
      </w:pPr>
      <w:r w:rsidRPr="00691C77">
        <w:rPr>
          <w:noProof/>
        </w:rPr>
        <w:lastRenderedPageBreak/>
        <w:t xml:space="preserve">Desebrock, C., et al. (2018). Self-reference in action: Arm-movement responses are enhanced in perceptual matching. </w:t>
      </w:r>
      <w:r w:rsidRPr="00691C77">
        <w:rPr>
          <w:i/>
          <w:noProof/>
        </w:rPr>
        <w:t>Acta psychologica, 190</w:t>
      </w:r>
      <w:r w:rsidRPr="00691C77">
        <w:rPr>
          <w:noProof/>
        </w:rPr>
        <w:t xml:space="preserve">, 258-266. </w:t>
      </w:r>
    </w:p>
    <w:p w14:paraId="7E72B3EA" w14:textId="77777777" w:rsidR="00691C77" w:rsidRPr="00691C77" w:rsidRDefault="00691C77" w:rsidP="00691C77">
      <w:pPr>
        <w:pStyle w:val="EndNoteBibliography"/>
        <w:rPr>
          <w:noProof/>
        </w:rPr>
      </w:pPr>
    </w:p>
    <w:p w14:paraId="47B64247" w14:textId="742BFEF2" w:rsidR="00691C77" w:rsidRPr="00691C77" w:rsidRDefault="00691C77" w:rsidP="00691C77">
      <w:pPr>
        <w:pStyle w:val="EndNoteBibliography"/>
        <w:ind w:left="720" w:hanging="720"/>
        <w:rPr>
          <w:noProof/>
        </w:rPr>
      </w:pPr>
      <w:r w:rsidRPr="00691C77">
        <w:rPr>
          <w:noProof/>
        </w:rPr>
        <w:t xml:space="preserve">Enock, F., et al. (2018). Self and team prioritisation effects in perceptual matching: Evidence for a shared representation. </w:t>
      </w:r>
      <w:r w:rsidRPr="00691C77">
        <w:rPr>
          <w:i/>
          <w:noProof/>
        </w:rPr>
        <w:t>Acta psychologica, 182</w:t>
      </w:r>
      <w:r w:rsidRPr="00691C77">
        <w:rPr>
          <w:noProof/>
        </w:rPr>
        <w:t xml:space="preserve">, 107-118. </w:t>
      </w:r>
      <w:hyperlink r:id="rId24" w:history="1">
        <w:r w:rsidRPr="00691C77">
          <w:rPr>
            <w:rStyle w:val="aa"/>
            <w:noProof/>
          </w:rPr>
          <w:t>https://doi.org/10.1016/j.actpsy.2017.11.011</w:t>
        </w:r>
      </w:hyperlink>
      <w:r w:rsidRPr="00691C77">
        <w:rPr>
          <w:noProof/>
        </w:rPr>
        <w:t xml:space="preserve"> </w:t>
      </w:r>
    </w:p>
    <w:p w14:paraId="0BB300A5" w14:textId="77777777" w:rsidR="00691C77" w:rsidRPr="00691C77" w:rsidRDefault="00691C77" w:rsidP="00691C77">
      <w:pPr>
        <w:pStyle w:val="EndNoteBibliography"/>
        <w:rPr>
          <w:noProof/>
        </w:rPr>
      </w:pPr>
    </w:p>
    <w:p w14:paraId="473BFBFB" w14:textId="77777777" w:rsidR="00691C77" w:rsidRPr="00691C77" w:rsidRDefault="00691C77" w:rsidP="00691C77">
      <w:pPr>
        <w:pStyle w:val="EndNoteBibliography"/>
        <w:ind w:left="720" w:hanging="720"/>
        <w:rPr>
          <w:noProof/>
        </w:rPr>
      </w:pPr>
      <w:r w:rsidRPr="00691C77">
        <w:rPr>
          <w:noProof/>
        </w:rPr>
        <w:t xml:space="preserve">Enock, F.E., et al. (2020). Overlap in processing advantages for minimal ingroups and the self. </w:t>
      </w:r>
      <w:r w:rsidRPr="00691C77">
        <w:rPr>
          <w:i/>
          <w:noProof/>
        </w:rPr>
        <w:t>Scientific Reports, 10</w:t>
      </w:r>
      <w:r w:rsidRPr="00691C77">
        <w:rPr>
          <w:noProof/>
        </w:rPr>
        <w:t xml:space="preserve">(1), 18933. </w:t>
      </w:r>
    </w:p>
    <w:p w14:paraId="730FC165" w14:textId="77777777" w:rsidR="00691C77" w:rsidRPr="00691C77" w:rsidRDefault="00691C77" w:rsidP="00691C77">
      <w:pPr>
        <w:pStyle w:val="EndNoteBibliography"/>
        <w:rPr>
          <w:noProof/>
        </w:rPr>
      </w:pPr>
    </w:p>
    <w:p w14:paraId="188E6E88" w14:textId="75F5FFB7" w:rsidR="00691C77" w:rsidRPr="00691C77" w:rsidRDefault="00691C77" w:rsidP="00691C77">
      <w:pPr>
        <w:pStyle w:val="EndNoteBibliography"/>
        <w:ind w:left="720" w:hanging="720"/>
        <w:rPr>
          <w:noProof/>
        </w:rPr>
      </w:pPr>
      <w:r w:rsidRPr="00691C77">
        <w:rPr>
          <w:noProof/>
        </w:rPr>
        <w:t xml:space="preserve">Feng, C., et al. (2018). Neural representations of the multidimensional self in the cortical midline structures. </w:t>
      </w:r>
      <w:r w:rsidRPr="00691C77">
        <w:rPr>
          <w:i/>
          <w:noProof/>
        </w:rPr>
        <w:t>NeuroImage, 183</w:t>
      </w:r>
      <w:r w:rsidRPr="00691C77">
        <w:rPr>
          <w:noProof/>
        </w:rPr>
        <w:t xml:space="preserve">, 291-299. </w:t>
      </w:r>
      <w:hyperlink r:id="rId25" w:history="1">
        <w:r w:rsidRPr="00691C77">
          <w:rPr>
            <w:rStyle w:val="aa"/>
            <w:noProof/>
          </w:rPr>
          <w:t>https://doi.org/10.1016/j.neuroimage.2018.08.018</w:t>
        </w:r>
      </w:hyperlink>
      <w:r w:rsidRPr="00691C77">
        <w:rPr>
          <w:noProof/>
        </w:rPr>
        <w:t xml:space="preserve"> </w:t>
      </w:r>
    </w:p>
    <w:p w14:paraId="6146657C" w14:textId="77777777" w:rsidR="00691C77" w:rsidRPr="00691C77" w:rsidRDefault="00691C77" w:rsidP="00691C77">
      <w:pPr>
        <w:pStyle w:val="EndNoteBibliography"/>
        <w:rPr>
          <w:noProof/>
        </w:rPr>
      </w:pPr>
    </w:p>
    <w:p w14:paraId="61510B42" w14:textId="77777777" w:rsidR="00691C77" w:rsidRPr="00691C77" w:rsidRDefault="00691C77" w:rsidP="00691C77">
      <w:pPr>
        <w:pStyle w:val="EndNoteBibliography"/>
        <w:ind w:left="720" w:hanging="720"/>
        <w:rPr>
          <w:noProof/>
        </w:rPr>
      </w:pPr>
      <w:r w:rsidRPr="00691C77">
        <w:rPr>
          <w:noProof/>
        </w:rPr>
        <w:t xml:space="preserve">Feng, C., et al. (2020). Effect of intranasal oxytocin administration on self-other distinction: Modulations by psychological distance and gender. </w:t>
      </w:r>
      <w:r w:rsidRPr="00691C77">
        <w:rPr>
          <w:i/>
          <w:noProof/>
        </w:rPr>
        <w:t>Psychoneuroendocrinology, 120</w:t>
      </w:r>
      <w:r w:rsidRPr="00691C77">
        <w:rPr>
          <w:noProof/>
        </w:rPr>
        <w:t xml:space="preserve">, 104804. </w:t>
      </w:r>
    </w:p>
    <w:p w14:paraId="48C406FD" w14:textId="77777777" w:rsidR="00691C77" w:rsidRPr="00691C77" w:rsidRDefault="00691C77" w:rsidP="00691C77">
      <w:pPr>
        <w:pStyle w:val="EndNoteBibliography"/>
        <w:rPr>
          <w:noProof/>
        </w:rPr>
      </w:pPr>
    </w:p>
    <w:p w14:paraId="5B5E9359" w14:textId="77777777" w:rsidR="00691C77" w:rsidRPr="00691C77" w:rsidRDefault="00691C77" w:rsidP="00691C77">
      <w:pPr>
        <w:pStyle w:val="EndNoteBibliography"/>
        <w:ind w:left="720" w:hanging="720"/>
        <w:rPr>
          <w:noProof/>
        </w:rPr>
      </w:pPr>
      <w:r w:rsidRPr="00691C77">
        <w:rPr>
          <w:noProof/>
        </w:rPr>
        <w:t xml:space="preserve">Fisher, R.A. (1992). Statistical methods for research workers. </w:t>
      </w:r>
      <w:r w:rsidRPr="00691C77">
        <w:rPr>
          <w:i/>
          <w:noProof/>
        </w:rPr>
        <w:t>Springer New York</w:t>
      </w:r>
      <w:r w:rsidRPr="00691C77">
        <w:rPr>
          <w:noProof/>
        </w:rPr>
        <w:t xml:space="preserve">. </w:t>
      </w:r>
    </w:p>
    <w:p w14:paraId="18254F1E" w14:textId="77777777" w:rsidR="00691C77" w:rsidRPr="00691C77" w:rsidRDefault="00691C77" w:rsidP="00691C77">
      <w:pPr>
        <w:pStyle w:val="EndNoteBibliography"/>
        <w:rPr>
          <w:noProof/>
        </w:rPr>
      </w:pPr>
    </w:p>
    <w:p w14:paraId="3235B863" w14:textId="4D3BDB82" w:rsidR="00691C77" w:rsidRPr="00691C77" w:rsidRDefault="00691C77" w:rsidP="00691C77">
      <w:pPr>
        <w:pStyle w:val="EndNoteBibliography"/>
        <w:ind w:left="720" w:hanging="720"/>
        <w:rPr>
          <w:noProof/>
        </w:rPr>
      </w:pPr>
      <w:r w:rsidRPr="00691C77">
        <w:rPr>
          <w:noProof/>
        </w:rPr>
        <w:t xml:space="preserve">Gillespie‐Smith, K., et al. (2018). The I in autism: Severity and social functioning in autism are related to self‐processing. </w:t>
      </w:r>
      <w:r w:rsidRPr="00691C77">
        <w:rPr>
          <w:i/>
          <w:noProof/>
        </w:rPr>
        <w:t>British journal of developmental psychology, 36</w:t>
      </w:r>
      <w:r w:rsidRPr="00691C77">
        <w:rPr>
          <w:noProof/>
        </w:rPr>
        <w:t xml:space="preserve">(1), 127-141. </w:t>
      </w:r>
      <w:hyperlink r:id="rId26" w:history="1">
        <w:r w:rsidRPr="00691C77">
          <w:rPr>
            <w:rStyle w:val="aa"/>
            <w:noProof/>
          </w:rPr>
          <w:t>https://doi.org/10.1111/bjdp.12219</w:t>
        </w:r>
      </w:hyperlink>
      <w:r w:rsidRPr="00691C77">
        <w:rPr>
          <w:noProof/>
        </w:rPr>
        <w:t xml:space="preserve"> </w:t>
      </w:r>
    </w:p>
    <w:p w14:paraId="69122B5B" w14:textId="77777777" w:rsidR="00691C77" w:rsidRPr="00691C77" w:rsidRDefault="00691C77" w:rsidP="00691C77">
      <w:pPr>
        <w:pStyle w:val="EndNoteBibliography"/>
        <w:rPr>
          <w:noProof/>
        </w:rPr>
      </w:pPr>
    </w:p>
    <w:p w14:paraId="00CEC981" w14:textId="1D9F636F" w:rsidR="00691C77" w:rsidRPr="00691C77" w:rsidRDefault="00691C77" w:rsidP="00691C77">
      <w:pPr>
        <w:pStyle w:val="EndNoteBibliography"/>
        <w:ind w:left="720" w:hanging="720"/>
        <w:rPr>
          <w:noProof/>
        </w:rPr>
      </w:pPr>
      <w:r w:rsidRPr="00691C77">
        <w:rPr>
          <w:noProof/>
        </w:rPr>
        <w:t xml:space="preserve">Golubickis, M., et al. (2020). Parts of me: Identity-relevance moderates self-prioritization. </w:t>
      </w:r>
      <w:r w:rsidRPr="00691C77">
        <w:rPr>
          <w:i/>
          <w:noProof/>
        </w:rPr>
        <w:t>Consciousness and cognition, 77</w:t>
      </w:r>
      <w:r w:rsidRPr="00691C77">
        <w:rPr>
          <w:noProof/>
        </w:rPr>
        <w:t xml:space="preserve">, 102848. </w:t>
      </w:r>
      <w:hyperlink r:id="rId27" w:history="1">
        <w:r w:rsidRPr="00691C77">
          <w:rPr>
            <w:rStyle w:val="aa"/>
            <w:noProof/>
          </w:rPr>
          <w:t>https://doi.org/10.1016/j.concog.2019.102848</w:t>
        </w:r>
      </w:hyperlink>
      <w:r w:rsidRPr="00691C77">
        <w:rPr>
          <w:noProof/>
        </w:rPr>
        <w:t xml:space="preserve"> </w:t>
      </w:r>
    </w:p>
    <w:p w14:paraId="7923C5FE" w14:textId="77777777" w:rsidR="00691C77" w:rsidRPr="00691C77" w:rsidRDefault="00691C77" w:rsidP="00691C77">
      <w:pPr>
        <w:pStyle w:val="EndNoteBibliography"/>
        <w:rPr>
          <w:noProof/>
        </w:rPr>
      </w:pPr>
    </w:p>
    <w:p w14:paraId="5368E066" w14:textId="13A1768E" w:rsidR="00691C77" w:rsidRPr="00691C77" w:rsidRDefault="00691C77" w:rsidP="00691C77">
      <w:pPr>
        <w:pStyle w:val="EndNoteBibliography"/>
        <w:ind w:left="720" w:hanging="720"/>
        <w:rPr>
          <w:noProof/>
        </w:rPr>
      </w:pPr>
      <w:r w:rsidRPr="00691C77">
        <w:rPr>
          <w:noProof/>
        </w:rPr>
        <w:t xml:space="preserve">Golubickis, M., et al. (2017). Self-prioritization and perceptual matching: The effects of temporal construal. </w:t>
      </w:r>
      <w:r w:rsidRPr="00691C77">
        <w:rPr>
          <w:i/>
          <w:noProof/>
        </w:rPr>
        <w:t>Mem Cognit, 45</w:t>
      </w:r>
      <w:r w:rsidRPr="00691C77">
        <w:rPr>
          <w:noProof/>
        </w:rPr>
        <w:t xml:space="preserve">(7), 1223-1239. </w:t>
      </w:r>
      <w:hyperlink r:id="rId28" w:history="1">
        <w:r w:rsidRPr="00691C77">
          <w:rPr>
            <w:rStyle w:val="aa"/>
            <w:noProof/>
          </w:rPr>
          <w:t>https://doi.org/10.3758/s13421-017-0722-3</w:t>
        </w:r>
      </w:hyperlink>
      <w:r w:rsidRPr="00691C77">
        <w:rPr>
          <w:noProof/>
        </w:rPr>
        <w:t xml:space="preserve"> </w:t>
      </w:r>
    </w:p>
    <w:p w14:paraId="2E2DE5B7" w14:textId="77777777" w:rsidR="00691C77" w:rsidRPr="00691C77" w:rsidRDefault="00691C77" w:rsidP="00691C77">
      <w:pPr>
        <w:pStyle w:val="EndNoteBibliography"/>
        <w:rPr>
          <w:noProof/>
        </w:rPr>
      </w:pPr>
    </w:p>
    <w:p w14:paraId="70D9A63C" w14:textId="77777777" w:rsidR="00691C77" w:rsidRPr="00691C77" w:rsidRDefault="00691C77" w:rsidP="00691C77">
      <w:pPr>
        <w:pStyle w:val="EndNoteBibliography"/>
        <w:ind w:left="720" w:hanging="720"/>
        <w:rPr>
          <w:noProof/>
        </w:rPr>
      </w:pPr>
      <w:r w:rsidRPr="00691C77">
        <w:rPr>
          <w:noProof/>
        </w:rPr>
        <w:t xml:space="preserve">Golubickis, M., &amp; Macrae, C.N. (2021). Judging me and you: Task design modulates self-prioritization. </w:t>
      </w:r>
      <w:r w:rsidRPr="00691C77">
        <w:rPr>
          <w:i/>
          <w:noProof/>
        </w:rPr>
        <w:t>Acta psychologica, 218</w:t>
      </w:r>
      <w:r w:rsidRPr="00691C77">
        <w:rPr>
          <w:noProof/>
        </w:rPr>
        <w:t xml:space="preserve">, 103350. </w:t>
      </w:r>
    </w:p>
    <w:p w14:paraId="5AB9678A" w14:textId="77777777" w:rsidR="00691C77" w:rsidRPr="00691C77" w:rsidRDefault="00691C77" w:rsidP="00691C77">
      <w:pPr>
        <w:pStyle w:val="EndNoteBibliography"/>
        <w:rPr>
          <w:noProof/>
        </w:rPr>
      </w:pPr>
    </w:p>
    <w:p w14:paraId="3B560C9D" w14:textId="0EB2D1C8" w:rsidR="00691C77" w:rsidRPr="00691C77" w:rsidRDefault="00691C77" w:rsidP="00691C77">
      <w:pPr>
        <w:pStyle w:val="EndNoteBibliography"/>
        <w:ind w:left="720" w:hanging="720"/>
        <w:rPr>
          <w:noProof/>
        </w:rPr>
      </w:pPr>
      <w:r w:rsidRPr="00691C77">
        <w:rPr>
          <w:noProof/>
        </w:rPr>
        <w:t xml:space="preserve">Hu, C.-P., et al. (2020). Good Me Bad Me: Prioritization of the Good-Self During Perceptual Decision-Making. </w:t>
      </w:r>
      <w:r w:rsidRPr="00691C77">
        <w:rPr>
          <w:i/>
          <w:noProof/>
        </w:rPr>
        <w:t>Collabra. Psychology, 6</w:t>
      </w:r>
      <w:r w:rsidRPr="00691C77">
        <w:rPr>
          <w:noProof/>
        </w:rPr>
        <w:t xml:space="preserve">(1), 20. </w:t>
      </w:r>
      <w:hyperlink r:id="rId29" w:history="1">
        <w:r w:rsidRPr="00691C77">
          <w:rPr>
            <w:rStyle w:val="aa"/>
            <w:noProof/>
          </w:rPr>
          <w:t>https://doi.org/10.1525/collabra.301</w:t>
        </w:r>
      </w:hyperlink>
      <w:r w:rsidRPr="00691C77">
        <w:rPr>
          <w:noProof/>
        </w:rPr>
        <w:t xml:space="preserve"> </w:t>
      </w:r>
    </w:p>
    <w:p w14:paraId="6DB7BE90" w14:textId="77777777" w:rsidR="00691C77" w:rsidRPr="00691C77" w:rsidRDefault="00691C77" w:rsidP="00691C77">
      <w:pPr>
        <w:pStyle w:val="EndNoteBibliography"/>
        <w:rPr>
          <w:noProof/>
        </w:rPr>
      </w:pPr>
    </w:p>
    <w:p w14:paraId="00A560F3" w14:textId="234B218B" w:rsidR="00691C77" w:rsidRPr="00691C77" w:rsidRDefault="00691C77" w:rsidP="00691C77">
      <w:pPr>
        <w:pStyle w:val="EndNoteBibliography"/>
        <w:ind w:left="720" w:hanging="720"/>
        <w:rPr>
          <w:noProof/>
        </w:rPr>
      </w:pPr>
      <w:r w:rsidRPr="00691C77">
        <w:rPr>
          <w:noProof/>
        </w:rPr>
        <w:t xml:space="preserve">Hughes, S.M., &amp; Harrison, M.A. (2013). I like my voice better: Self-enhancement bias in perceptions of voice attractiveness. </w:t>
      </w:r>
      <w:r w:rsidRPr="00691C77">
        <w:rPr>
          <w:i/>
          <w:noProof/>
        </w:rPr>
        <w:t>Perception, 42</w:t>
      </w:r>
      <w:r w:rsidRPr="00691C77">
        <w:rPr>
          <w:noProof/>
        </w:rPr>
        <w:t xml:space="preserve">(9), 941-949. </w:t>
      </w:r>
      <w:hyperlink r:id="rId30" w:history="1">
        <w:r w:rsidRPr="00691C77">
          <w:rPr>
            <w:rStyle w:val="aa"/>
            <w:noProof/>
          </w:rPr>
          <w:t>https://doi.org/10.1068/p7526</w:t>
        </w:r>
      </w:hyperlink>
      <w:r w:rsidRPr="00691C77">
        <w:rPr>
          <w:noProof/>
        </w:rPr>
        <w:t xml:space="preserve"> </w:t>
      </w:r>
    </w:p>
    <w:p w14:paraId="000D6688" w14:textId="77777777" w:rsidR="00691C77" w:rsidRPr="00691C77" w:rsidRDefault="00691C77" w:rsidP="00691C77">
      <w:pPr>
        <w:pStyle w:val="EndNoteBibliography"/>
        <w:rPr>
          <w:noProof/>
        </w:rPr>
      </w:pPr>
    </w:p>
    <w:p w14:paraId="686864FD" w14:textId="7348ABDA" w:rsidR="00691C77" w:rsidRPr="00691C77" w:rsidRDefault="00691C77" w:rsidP="00691C77">
      <w:pPr>
        <w:pStyle w:val="EndNoteBibliography"/>
        <w:ind w:left="720" w:hanging="720"/>
        <w:rPr>
          <w:noProof/>
        </w:rPr>
      </w:pPr>
      <w:r w:rsidRPr="00691C77">
        <w:rPr>
          <w:noProof/>
        </w:rPr>
        <w:t xml:space="preserve">Humphreys, G.W., &amp; Sui, J. (2015). The salient self: Social saliency effects based on self-bias. </w:t>
      </w:r>
      <w:r w:rsidRPr="00691C77">
        <w:rPr>
          <w:i/>
          <w:noProof/>
        </w:rPr>
        <w:t>Journal of cognitive psychology, 27</w:t>
      </w:r>
      <w:r w:rsidRPr="00691C77">
        <w:rPr>
          <w:noProof/>
        </w:rPr>
        <w:t xml:space="preserve">(2), 129-140. </w:t>
      </w:r>
      <w:hyperlink r:id="rId31" w:history="1">
        <w:r w:rsidRPr="00691C77">
          <w:rPr>
            <w:rStyle w:val="aa"/>
            <w:noProof/>
          </w:rPr>
          <w:t>https://doi.org/10.1080/20445911.2014.996156</w:t>
        </w:r>
      </w:hyperlink>
      <w:r w:rsidRPr="00691C77">
        <w:rPr>
          <w:noProof/>
        </w:rPr>
        <w:t xml:space="preserve"> </w:t>
      </w:r>
    </w:p>
    <w:p w14:paraId="2F7639FB" w14:textId="77777777" w:rsidR="00691C77" w:rsidRPr="00691C77" w:rsidRDefault="00691C77" w:rsidP="00691C77">
      <w:pPr>
        <w:pStyle w:val="EndNoteBibliography"/>
        <w:rPr>
          <w:noProof/>
        </w:rPr>
      </w:pPr>
    </w:p>
    <w:p w14:paraId="485BF330" w14:textId="4EE2098A" w:rsidR="00691C77" w:rsidRPr="00691C77" w:rsidRDefault="00691C77" w:rsidP="00691C77">
      <w:pPr>
        <w:pStyle w:val="EndNoteBibliography"/>
        <w:ind w:left="720" w:hanging="720"/>
        <w:rPr>
          <w:noProof/>
        </w:rPr>
      </w:pPr>
      <w:r w:rsidRPr="00691C77">
        <w:rPr>
          <w:noProof/>
        </w:rPr>
        <w:lastRenderedPageBreak/>
        <w:t xml:space="preserve">Ivaz, L., et al. (2016). The emotional impact of being myself: Emotions and foreign-language processing. </w:t>
      </w:r>
      <w:r w:rsidRPr="00691C77">
        <w:rPr>
          <w:i/>
          <w:noProof/>
        </w:rPr>
        <w:t>Journal of Experimental Psychology: Learning, Memory, and Cognition, 42</w:t>
      </w:r>
      <w:r w:rsidRPr="00691C77">
        <w:rPr>
          <w:noProof/>
        </w:rPr>
        <w:t xml:space="preserve">(3), 489. </w:t>
      </w:r>
      <w:hyperlink r:id="rId32" w:history="1">
        <w:r w:rsidRPr="00691C77">
          <w:rPr>
            <w:rStyle w:val="aa"/>
            <w:noProof/>
          </w:rPr>
          <w:t>https://doi.org/10.1037/xlm0000179</w:t>
        </w:r>
      </w:hyperlink>
      <w:r w:rsidRPr="00691C77">
        <w:rPr>
          <w:noProof/>
        </w:rPr>
        <w:t xml:space="preserve"> </w:t>
      </w:r>
    </w:p>
    <w:p w14:paraId="6B523730" w14:textId="77777777" w:rsidR="00691C77" w:rsidRPr="00691C77" w:rsidRDefault="00691C77" w:rsidP="00691C77">
      <w:pPr>
        <w:pStyle w:val="EndNoteBibliography"/>
        <w:rPr>
          <w:noProof/>
        </w:rPr>
      </w:pPr>
    </w:p>
    <w:p w14:paraId="5667C326" w14:textId="771EA9F2" w:rsidR="00691C77" w:rsidRPr="00691C77" w:rsidRDefault="00691C77" w:rsidP="00691C77">
      <w:pPr>
        <w:pStyle w:val="EndNoteBibliography"/>
        <w:ind w:left="720" w:hanging="720"/>
        <w:rPr>
          <w:noProof/>
        </w:rPr>
      </w:pPr>
      <w:r w:rsidRPr="00691C77">
        <w:rPr>
          <w:noProof/>
        </w:rPr>
        <w:t xml:space="preserve">Jiang, M., et al. (2019). Cultural Orientation of Self-Bias in Perceptual Matching. </w:t>
      </w:r>
      <w:r w:rsidRPr="00691C77">
        <w:rPr>
          <w:i/>
          <w:noProof/>
        </w:rPr>
        <w:t>Front Psychol, 10</w:t>
      </w:r>
      <w:r w:rsidRPr="00691C77">
        <w:rPr>
          <w:noProof/>
        </w:rPr>
        <w:t xml:space="preserve">, 1469. </w:t>
      </w:r>
      <w:hyperlink r:id="rId33" w:history="1">
        <w:r w:rsidRPr="00691C77">
          <w:rPr>
            <w:rStyle w:val="aa"/>
            <w:noProof/>
          </w:rPr>
          <w:t>https://doi.org/10.3389/fpsyg.2019.01469</w:t>
        </w:r>
      </w:hyperlink>
      <w:r w:rsidRPr="00691C77">
        <w:rPr>
          <w:noProof/>
        </w:rPr>
        <w:t xml:space="preserve"> </w:t>
      </w:r>
    </w:p>
    <w:p w14:paraId="21D91B45" w14:textId="77777777" w:rsidR="00691C77" w:rsidRPr="00691C77" w:rsidRDefault="00691C77" w:rsidP="00691C77">
      <w:pPr>
        <w:pStyle w:val="EndNoteBibliography"/>
        <w:rPr>
          <w:noProof/>
        </w:rPr>
      </w:pPr>
    </w:p>
    <w:p w14:paraId="61A6210B" w14:textId="77777777" w:rsidR="00691C77" w:rsidRPr="00691C77" w:rsidRDefault="00691C77" w:rsidP="00691C77">
      <w:pPr>
        <w:pStyle w:val="EndNoteBibliography"/>
        <w:ind w:left="720" w:hanging="720"/>
        <w:rPr>
          <w:noProof/>
        </w:rPr>
      </w:pPr>
      <w:r w:rsidRPr="00691C77">
        <w:rPr>
          <w:noProof/>
        </w:rPr>
        <w:t xml:space="preserve">Kahveci, S., et al. (2022). Reliability of reaction time tasks: how should it be computed? </w:t>
      </w:r>
    </w:p>
    <w:p w14:paraId="08C15C47" w14:textId="77777777" w:rsidR="00691C77" w:rsidRPr="00691C77" w:rsidRDefault="00691C77" w:rsidP="00691C77">
      <w:pPr>
        <w:pStyle w:val="EndNoteBibliography"/>
        <w:rPr>
          <w:noProof/>
        </w:rPr>
      </w:pPr>
    </w:p>
    <w:p w14:paraId="2C5ED606" w14:textId="2651F850" w:rsidR="00691C77" w:rsidRPr="00691C77" w:rsidRDefault="00691C77" w:rsidP="00691C77">
      <w:pPr>
        <w:pStyle w:val="EndNoteBibliography"/>
        <w:ind w:left="720" w:hanging="720"/>
        <w:rPr>
          <w:noProof/>
        </w:rPr>
      </w:pPr>
      <w:r w:rsidRPr="00691C77">
        <w:rPr>
          <w:noProof/>
        </w:rPr>
        <w:t xml:space="preserve">Keenan, J.P., et al. (2000). Self-recognition and the right prefrontal cortex. </w:t>
      </w:r>
      <w:r w:rsidRPr="00691C77">
        <w:rPr>
          <w:i/>
          <w:noProof/>
        </w:rPr>
        <w:t>Trends in cognitive sciences, 4</w:t>
      </w:r>
      <w:r w:rsidRPr="00691C77">
        <w:rPr>
          <w:noProof/>
        </w:rPr>
        <w:t xml:space="preserve">(9), 338-344. </w:t>
      </w:r>
      <w:hyperlink r:id="rId34" w:history="1">
        <w:r w:rsidRPr="00691C77">
          <w:rPr>
            <w:rStyle w:val="aa"/>
            <w:noProof/>
          </w:rPr>
          <w:t>https://doi.org/10.1016/S1364-6613</w:t>
        </w:r>
      </w:hyperlink>
      <w:r w:rsidRPr="00691C77">
        <w:rPr>
          <w:noProof/>
        </w:rPr>
        <w:t xml:space="preserve"> (00)01521-7 </w:t>
      </w:r>
    </w:p>
    <w:p w14:paraId="79183000" w14:textId="77777777" w:rsidR="00691C77" w:rsidRPr="00691C77" w:rsidRDefault="00691C77" w:rsidP="00691C77">
      <w:pPr>
        <w:pStyle w:val="EndNoteBibliography"/>
        <w:rPr>
          <w:noProof/>
        </w:rPr>
      </w:pPr>
    </w:p>
    <w:p w14:paraId="16548F88" w14:textId="6973010A" w:rsidR="00691C77" w:rsidRPr="00691C77" w:rsidRDefault="00691C77" w:rsidP="00691C77">
      <w:pPr>
        <w:pStyle w:val="EndNoteBibliography"/>
        <w:ind w:left="720" w:hanging="720"/>
        <w:rPr>
          <w:noProof/>
        </w:rPr>
      </w:pPr>
      <w:r w:rsidRPr="00691C77">
        <w:rPr>
          <w:noProof/>
        </w:rPr>
        <w:t xml:space="preserve">Kircher, T.T., et al. (2000). Towards a functional neuroanatomy of self processing: effects of faces and words. </w:t>
      </w:r>
      <w:r w:rsidRPr="00691C77">
        <w:rPr>
          <w:i/>
          <w:noProof/>
        </w:rPr>
        <w:t>Cognitive Brain Research, 10</w:t>
      </w:r>
      <w:r w:rsidRPr="00691C77">
        <w:rPr>
          <w:noProof/>
        </w:rPr>
        <w:t xml:space="preserve">(1-2), 133-144. </w:t>
      </w:r>
      <w:hyperlink r:id="rId35" w:history="1">
        <w:r w:rsidRPr="00691C77">
          <w:rPr>
            <w:rStyle w:val="aa"/>
            <w:noProof/>
          </w:rPr>
          <w:t>https://doi.org/10.1016/S0926-6410(00)00036-7</w:t>
        </w:r>
      </w:hyperlink>
      <w:r w:rsidRPr="00691C77">
        <w:rPr>
          <w:noProof/>
        </w:rPr>
        <w:t xml:space="preserve"> </w:t>
      </w:r>
    </w:p>
    <w:p w14:paraId="082D633D" w14:textId="77777777" w:rsidR="00691C77" w:rsidRPr="00691C77" w:rsidRDefault="00691C77" w:rsidP="00691C77">
      <w:pPr>
        <w:pStyle w:val="EndNoteBibliography"/>
        <w:rPr>
          <w:noProof/>
        </w:rPr>
      </w:pPr>
    </w:p>
    <w:p w14:paraId="00A2C95E" w14:textId="77777777" w:rsidR="00691C77" w:rsidRPr="00691C77" w:rsidRDefault="00691C77" w:rsidP="00691C77">
      <w:pPr>
        <w:pStyle w:val="EndNoteBibliography"/>
        <w:ind w:left="720" w:hanging="720"/>
        <w:rPr>
          <w:noProof/>
        </w:rPr>
      </w:pPr>
      <w:r w:rsidRPr="00691C77">
        <w:rPr>
          <w:noProof/>
        </w:rPr>
        <w:t xml:space="preserve">Kolvoort, I.R., et al. (2020). Temporal integration as “common currency” of brain and self‐scale‐free activity in resting‐state EEG correlates with temporal delay effects on self‐relatedness. </w:t>
      </w:r>
      <w:r w:rsidRPr="00691C77">
        <w:rPr>
          <w:i/>
          <w:noProof/>
        </w:rPr>
        <w:t>Human brain mapping, 41</w:t>
      </w:r>
      <w:r w:rsidRPr="00691C77">
        <w:rPr>
          <w:noProof/>
        </w:rPr>
        <w:t xml:space="preserve">(15), 4355-4374. </w:t>
      </w:r>
    </w:p>
    <w:p w14:paraId="1243E94D" w14:textId="77777777" w:rsidR="00691C77" w:rsidRPr="00691C77" w:rsidRDefault="00691C77" w:rsidP="00691C77">
      <w:pPr>
        <w:pStyle w:val="EndNoteBibliography"/>
        <w:rPr>
          <w:noProof/>
        </w:rPr>
      </w:pPr>
    </w:p>
    <w:p w14:paraId="684A3E1A" w14:textId="56254C4A" w:rsidR="00691C77" w:rsidRPr="00691C77" w:rsidRDefault="00691C77" w:rsidP="00691C77">
      <w:pPr>
        <w:pStyle w:val="EndNoteBibliography"/>
        <w:ind w:left="720" w:hanging="720"/>
        <w:rPr>
          <w:noProof/>
        </w:rPr>
      </w:pPr>
      <w:r w:rsidRPr="00691C77">
        <w:rPr>
          <w:noProof/>
        </w:rPr>
        <w:t xml:space="preserve">Koo, T.K., &amp; Li, M.Y. (2016). A Guideline of Selecting and Reporting Intraclass Correlation Coefficients for Reliability Research. </w:t>
      </w:r>
      <w:r w:rsidRPr="00691C77">
        <w:rPr>
          <w:i/>
          <w:noProof/>
        </w:rPr>
        <w:t>Journal of chiropractic medicine, 15</w:t>
      </w:r>
      <w:r w:rsidRPr="00691C77">
        <w:rPr>
          <w:noProof/>
        </w:rPr>
        <w:t xml:space="preserve">(2), 155-163. </w:t>
      </w:r>
      <w:hyperlink r:id="rId36" w:history="1">
        <w:r w:rsidRPr="00691C77">
          <w:rPr>
            <w:rStyle w:val="aa"/>
            <w:noProof/>
          </w:rPr>
          <w:t>https://doi.org/10.1016/j.jcm.2016.02.012</w:t>
        </w:r>
      </w:hyperlink>
      <w:r w:rsidRPr="00691C77">
        <w:rPr>
          <w:noProof/>
        </w:rPr>
        <w:t xml:space="preserve"> </w:t>
      </w:r>
    </w:p>
    <w:p w14:paraId="643E0929" w14:textId="77777777" w:rsidR="00691C77" w:rsidRPr="00691C77" w:rsidRDefault="00691C77" w:rsidP="00691C77">
      <w:pPr>
        <w:pStyle w:val="EndNoteBibliography"/>
        <w:rPr>
          <w:noProof/>
        </w:rPr>
      </w:pPr>
    </w:p>
    <w:p w14:paraId="7B8D86ED" w14:textId="09632A8B" w:rsidR="00691C77" w:rsidRPr="00691C77" w:rsidRDefault="00691C77" w:rsidP="00691C77">
      <w:pPr>
        <w:pStyle w:val="EndNoteBibliography"/>
        <w:ind w:left="720" w:hanging="720"/>
        <w:rPr>
          <w:noProof/>
        </w:rPr>
      </w:pPr>
      <w:r w:rsidRPr="00691C77">
        <w:rPr>
          <w:noProof/>
        </w:rPr>
        <w:t xml:space="preserve">Kupper, L.L., &amp; Hafner, K.b. (1989). On Assessing Interrater Agreement for Multiple Attribute Responses. </w:t>
      </w:r>
      <w:r w:rsidRPr="00691C77">
        <w:rPr>
          <w:i/>
          <w:noProof/>
        </w:rPr>
        <w:t>Biometrics, 45</w:t>
      </w:r>
      <w:r w:rsidRPr="00691C77">
        <w:rPr>
          <w:noProof/>
        </w:rPr>
        <w:t xml:space="preserve">(3), 957-967. </w:t>
      </w:r>
      <w:hyperlink r:id="rId37" w:history="1">
        <w:r w:rsidRPr="00691C77">
          <w:rPr>
            <w:rStyle w:val="aa"/>
            <w:noProof/>
          </w:rPr>
          <w:t>https://doi.org/10.2307/2531695</w:t>
        </w:r>
      </w:hyperlink>
      <w:r w:rsidRPr="00691C77">
        <w:rPr>
          <w:noProof/>
        </w:rPr>
        <w:t xml:space="preserve"> </w:t>
      </w:r>
    </w:p>
    <w:p w14:paraId="24D8A2B1" w14:textId="77777777" w:rsidR="00691C77" w:rsidRPr="00691C77" w:rsidRDefault="00691C77" w:rsidP="00691C77">
      <w:pPr>
        <w:pStyle w:val="EndNoteBibliography"/>
        <w:rPr>
          <w:noProof/>
        </w:rPr>
      </w:pPr>
    </w:p>
    <w:p w14:paraId="498EA200" w14:textId="77777777" w:rsidR="00691C77" w:rsidRPr="00691C77" w:rsidRDefault="00691C77" w:rsidP="00691C77">
      <w:pPr>
        <w:pStyle w:val="EndNoteBibliography"/>
        <w:ind w:left="720" w:hanging="720"/>
        <w:rPr>
          <w:noProof/>
        </w:rPr>
      </w:pPr>
      <w:r w:rsidRPr="00691C77">
        <w:rPr>
          <w:noProof/>
        </w:rPr>
        <w:t xml:space="preserve">Lin, H., et al. (2020). Strong effort manipulations reduce response caution: A preregistered reinvention of the ego-depletion paradigm. </w:t>
      </w:r>
      <w:r w:rsidRPr="00691C77">
        <w:rPr>
          <w:i/>
          <w:noProof/>
        </w:rPr>
        <w:t>Psychological science, 31</w:t>
      </w:r>
      <w:r w:rsidRPr="00691C77">
        <w:rPr>
          <w:noProof/>
        </w:rPr>
        <w:t xml:space="preserve">(5), 531-547. </w:t>
      </w:r>
    </w:p>
    <w:p w14:paraId="42E47971" w14:textId="77777777" w:rsidR="00691C77" w:rsidRPr="00691C77" w:rsidRDefault="00691C77" w:rsidP="00691C77">
      <w:pPr>
        <w:pStyle w:val="EndNoteBibliography"/>
        <w:rPr>
          <w:noProof/>
        </w:rPr>
      </w:pPr>
    </w:p>
    <w:p w14:paraId="5609AE64" w14:textId="48595201" w:rsidR="00691C77" w:rsidRPr="00691C77" w:rsidRDefault="00691C77" w:rsidP="00691C77">
      <w:pPr>
        <w:pStyle w:val="EndNoteBibliography"/>
        <w:ind w:left="720" w:hanging="720"/>
        <w:rPr>
          <w:noProof/>
        </w:rPr>
      </w:pPr>
      <w:r w:rsidRPr="00691C77">
        <w:rPr>
          <w:noProof/>
        </w:rPr>
        <w:t xml:space="preserve">Liu, Y.S., et al. (2022). Depression screening using a non-verbal self-association task: A machine-learning based pilot study. </w:t>
      </w:r>
      <w:r w:rsidRPr="00691C77">
        <w:rPr>
          <w:i/>
          <w:noProof/>
        </w:rPr>
        <w:t>Journal of Affective Disorders, 310</w:t>
      </w:r>
      <w:r w:rsidRPr="00691C77">
        <w:rPr>
          <w:noProof/>
        </w:rPr>
        <w:t xml:space="preserve">, 87-95. </w:t>
      </w:r>
      <w:hyperlink r:id="rId38" w:history="1">
        <w:r w:rsidRPr="00691C77">
          <w:rPr>
            <w:rStyle w:val="aa"/>
            <w:noProof/>
          </w:rPr>
          <w:t>https://doi.org/10.1016/j.jad.2022.04.122</w:t>
        </w:r>
      </w:hyperlink>
      <w:r w:rsidRPr="00691C77">
        <w:rPr>
          <w:noProof/>
        </w:rPr>
        <w:t xml:space="preserve"> </w:t>
      </w:r>
    </w:p>
    <w:p w14:paraId="1EA9D544" w14:textId="77777777" w:rsidR="00691C77" w:rsidRPr="00691C77" w:rsidRDefault="00691C77" w:rsidP="00691C77">
      <w:pPr>
        <w:pStyle w:val="EndNoteBibliography"/>
        <w:rPr>
          <w:noProof/>
        </w:rPr>
      </w:pPr>
    </w:p>
    <w:p w14:paraId="3945E257" w14:textId="659FE806" w:rsidR="00691C77" w:rsidRPr="00691C77" w:rsidRDefault="00691C77" w:rsidP="00691C77">
      <w:pPr>
        <w:pStyle w:val="EndNoteBibliography"/>
        <w:ind w:left="720" w:hanging="720"/>
        <w:rPr>
          <w:noProof/>
        </w:rPr>
      </w:pPr>
      <w:r w:rsidRPr="00691C77">
        <w:rPr>
          <w:noProof/>
        </w:rPr>
        <w:t xml:space="preserve">Maire, H., et al. (2020). A Developmental Study of the Self‐Prioritization Effect in Children Between 6 and 10 Years of Age. </w:t>
      </w:r>
      <w:r w:rsidRPr="00691C77">
        <w:rPr>
          <w:i/>
          <w:noProof/>
        </w:rPr>
        <w:t>Child development, 91</w:t>
      </w:r>
      <w:r w:rsidRPr="00691C77">
        <w:rPr>
          <w:noProof/>
        </w:rPr>
        <w:t xml:space="preserve">(3), 694-704. </w:t>
      </w:r>
      <w:hyperlink r:id="rId39" w:history="1">
        <w:r w:rsidRPr="00691C77">
          <w:rPr>
            <w:rStyle w:val="aa"/>
            <w:noProof/>
          </w:rPr>
          <w:t>https://doi.org/10.1111/cdev.13352</w:t>
        </w:r>
      </w:hyperlink>
      <w:r w:rsidRPr="00691C77">
        <w:rPr>
          <w:noProof/>
        </w:rPr>
        <w:t xml:space="preserve"> </w:t>
      </w:r>
    </w:p>
    <w:p w14:paraId="77CA9D46" w14:textId="77777777" w:rsidR="00691C77" w:rsidRPr="00691C77" w:rsidRDefault="00691C77" w:rsidP="00691C77">
      <w:pPr>
        <w:pStyle w:val="EndNoteBibliography"/>
        <w:rPr>
          <w:noProof/>
        </w:rPr>
      </w:pPr>
    </w:p>
    <w:p w14:paraId="51D12700" w14:textId="77777777" w:rsidR="00691C77" w:rsidRPr="00691C77" w:rsidRDefault="00691C77" w:rsidP="00691C77">
      <w:pPr>
        <w:pStyle w:val="EndNoteBibliography"/>
        <w:ind w:left="720" w:hanging="720"/>
        <w:rPr>
          <w:noProof/>
        </w:rPr>
      </w:pPr>
      <w:r w:rsidRPr="00691C77">
        <w:rPr>
          <w:noProof/>
        </w:rPr>
        <w:t xml:space="preserve">Makel, M.C., et al. (2012). Replications in psychology research: How often do they really occur? </w:t>
      </w:r>
      <w:r w:rsidRPr="00691C77">
        <w:rPr>
          <w:i/>
          <w:noProof/>
        </w:rPr>
        <w:t>Perspectives on Psychological Science, 7</w:t>
      </w:r>
      <w:r w:rsidRPr="00691C77">
        <w:rPr>
          <w:noProof/>
        </w:rPr>
        <w:t xml:space="preserve">(6), 537-542. </w:t>
      </w:r>
    </w:p>
    <w:p w14:paraId="18E228D4" w14:textId="77777777" w:rsidR="00691C77" w:rsidRPr="00691C77" w:rsidRDefault="00691C77" w:rsidP="00691C77">
      <w:pPr>
        <w:pStyle w:val="EndNoteBibliography"/>
        <w:rPr>
          <w:noProof/>
        </w:rPr>
      </w:pPr>
    </w:p>
    <w:p w14:paraId="3AE50D01" w14:textId="77777777" w:rsidR="00691C77" w:rsidRPr="00691C77" w:rsidRDefault="00691C77" w:rsidP="00691C77">
      <w:pPr>
        <w:pStyle w:val="EndNoteBibliography"/>
        <w:ind w:left="720" w:hanging="720"/>
        <w:rPr>
          <w:noProof/>
        </w:rPr>
      </w:pPr>
      <w:r w:rsidRPr="00691C77">
        <w:rPr>
          <w:noProof/>
        </w:rPr>
        <w:t xml:space="preserve">Martínez-Pérez, V., et al. (2020). Examining the dorsolateral and ventromedial prefrontal cortex involvement in the self-attention network: A randomized, sham-controlled, parallel group, double-blind, and multichannel HD-tDCS study. </w:t>
      </w:r>
      <w:r w:rsidRPr="00691C77">
        <w:rPr>
          <w:i/>
          <w:noProof/>
        </w:rPr>
        <w:t>Frontiers in Neuroscience, 14</w:t>
      </w:r>
      <w:r w:rsidRPr="00691C77">
        <w:rPr>
          <w:noProof/>
        </w:rPr>
        <w:t xml:space="preserve">, 683. </w:t>
      </w:r>
    </w:p>
    <w:p w14:paraId="661BAA22" w14:textId="77777777" w:rsidR="00691C77" w:rsidRPr="00691C77" w:rsidRDefault="00691C77" w:rsidP="00691C77">
      <w:pPr>
        <w:pStyle w:val="EndNoteBibliography"/>
        <w:rPr>
          <w:noProof/>
        </w:rPr>
      </w:pPr>
    </w:p>
    <w:p w14:paraId="19E77D37" w14:textId="30C6F70C" w:rsidR="00691C77" w:rsidRPr="00691C77" w:rsidRDefault="00691C77" w:rsidP="00691C77">
      <w:pPr>
        <w:pStyle w:val="EndNoteBibliography"/>
        <w:ind w:left="720" w:hanging="720"/>
        <w:rPr>
          <w:noProof/>
        </w:rPr>
      </w:pPr>
      <w:r w:rsidRPr="00691C77">
        <w:rPr>
          <w:noProof/>
        </w:rPr>
        <w:lastRenderedPageBreak/>
        <w:t xml:space="preserve">Moray, N. (1959). Attention in dichotic listening: Affective cues and the influence of instructions. </w:t>
      </w:r>
      <w:r w:rsidRPr="00691C77">
        <w:rPr>
          <w:i/>
          <w:noProof/>
        </w:rPr>
        <w:t>Quarterly journal of experimental psychology, 11</w:t>
      </w:r>
      <w:r w:rsidRPr="00691C77">
        <w:rPr>
          <w:noProof/>
        </w:rPr>
        <w:t xml:space="preserve">(1), 56-60. </w:t>
      </w:r>
      <w:hyperlink r:id="rId40" w:history="1">
        <w:r w:rsidRPr="00691C77">
          <w:rPr>
            <w:rStyle w:val="aa"/>
            <w:noProof/>
          </w:rPr>
          <w:t>https://doi.org/10.1080/17470215908416289</w:t>
        </w:r>
      </w:hyperlink>
      <w:r w:rsidRPr="00691C77">
        <w:rPr>
          <w:noProof/>
        </w:rPr>
        <w:t xml:space="preserve"> </w:t>
      </w:r>
    </w:p>
    <w:p w14:paraId="0EE8E7E9" w14:textId="77777777" w:rsidR="00691C77" w:rsidRPr="00691C77" w:rsidRDefault="00691C77" w:rsidP="00691C77">
      <w:pPr>
        <w:pStyle w:val="EndNoteBibliography"/>
        <w:rPr>
          <w:noProof/>
        </w:rPr>
      </w:pPr>
    </w:p>
    <w:p w14:paraId="0FC6BE94" w14:textId="77777777" w:rsidR="00691C77" w:rsidRPr="00691C77" w:rsidRDefault="00691C77" w:rsidP="00691C77">
      <w:pPr>
        <w:pStyle w:val="EndNoteBibliography"/>
        <w:ind w:left="720" w:hanging="720"/>
        <w:rPr>
          <w:noProof/>
        </w:rPr>
      </w:pPr>
      <w:r w:rsidRPr="00691C77">
        <w:rPr>
          <w:noProof/>
        </w:rPr>
        <w:t xml:space="preserve">Navon, M., &amp; Makovski, T. (2021). Are Self-related Items Unique? the Self-prioritization Effect Revisited. </w:t>
      </w:r>
    </w:p>
    <w:p w14:paraId="06F13F3D" w14:textId="77777777" w:rsidR="00691C77" w:rsidRPr="00691C77" w:rsidRDefault="00691C77" w:rsidP="00691C77">
      <w:pPr>
        <w:pStyle w:val="EndNoteBibliography"/>
        <w:rPr>
          <w:noProof/>
        </w:rPr>
      </w:pPr>
    </w:p>
    <w:p w14:paraId="19D7FF6A" w14:textId="62FA461D" w:rsidR="00691C77" w:rsidRPr="00691C77" w:rsidRDefault="00691C77" w:rsidP="00691C77">
      <w:pPr>
        <w:pStyle w:val="EndNoteBibliography"/>
        <w:ind w:left="720" w:hanging="720"/>
        <w:rPr>
          <w:noProof/>
        </w:rPr>
      </w:pPr>
      <w:r w:rsidRPr="00691C77">
        <w:rPr>
          <w:noProof/>
        </w:rPr>
        <w:t xml:space="preserve">Nijhof, A.D., &amp; Bird, G. (2019). Self‐processing in individuals with autism spectrum disorder. </w:t>
      </w:r>
      <w:r w:rsidRPr="00691C77">
        <w:rPr>
          <w:i/>
          <w:noProof/>
        </w:rPr>
        <w:t>Autism research, 12</w:t>
      </w:r>
      <w:r w:rsidRPr="00691C77">
        <w:rPr>
          <w:noProof/>
        </w:rPr>
        <w:t xml:space="preserve">(11), 1580-1584. </w:t>
      </w:r>
      <w:hyperlink r:id="rId41" w:history="1">
        <w:r w:rsidRPr="00691C77">
          <w:rPr>
            <w:rStyle w:val="aa"/>
            <w:noProof/>
          </w:rPr>
          <w:t>https://doi.org/10.1002/aur.2200</w:t>
        </w:r>
      </w:hyperlink>
      <w:r w:rsidRPr="00691C77">
        <w:rPr>
          <w:noProof/>
        </w:rPr>
        <w:t xml:space="preserve"> </w:t>
      </w:r>
    </w:p>
    <w:p w14:paraId="34B556EB" w14:textId="77777777" w:rsidR="00691C77" w:rsidRPr="00691C77" w:rsidRDefault="00691C77" w:rsidP="00691C77">
      <w:pPr>
        <w:pStyle w:val="EndNoteBibliography"/>
        <w:rPr>
          <w:noProof/>
        </w:rPr>
      </w:pPr>
    </w:p>
    <w:p w14:paraId="0D9F1FC3" w14:textId="5E102B5F" w:rsidR="00691C77" w:rsidRPr="00691C77" w:rsidRDefault="00691C77" w:rsidP="00691C77">
      <w:pPr>
        <w:pStyle w:val="EndNoteBibliography"/>
        <w:ind w:left="720" w:hanging="720"/>
        <w:rPr>
          <w:noProof/>
        </w:rPr>
      </w:pPr>
      <w:r w:rsidRPr="00691C77">
        <w:rPr>
          <w:noProof/>
        </w:rPr>
        <w:t xml:space="preserve">Parsons, S., et al. (2019). Psychological Science Needs a Standard Practice of Reporting the Reliability of Cognitive-Behavioral Measurements. </w:t>
      </w:r>
      <w:r w:rsidRPr="00691C77">
        <w:rPr>
          <w:i/>
          <w:noProof/>
        </w:rPr>
        <w:t>Advances in methods and practices in psychological science, 2</w:t>
      </w:r>
      <w:r w:rsidRPr="00691C77">
        <w:rPr>
          <w:noProof/>
        </w:rPr>
        <w:t xml:space="preserve">(4), 378-395. </w:t>
      </w:r>
      <w:hyperlink r:id="rId42" w:history="1">
        <w:r w:rsidRPr="00691C77">
          <w:rPr>
            <w:rStyle w:val="aa"/>
            <w:noProof/>
          </w:rPr>
          <w:t>https://doi.org/10.1177/2515245919879695</w:t>
        </w:r>
      </w:hyperlink>
      <w:r w:rsidRPr="00691C77">
        <w:rPr>
          <w:noProof/>
        </w:rPr>
        <w:t xml:space="preserve"> </w:t>
      </w:r>
    </w:p>
    <w:p w14:paraId="7EBB0D44" w14:textId="77777777" w:rsidR="00691C77" w:rsidRPr="00691C77" w:rsidRDefault="00691C77" w:rsidP="00691C77">
      <w:pPr>
        <w:pStyle w:val="EndNoteBibliography"/>
        <w:rPr>
          <w:noProof/>
        </w:rPr>
      </w:pPr>
    </w:p>
    <w:p w14:paraId="7637BFEF" w14:textId="3FCB0FC0" w:rsidR="00691C77" w:rsidRPr="00691C77" w:rsidRDefault="00691C77" w:rsidP="00691C77">
      <w:pPr>
        <w:pStyle w:val="EndNoteBibliography"/>
        <w:ind w:left="720" w:hanging="720"/>
        <w:rPr>
          <w:noProof/>
        </w:rPr>
      </w:pPr>
      <w:r w:rsidRPr="00691C77">
        <w:rPr>
          <w:noProof/>
        </w:rPr>
        <w:t xml:space="preserve">Payne, B., et al. (2021). Perceptual prioritization of self‐associated voices. </w:t>
      </w:r>
      <w:r w:rsidRPr="00691C77">
        <w:rPr>
          <w:i/>
          <w:noProof/>
        </w:rPr>
        <w:t>British Journal of Psychology, 112</w:t>
      </w:r>
      <w:r w:rsidRPr="00691C77">
        <w:rPr>
          <w:noProof/>
        </w:rPr>
        <w:t xml:space="preserve">(3), 585-610. </w:t>
      </w:r>
      <w:hyperlink r:id="rId43" w:history="1">
        <w:r w:rsidRPr="00691C77">
          <w:rPr>
            <w:rStyle w:val="aa"/>
            <w:noProof/>
          </w:rPr>
          <w:t>https://doi.org/10.1111/bjop.12479</w:t>
        </w:r>
      </w:hyperlink>
      <w:r w:rsidRPr="00691C77">
        <w:rPr>
          <w:noProof/>
        </w:rPr>
        <w:t xml:space="preserve"> </w:t>
      </w:r>
    </w:p>
    <w:p w14:paraId="35AEC142" w14:textId="77777777" w:rsidR="00691C77" w:rsidRPr="00691C77" w:rsidRDefault="00691C77" w:rsidP="00691C77">
      <w:pPr>
        <w:pStyle w:val="EndNoteBibliography"/>
        <w:rPr>
          <w:noProof/>
        </w:rPr>
      </w:pPr>
    </w:p>
    <w:p w14:paraId="7838A33F" w14:textId="77777777" w:rsidR="00691C77" w:rsidRPr="00691C77" w:rsidRDefault="00691C77" w:rsidP="00691C77">
      <w:pPr>
        <w:pStyle w:val="EndNoteBibliography"/>
        <w:ind w:left="720" w:hanging="720"/>
        <w:rPr>
          <w:noProof/>
        </w:rPr>
      </w:pPr>
      <w:r w:rsidRPr="00691C77">
        <w:rPr>
          <w:noProof/>
        </w:rPr>
        <w:t xml:space="preserve">Pronk, T., et al. (2022). Methods to split cognitive task data for estimating split-half reliability: A comprehensive review and systematic assessment. </w:t>
      </w:r>
      <w:r w:rsidRPr="00691C77">
        <w:rPr>
          <w:i/>
          <w:noProof/>
        </w:rPr>
        <w:t>Psychonomic Bulletin &amp; Review, 29</w:t>
      </w:r>
      <w:r w:rsidRPr="00691C77">
        <w:rPr>
          <w:noProof/>
        </w:rPr>
        <w:t xml:space="preserve">(1), 44-54. </w:t>
      </w:r>
    </w:p>
    <w:p w14:paraId="1845321C" w14:textId="77777777" w:rsidR="00691C77" w:rsidRPr="00691C77" w:rsidRDefault="00691C77" w:rsidP="00691C77">
      <w:pPr>
        <w:pStyle w:val="EndNoteBibliography"/>
        <w:rPr>
          <w:noProof/>
        </w:rPr>
      </w:pPr>
    </w:p>
    <w:p w14:paraId="12224023" w14:textId="77777777" w:rsidR="00691C77" w:rsidRPr="00691C77" w:rsidRDefault="00691C77" w:rsidP="00691C77">
      <w:pPr>
        <w:pStyle w:val="EndNoteBibliography"/>
        <w:ind w:left="720" w:hanging="720"/>
        <w:rPr>
          <w:noProof/>
        </w:rPr>
      </w:pPr>
      <w:r w:rsidRPr="00691C77">
        <w:rPr>
          <w:noProof/>
        </w:rPr>
        <w:t xml:space="preserve">Qian, H., et al. (2020). Prioritised self-referential processing is modulated by emotional arousal. </w:t>
      </w:r>
      <w:r w:rsidRPr="00691C77">
        <w:rPr>
          <w:i/>
          <w:noProof/>
        </w:rPr>
        <w:t>Quarterly journal of experimental psychology, 73</w:t>
      </w:r>
      <w:r w:rsidRPr="00691C77">
        <w:rPr>
          <w:noProof/>
        </w:rPr>
        <w:t xml:space="preserve">(5), 688-697. </w:t>
      </w:r>
    </w:p>
    <w:p w14:paraId="5FFCDB3B" w14:textId="77777777" w:rsidR="00691C77" w:rsidRPr="00691C77" w:rsidRDefault="00691C77" w:rsidP="00691C77">
      <w:pPr>
        <w:pStyle w:val="EndNoteBibliography"/>
        <w:rPr>
          <w:noProof/>
        </w:rPr>
      </w:pPr>
    </w:p>
    <w:p w14:paraId="4C0F8590" w14:textId="4241D89E" w:rsidR="00691C77" w:rsidRPr="00691C77" w:rsidRDefault="00691C77" w:rsidP="00691C77">
      <w:pPr>
        <w:pStyle w:val="EndNoteBibliography"/>
        <w:ind w:left="720" w:hanging="720"/>
        <w:rPr>
          <w:noProof/>
        </w:rPr>
      </w:pPr>
      <w:r w:rsidRPr="00691C77">
        <w:rPr>
          <w:noProof/>
        </w:rPr>
        <w:t xml:space="preserve">R Core Team. (2022). R: A Language and Environment for Statistical Computing. </w:t>
      </w:r>
      <w:hyperlink r:id="rId44" w:history="1">
        <w:r w:rsidRPr="00691C77">
          <w:rPr>
            <w:rStyle w:val="aa"/>
            <w:noProof/>
          </w:rPr>
          <w:t>https://www.R-project.org/</w:t>
        </w:r>
      </w:hyperlink>
      <w:r w:rsidRPr="00691C77">
        <w:rPr>
          <w:noProof/>
        </w:rPr>
        <w:t xml:space="preserve"> </w:t>
      </w:r>
    </w:p>
    <w:p w14:paraId="7DF52E0F" w14:textId="77777777" w:rsidR="00691C77" w:rsidRPr="00691C77" w:rsidRDefault="00691C77" w:rsidP="00691C77">
      <w:pPr>
        <w:pStyle w:val="EndNoteBibliography"/>
        <w:rPr>
          <w:noProof/>
        </w:rPr>
      </w:pPr>
    </w:p>
    <w:p w14:paraId="6A2DFFB1" w14:textId="3B24FF5F" w:rsidR="00691C77" w:rsidRPr="00691C77" w:rsidRDefault="00691C77" w:rsidP="00691C77">
      <w:pPr>
        <w:pStyle w:val="EndNoteBibliography"/>
        <w:ind w:left="720" w:hanging="720"/>
        <w:rPr>
          <w:noProof/>
        </w:rPr>
      </w:pPr>
      <w:r w:rsidRPr="00691C77">
        <w:rPr>
          <w:noProof/>
        </w:rPr>
        <w:t xml:space="preserve">Rogers, T.B., et al. (1977, Sep). Self-reference and the encoding of personal information. </w:t>
      </w:r>
      <w:r w:rsidRPr="00691C77">
        <w:rPr>
          <w:i/>
          <w:noProof/>
        </w:rPr>
        <w:t>J Pers Soc Psychol, 35</w:t>
      </w:r>
      <w:r w:rsidRPr="00691C77">
        <w:rPr>
          <w:noProof/>
        </w:rPr>
        <w:t xml:space="preserve">(9), 677-688. </w:t>
      </w:r>
      <w:hyperlink r:id="rId45" w:history="1">
        <w:r w:rsidRPr="00691C77">
          <w:rPr>
            <w:rStyle w:val="aa"/>
            <w:noProof/>
          </w:rPr>
          <w:t>https://doi.org/10.1037//0022-3514.35.9.677</w:t>
        </w:r>
      </w:hyperlink>
      <w:r w:rsidRPr="00691C77">
        <w:rPr>
          <w:noProof/>
        </w:rPr>
        <w:t xml:space="preserve"> </w:t>
      </w:r>
    </w:p>
    <w:p w14:paraId="6A8F2DBB" w14:textId="77777777" w:rsidR="00691C77" w:rsidRPr="00691C77" w:rsidRDefault="00691C77" w:rsidP="00691C77">
      <w:pPr>
        <w:pStyle w:val="EndNoteBibliography"/>
        <w:rPr>
          <w:noProof/>
        </w:rPr>
      </w:pPr>
    </w:p>
    <w:p w14:paraId="53F4430A" w14:textId="77777777" w:rsidR="00691C77" w:rsidRPr="00691C77" w:rsidRDefault="00691C77" w:rsidP="00691C77">
      <w:pPr>
        <w:pStyle w:val="EndNoteBibliography"/>
        <w:ind w:left="720" w:hanging="720"/>
        <w:rPr>
          <w:noProof/>
        </w:rPr>
      </w:pPr>
      <w:r w:rsidRPr="00691C77">
        <w:rPr>
          <w:noProof/>
        </w:rPr>
        <w:t xml:space="preserve">Schäfer, S., &amp; Frings, C. (2019). Understanding self-prioritisation: The prioritisation of self-relevant stimuli and its relation to the individual self-esteem. </w:t>
      </w:r>
      <w:r w:rsidRPr="00691C77">
        <w:rPr>
          <w:i/>
          <w:noProof/>
        </w:rPr>
        <w:t>Journal of cognitive psychology, 31</w:t>
      </w:r>
      <w:r w:rsidRPr="00691C77">
        <w:rPr>
          <w:noProof/>
        </w:rPr>
        <w:t xml:space="preserve">(8), 813-824. </w:t>
      </w:r>
    </w:p>
    <w:p w14:paraId="4C975CEE" w14:textId="77777777" w:rsidR="00691C77" w:rsidRPr="00691C77" w:rsidRDefault="00691C77" w:rsidP="00691C77">
      <w:pPr>
        <w:pStyle w:val="EndNoteBibliography"/>
        <w:rPr>
          <w:noProof/>
        </w:rPr>
      </w:pPr>
    </w:p>
    <w:p w14:paraId="1862FB07" w14:textId="39CE2209" w:rsidR="00691C77" w:rsidRPr="00691C77" w:rsidRDefault="00691C77" w:rsidP="00691C77">
      <w:pPr>
        <w:pStyle w:val="EndNoteBibliography"/>
        <w:ind w:left="720" w:hanging="720"/>
        <w:rPr>
          <w:noProof/>
        </w:rPr>
      </w:pPr>
      <w:r w:rsidRPr="00691C77">
        <w:rPr>
          <w:noProof/>
        </w:rPr>
        <w:t xml:space="preserve">Shapiro, K.L., et al. (1997). Personal names and the attentional blink: a visual "cocktail party" effect. </w:t>
      </w:r>
      <w:r w:rsidRPr="00691C77">
        <w:rPr>
          <w:i/>
          <w:noProof/>
        </w:rPr>
        <w:t>J Exp Psychol Hum Percept Perform, 23</w:t>
      </w:r>
      <w:r w:rsidRPr="00691C77">
        <w:rPr>
          <w:noProof/>
        </w:rPr>
        <w:t xml:space="preserve">(2), 504-514. </w:t>
      </w:r>
      <w:hyperlink r:id="rId46" w:history="1">
        <w:r w:rsidRPr="00691C77">
          <w:rPr>
            <w:rStyle w:val="aa"/>
            <w:noProof/>
          </w:rPr>
          <w:t>https://doi.org/10.1037//0096-1523.23.2.504</w:t>
        </w:r>
      </w:hyperlink>
      <w:r w:rsidRPr="00691C77">
        <w:rPr>
          <w:noProof/>
        </w:rPr>
        <w:t xml:space="preserve"> </w:t>
      </w:r>
    </w:p>
    <w:p w14:paraId="77F14038" w14:textId="77777777" w:rsidR="00691C77" w:rsidRPr="00691C77" w:rsidRDefault="00691C77" w:rsidP="00691C77">
      <w:pPr>
        <w:pStyle w:val="EndNoteBibliography"/>
        <w:rPr>
          <w:noProof/>
        </w:rPr>
      </w:pPr>
    </w:p>
    <w:p w14:paraId="72A7F7C5" w14:textId="6E975A2B" w:rsidR="00691C77" w:rsidRPr="00691C77" w:rsidRDefault="00691C77" w:rsidP="00691C77">
      <w:pPr>
        <w:pStyle w:val="EndNoteBibliography"/>
        <w:ind w:left="720" w:hanging="720"/>
        <w:rPr>
          <w:noProof/>
        </w:rPr>
      </w:pPr>
      <w:r w:rsidRPr="00691C77">
        <w:rPr>
          <w:noProof/>
        </w:rPr>
        <w:t xml:space="preserve">Stoeber, J., &amp; Eysenck, M.W. (2008). Perfectionism and efficiency: Accuracy, response bias, and invested time in proof-reading performance. </w:t>
      </w:r>
      <w:r w:rsidRPr="00691C77">
        <w:rPr>
          <w:i/>
          <w:noProof/>
        </w:rPr>
        <w:t>Journal of research in personality, 42</w:t>
      </w:r>
      <w:r w:rsidRPr="00691C77">
        <w:rPr>
          <w:noProof/>
        </w:rPr>
        <w:t xml:space="preserve">(6), 1673-1678. </w:t>
      </w:r>
      <w:hyperlink r:id="rId47" w:history="1">
        <w:r w:rsidRPr="00691C77">
          <w:rPr>
            <w:rStyle w:val="aa"/>
            <w:noProof/>
          </w:rPr>
          <w:t>https://doi.org/10.1016/j.jrp.2008.08.001</w:t>
        </w:r>
      </w:hyperlink>
      <w:r w:rsidRPr="00691C77">
        <w:rPr>
          <w:noProof/>
        </w:rPr>
        <w:t xml:space="preserve"> </w:t>
      </w:r>
    </w:p>
    <w:p w14:paraId="18E73F48" w14:textId="77777777" w:rsidR="00691C77" w:rsidRPr="00691C77" w:rsidRDefault="00691C77" w:rsidP="00691C77">
      <w:pPr>
        <w:pStyle w:val="EndNoteBibliography"/>
        <w:rPr>
          <w:noProof/>
        </w:rPr>
      </w:pPr>
    </w:p>
    <w:p w14:paraId="36C21EDC" w14:textId="77777777" w:rsidR="00691C77" w:rsidRPr="00691C77" w:rsidRDefault="00691C77" w:rsidP="00691C77">
      <w:pPr>
        <w:pStyle w:val="EndNoteBibliography"/>
        <w:ind w:left="720" w:hanging="720"/>
        <w:rPr>
          <w:noProof/>
        </w:rPr>
      </w:pPr>
      <w:r w:rsidRPr="00691C77">
        <w:rPr>
          <w:noProof/>
        </w:rPr>
        <w:t xml:space="preserve">Strachan, J.W., et al. (2020). It goes with the territory: Ownership across spatial boundaries. </w:t>
      </w:r>
      <w:r w:rsidRPr="00691C77">
        <w:rPr>
          <w:i/>
          <w:noProof/>
        </w:rPr>
        <w:t>Journal of Experimental Psychology: Human Perception and Performance, 46</w:t>
      </w:r>
      <w:r w:rsidRPr="00691C77">
        <w:rPr>
          <w:noProof/>
        </w:rPr>
        <w:t xml:space="preserve">(8), 789. </w:t>
      </w:r>
    </w:p>
    <w:p w14:paraId="79DA34B2" w14:textId="77777777" w:rsidR="00691C77" w:rsidRPr="00691C77" w:rsidRDefault="00691C77" w:rsidP="00691C77">
      <w:pPr>
        <w:pStyle w:val="EndNoteBibliography"/>
        <w:rPr>
          <w:noProof/>
        </w:rPr>
      </w:pPr>
    </w:p>
    <w:p w14:paraId="237007BD" w14:textId="1D0769BC" w:rsidR="00691C77" w:rsidRPr="00691C77" w:rsidRDefault="00691C77" w:rsidP="00691C77">
      <w:pPr>
        <w:pStyle w:val="EndNoteBibliography"/>
        <w:ind w:left="720" w:hanging="720"/>
        <w:rPr>
          <w:noProof/>
        </w:rPr>
      </w:pPr>
      <w:r w:rsidRPr="00691C77">
        <w:rPr>
          <w:noProof/>
        </w:rPr>
        <w:lastRenderedPageBreak/>
        <w:t xml:space="preserve">Sui, J., et al. (2012). Perceptual effects of social salience: Evidence from self-prioritization effects on perceptual matching. </w:t>
      </w:r>
      <w:r w:rsidRPr="00691C77">
        <w:rPr>
          <w:i/>
          <w:noProof/>
        </w:rPr>
        <w:t>Journal of experimental psychology. Human perception and performance, 38</w:t>
      </w:r>
      <w:r w:rsidRPr="00691C77">
        <w:rPr>
          <w:noProof/>
        </w:rPr>
        <w:t xml:space="preserve">(5), 1105-1117. </w:t>
      </w:r>
      <w:hyperlink r:id="rId48" w:history="1">
        <w:r w:rsidRPr="00691C77">
          <w:rPr>
            <w:rStyle w:val="aa"/>
            <w:noProof/>
          </w:rPr>
          <w:t>https://doi.org/10.1037/a0029792</w:t>
        </w:r>
      </w:hyperlink>
      <w:r w:rsidRPr="00691C77">
        <w:rPr>
          <w:noProof/>
        </w:rPr>
        <w:t xml:space="preserve"> </w:t>
      </w:r>
    </w:p>
    <w:p w14:paraId="55140E50" w14:textId="77777777" w:rsidR="00691C77" w:rsidRPr="00691C77" w:rsidRDefault="00691C77" w:rsidP="00691C77">
      <w:pPr>
        <w:pStyle w:val="EndNoteBibliography"/>
        <w:rPr>
          <w:noProof/>
        </w:rPr>
      </w:pPr>
    </w:p>
    <w:p w14:paraId="41AA285A" w14:textId="18C3CD4B" w:rsidR="00691C77" w:rsidRPr="00691C77" w:rsidRDefault="00691C77" w:rsidP="00691C77">
      <w:pPr>
        <w:pStyle w:val="EndNoteBibliography"/>
        <w:ind w:left="720" w:hanging="720"/>
        <w:rPr>
          <w:noProof/>
        </w:rPr>
      </w:pPr>
      <w:r w:rsidRPr="00691C77">
        <w:rPr>
          <w:noProof/>
        </w:rPr>
        <w:t xml:space="preserve">Sui, J., &amp; Humphreys, G.W. (2013, Nov). Self-referential processing is distinct from semantic elaboration: Evidence from long-term memory effects in a patient with amnesia and semantic impairments. </w:t>
      </w:r>
      <w:r w:rsidRPr="00691C77">
        <w:rPr>
          <w:i/>
          <w:noProof/>
        </w:rPr>
        <w:t>Neuropsychologia, 51</w:t>
      </w:r>
      <w:r w:rsidRPr="00691C77">
        <w:rPr>
          <w:noProof/>
        </w:rPr>
        <w:t xml:space="preserve">(13), 2663-2673. </w:t>
      </w:r>
      <w:hyperlink r:id="rId49" w:history="1">
        <w:r w:rsidRPr="00691C77">
          <w:rPr>
            <w:rStyle w:val="aa"/>
            <w:noProof/>
          </w:rPr>
          <w:t>https://doi.org/10.1016/j.neuropsychologia.2013.07.025</w:t>
        </w:r>
      </w:hyperlink>
      <w:r w:rsidRPr="00691C77">
        <w:rPr>
          <w:noProof/>
        </w:rPr>
        <w:t xml:space="preserve"> </w:t>
      </w:r>
    </w:p>
    <w:p w14:paraId="6258C249" w14:textId="77777777" w:rsidR="00691C77" w:rsidRPr="00691C77" w:rsidRDefault="00691C77" w:rsidP="00691C77">
      <w:pPr>
        <w:pStyle w:val="EndNoteBibliography"/>
        <w:rPr>
          <w:noProof/>
        </w:rPr>
      </w:pPr>
    </w:p>
    <w:p w14:paraId="79AAB7D0" w14:textId="18CA1334" w:rsidR="00691C77" w:rsidRPr="00691C77" w:rsidRDefault="00691C77" w:rsidP="00691C77">
      <w:pPr>
        <w:pStyle w:val="EndNoteBibliography"/>
        <w:ind w:left="720" w:hanging="720"/>
        <w:rPr>
          <w:noProof/>
        </w:rPr>
      </w:pPr>
      <w:r w:rsidRPr="00691C77">
        <w:rPr>
          <w:noProof/>
        </w:rPr>
        <w:t xml:space="preserve">Sui, J., &amp; Humphreys, G.W. (2017). The self survives extinction: Self-association biases attention in patients with visual extinction. </w:t>
      </w:r>
      <w:r w:rsidRPr="00691C77">
        <w:rPr>
          <w:i/>
          <w:noProof/>
        </w:rPr>
        <w:t>Cortex, 95</w:t>
      </w:r>
      <w:r w:rsidRPr="00691C77">
        <w:rPr>
          <w:noProof/>
        </w:rPr>
        <w:t xml:space="preserve">, 248-256. </w:t>
      </w:r>
      <w:hyperlink r:id="rId50" w:history="1">
        <w:r w:rsidRPr="00691C77">
          <w:rPr>
            <w:rStyle w:val="aa"/>
            <w:noProof/>
          </w:rPr>
          <w:t>https://doi.org/10.1016/j.cortex.2017.08.006</w:t>
        </w:r>
      </w:hyperlink>
      <w:r w:rsidRPr="00691C77">
        <w:rPr>
          <w:noProof/>
        </w:rPr>
        <w:t xml:space="preserve"> </w:t>
      </w:r>
    </w:p>
    <w:p w14:paraId="1FBCECE6" w14:textId="77777777" w:rsidR="00691C77" w:rsidRPr="00691C77" w:rsidRDefault="00691C77" w:rsidP="00691C77">
      <w:pPr>
        <w:pStyle w:val="EndNoteBibliography"/>
        <w:rPr>
          <w:noProof/>
        </w:rPr>
      </w:pPr>
    </w:p>
    <w:p w14:paraId="0B9DBF49" w14:textId="77777777" w:rsidR="00691C77" w:rsidRPr="00691C77" w:rsidRDefault="00691C77" w:rsidP="00691C77">
      <w:pPr>
        <w:pStyle w:val="EndNoteBibliography"/>
        <w:ind w:left="720" w:hanging="720"/>
        <w:rPr>
          <w:noProof/>
        </w:rPr>
      </w:pPr>
      <w:r w:rsidRPr="00691C77">
        <w:rPr>
          <w:noProof/>
        </w:rPr>
        <w:t xml:space="preserve">Svensson, S.L., et al. (2022). More or less of me and you: self-relevance augments the effects of item probability on stimulus prioritization. </w:t>
      </w:r>
      <w:r w:rsidRPr="00691C77">
        <w:rPr>
          <w:i/>
          <w:noProof/>
        </w:rPr>
        <w:t>Psychological Research, 86</w:t>
      </w:r>
      <w:r w:rsidRPr="00691C77">
        <w:rPr>
          <w:noProof/>
        </w:rPr>
        <w:t xml:space="preserve">(4), 1145-1164. </w:t>
      </w:r>
    </w:p>
    <w:p w14:paraId="0B35322C" w14:textId="77777777" w:rsidR="00691C77" w:rsidRPr="00691C77" w:rsidRDefault="00691C77" w:rsidP="00691C77">
      <w:pPr>
        <w:pStyle w:val="EndNoteBibliography"/>
        <w:rPr>
          <w:noProof/>
        </w:rPr>
      </w:pPr>
    </w:p>
    <w:p w14:paraId="686589B0" w14:textId="0A404393" w:rsidR="00691C77" w:rsidRPr="00691C77" w:rsidRDefault="00691C77" w:rsidP="00691C77">
      <w:pPr>
        <w:pStyle w:val="EndNoteBibliography"/>
        <w:ind w:left="720" w:hanging="720"/>
        <w:rPr>
          <w:noProof/>
        </w:rPr>
      </w:pPr>
      <w:r w:rsidRPr="00691C77">
        <w:rPr>
          <w:noProof/>
        </w:rPr>
        <w:t xml:space="preserve">Symons, C.S., &amp; Johnson, B.T. (1997, May). The self-reference effect in memory: a meta-analysis. </w:t>
      </w:r>
      <w:r w:rsidRPr="00691C77">
        <w:rPr>
          <w:i/>
          <w:noProof/>
        </w:rPr>
        <w:t>Psychological Bulletin, 121</w:t>
      </w:r>
      <w:r w:rsidRPr="00691C77">
        <w:rPr>
          <w:noProof/>
        </w:rPr>
        <w:t xml:space="preserve">(3), 371-394. </w:t>
      </w:r>
      <w:hyperlink r:id="rId51" w:history="1">
        <w:r w:rsidRPr="00691C77">
          <w:rPr>
            <w:rStyle w:val="aa"/>
            <w:noProof/>
          </w:rPr>
          <w:t>https://doi.org/10.1037/0033-2909.121.3.371</w:t>
        </w:r>
      </w:hyperlink>
      <w:r w:rsidRPr="00691C77">
        <w:rPr>
          <w:noProof/>
        </w:rPr>
        <w:t xml:space="preserve"> </w:t>
      </w:r>
    </w:p>
    <w:p w14:paraId="7255EC16" w14:textId="77777777" w:rsidR="00691C77" w:rsidRPr="00691C77" w:rsidRDefault="00691C77" w:rsidP="00691C77">
      <w:pPr>
        <w:pStyle w:val="EndNoteBibliography"/>
        <w:rPr>
          <w:noProof/>
        </w:rPr>
      </w:pPr>
    </w:p>
    <w:p w14:paraId="24FA0C54" w14:textId="4EE2C607" w:rsidR="00691C77" w:rsidRPr="00691C77" w:rsidRDefault="00691C77" w:rsidP="00691C77">
      <w:pPr>
        <w:pStyle w:val="EndNoteBibliography"/>
        <w:ind w:left="720" w:hanging="720"/>
        <w:rPr>
          <w:noProof/>
        </w:rPr>
      </w:pPr>
      <w:r w:rsidRPr="00691C77">
        <w:rPr>
          <w:noProof/>
        </w:rPr>
        <w:t xml:space="preserve">Turk, D.J., et al. (2002). Mike or me? Self-recognition in a split-brain patient. </w:t>
      </w:r>
      <w:r w:rsidRPr="00691C77">
        <w:rPr>
          <w:i/>
          <w:noProof/>
        </w:rPr>
        <w:t>Nature neuroscience, 5</w:t>
      </w:r>
      <w:r w:rsidRPr="00691C77">
        <w:rPr>
          <w:noProof/>
        </w:rPr>
        <w:t xml:space="preserve">(9), 841-842. </w:t>
      </w:r>
      <w:hyperlink r:id="rId52" w:history="1">
        <w:r w:rsidRPr="00691C77">
          <w:rPr>
            <w:rStyle w:val="aa"/>
            <w:noProof/>
          </w:rPr>
          <w:t>https://doi.org/10.1038/nn907</w:t>
        </w:r>
      </w:hyperlink>
      <w:r w:rsidRPr="00691C77">
        <w:rPr>
          <w:noProof/>
        </w:rPr>
        <w:t xml:space="preserve"> </w:t>
      </w:r>
    </w:p>
    <w:p w14:paraId="4DDD569F" w14:textId="77777777" w:rsidR="00691C77" w:rsidRPr="00691C77" w:rsidRDefault="00691C77" w:rsidP="00691C77">
      <w:pPr>
        <w:pStyle w:val="EndNoteBibliography"/>
        <w:rPr>
          <w:noProof/>
        </w:rPr>
      </w:pPr>
    </w:p>
    <w:p w14:paraId="2B6442E0" w14:textId="18472BE3" w:rsidR="00691C77" w:rsidRPr="00691C77" w:rsidRDefault="00691C77" w:rsidP="00691C77">
      <w:pPr>
        <w:pStyle w:val="EndNoteBibliography"/>
        <w:ind w:left="720" w:hanging="720"/>
        <w:rPr>
          <w:noProof/>
        </w:rPr>
      </w:pPr>
      <w:r w:rsidRPr="00691C77">
        <w:rPr>
          <w:noProof/>
        </w:rPr>
        <w:t xml:space="preserve">William Revelle. (2022). psych: Procedures for Psychological, Psychometric, and Personality Research. </w:t>
      </w:r>
      <w:hyperlink r:id="rId53" w:history="1">
        <w:r w:rsidRPr="00691C77">
          <w:rPr>
            <w:rStyle w:val="aa"/>
            <w:noProof/>
          </w:rPr>
          <w:t>https://doi.org/CRAN.R-project.org/package=psych</w:t>
        </w:r>
      </w:hyperlink>
      <w:r w:rsidRPr="00691C77">
        <w:rPr>
          <w:noProof/>
        </w:rPr>
        <w:t xml:space="preserve"> </w:t>
      </w:r>
    </w:p>
    <w:p w14:paraId="3356FFE1" w14:textId="77777777" w:rsidR="00691C77" w:rsidRPr="00691C77" w:rsidRDefault="00691C77" w:rsidP="00691C77">
      <w:pPr>
        <w:pStyle w:val="EndNoteBibliography"/>
        <w:rPr>
          <w:noProof/>
        </w:rPr>
      </w:pPr>
    </w:p>
    <w:p w14:paraId="78CB1DD0" w14:textId="77777777" w:rsidR="00691C77" w:rsidRPr="00691C77" w:rsidRDefault="00691C77" w:rsidP="00691C77">
      <w:pPr>
        <w:pStyle w:val="EndNoteBibliography"/>
        <w:ind w:left="720" w:hanging="720"/>
        <w:rPr>
          <w:noProof/>
        </w:rPr>
      </w:pPr>
      <w:r w:rsidRPr="00691C77">
        <w:rPr>
          <w:noProof/>
        </w:rPr>
        <w:t xml:space="preserve">Xu, Y., et al. (2021). Romantic feedbacks influence self-relevant processing: the moderating effects of sex difference and facial attractiveness. </w:t>
      </w:r>
      <w:r w:rsidRPr="00691C77">
        <w:rPr>
          <w:i/>
          <w:noProof/>
        </w:rPr>
        <w:t>Current Psychology</w:t>
      </w:r>
      <w:r w:rsidRPr="00691C77">
        <w:rPr>
          <w:noProof/>
        </w:rPr>
        <w:t xml:space="preserve">, 1-13. </w:t>
      </w:r>
    </w:p>
    <w:p w14:paraId="741F1B8A" w14:textId="77777777" w:rsidR="00691C77" w:rsidRPr="00691C77" w:rsidRDefault="00691C77" w:rsidP="00691C77">
      <w:pPr>
        <w:pStyle w:val="EndNoteBibliography"/>
        <w:rPr>
          <w:noProof/>
        </w:rPr>
      </w:pPr>
    </w:p>
    <w:p w14:paraId="44FFF320" w14:textId="76A478D4" w:rsidR="00691C77" w:rsidRPr="00691C77" w:rsidRDefault="00691C77" w:rsidP="00691C77">
      <w:pPr>
        <w:pStyle w:val="EndNoteBibliography"/>
        <w:ind w:left="720" w:hanging="720"/>
        <w:rPr>
          <w:noProof/>
        </w:rPr>
      </w:pPr>
      <w:r w:rsidRPr="00691C77">
        <w:rPr>
          <w:noProof/>
        </w:rPr>
        <w:t xml:space="preserve">Zhou, A., et al. (2019). Self-referential processing can modulate visual spatial attention deficits in children with dyslexia. </w:t>
      </w:r>
      <w:r w:rsidRPr="00691C77">
        <w:rPr>
          <w:i/>
          <w:noProof/>
        </w:rPr>
        <w:t>Frontiers in Psychology, 10</w:t>
      </w:r>
      <w:r w:rsidRPr="00691C77">
        <w:rPr>
          <w:noProof/>
        </w:rPr>
        <w:t xml:space="preserve">, 2270. </w:t>
      </w:r>
      <w:hyperlink r:id="rId54" w:history="1">
        <w:r w:rsidRPr="00691C77">
          <w:rPr>
            <w:rStyle w:val="aa"/>
            <w:noProof/>
          </w:rPr>
          <w:t>https://doi.org/10.3389/fpsyg.2019.02270</w:t>
        </w:r>
      </w:hyperlink>
      <w:r w:rsidRPr="00691C77">
        <w:rPr>
          <w:noProof/>
        </w:rPr>
        <w:t xml:space="preserve"> </w:t>
      </w:r>
    </w:p>
    <w:p w14:paraId="7F7F219B" w14:textId="77777777" w:rsidR="00691C77" w:rsidRPr="00691C77" w:rsidRDefault="00691C77" w:rsidP="00691C77">
      <w:pPr>
        <w:pStyle w:val="EndNoteBibliography"/>
        <w:rPr>
          <w:noProof/>
        </w:rPr>
      </w:pPr>
    </w:p>
    <w:p w14:paraId="55268D77" w14:textId="402BA2D8"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AA430" w14:textId="77777777" w:rsidR="004A1934" w:rsidRDefault="004A1934" w:rsidP="009E4B8F">
      <w:r>
        <w:separator/>
      </w:r>
    </w:p>
  </w:endnote>
  <w:endnote w:type="continuationSeparator" w:id="0">
    <w:p w14:paraId="2563B193" w14:textId="77777777" w:rsidR="004A1934" w:rsidRDefault="004A193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EndPr/>
    <w:sdtContent>
      <w:p w14:paraId="55256E3A" w14:textId="321867D4" w:rsidR="00B955CD" w:rsidRDefault="00B955CD">
        <w:pPr>
          <w:pStyle w:val="af2"/>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B955CD" w:rsidRDefault="00B955CD" w:rsidP="00A613C9">
    <w:pPr>
      <w:pStyle w:val="af2"/>
      <w:ind w:right="720"/>
      <w:jc w:val="right"/>
    </w:pPr>
  </w:p>
  <w:p w14:paraId="6AFC4939" w14:textId="77777777" w:rsidR="00B955CD" w:rsidRDefault="00B955C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E643C" w14:textId="77777777" w:rsidR="004A1934" w:rsidRDefault="004A1934" w:rsidP="009E4B8F">
      <w:r>
        <w:separator/>
      </w:r>
    </w:p>
  </w:footnote>
  <w:footnote w:type="continuationSeparator" w:id="0">
    <w:p w14:paraId="6CE1CE4F" w14:textId="77777777" w:rsidR="004A1934" w:rsidRDefault="004A1934" w:rsidP="009E4B8F">
      <w:r>
        <w:continuationSeparator/>
      </w:r>
    </w:p>
  </w:footnote>
  <w:footnote w:id="1">
    <w:p w14:paraId="678E91CF" w14:textId="47F77886" w:rsidR="00B955CD" w:rsidRPr="0048063D" w:rsidRDefault="00B955CD" w:rsidP="0048063D">
      <w:pPr>
        <w:pStyle w:val="af2"/>
        <w:rPr>
          <w:rFonts w:eastAsiaTheme="minorEastAsia"/>
        </w:rPr>
      </w:pPr>
      <w:r w:rsidRPr="0048063D">
        <w:rPr>
          <w:rStyle w:val="af5"/>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B955CD" w:rsidRPr="0048063D" w:rsidRDefault="00B955CD">
      <w:pPr>
        <w:pStyle w:val="af4"/>
        <w:rPr>
          <w:rFonts w:eastAsiaTheme="minorEastAsia"/>
        </w:rPr>
      </w:pPr>
      <w:r w:rsidRPr="0048063D">
        <w:rPr>
          <w:rStyle w:val="af5"/>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02/acp.2350090102"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hds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19866</Words>
  <Characters>113240</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3</cp:revision>
  <dcterms:created xsi:type="dcterms:W3CDTF">2023-04-05T06:12:00Z</dcterms:created>
  <dcterms:modified xsi:type="dcterms:W3CDTF">2023-04-05T06:24:00Z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