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0C9F9CCF" w14:textId="064BEEE8" w:rsidR="00B82B1C" w:rsidRPr="009A68B2" w:rsidRDefault="00B82B1C" w:rsidP="00B82B1C">
      <w:pPr>
        <w:rPr>
          <w:sz w:val="22"/>
          <w:szCs w:val="22"/>
          <w:lang w:val="en-US"/>
        </w:rPr>
      </w:pPr>
      <w:r w:rsidRPr="009A68B2">
        <w:rPr>
          <w:sz w:val="22"/>
          <w:szCs w:val="22"/>
          <w:lang w:val="en-US"/>
        </w:rPr>
        <w:t xml:space="preserve">The self-prioritization effect (SPE) refers to the phenomenon where individuals demonstrate faster and more accurate responses to self-relevant stimuli in cognitive tasks. </w:t>
      </w:r>
      <w:r w:rsidRPr="009A68B2">
        <w:rPr>
          <w:rFonts w:hint="eastAsia"/>
          <w:sz w:val="22"/>
          <w:szCs w:val="22"/>
          <w:lang w:val="en-US"/>
        </w:rPr>
        <w:t>The</w:t>
      </w:r>
      <w:r w:rsidRPr="009A68B2">
        <w:rPr>
          <w:sz w:val="22"/>
          <w:szCs w:val="22"/>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sz w:val="22"/>
          <w:szCs w:val="22"/>
          <w:lang w:val="en-US"/>
        </w:rPr>
        <w:t>d’</w:t>
      </w:r>
      <w:r w:rsidRPr="009A68B2">
        <w:rPr>
          <w:sz w:val="22"/>
          <w:szCs w:val="22"/>
          <w:lang w:val="en-US"/>
        </w:rPr>
        <w:t xml:space="preserve"> under signal-detection theory, the efficiency </w:t>
      </w:r>
      <w:r w:rsidRPr="00E80C40">
        <w:rPr>
          <w:sz w:val="22"/>
          <w:szCs w:val="22"/>
          <w:lang w:val="en-US"/>
        </w:rPr>
        <w:t>(</w:t>
      </w:r>
      <w:r w:rsidR="00E80C40" w:rsidRPr="00E80C40">
        <w:rPr>
          <w:i/>
          <w:iCs/>
          <w:sz w:val="22"/>
          <w:szCs w:val="22"/>
          <w:lang w:val="en-US"/>
        </w:rPr>
        <w:t>η</w:t>
      </w:r>
      <w:r w:rsidRPr="00E80C40">
        <w:rPr>
          <w:sz w:val="22"/>
          <w:szCs w:val="22"/>
          <w:lang w:val="en-US"/>
        </w:rPr>
        <w:t>)</w:t>
      </w:r>
      <w:r w:rsidRPr="009A68B2">
        <w:rPr>
          <w:sz w:val="22"/>
          <w:szCs w:val="22"/>
          <w:lang w:val="en-US"/>
        </w:rPr>
        <w:t>, drift rate (</w:t>
      </w:r>
      <w:r w:rsidRPr="009A68B2">
        <w:rPr>
          <w:i/>
          <w:iCs/>
          <w:sz w:val="22"/>
          <w:szCs w:val="22"/>
          <w:lang w:val="en-US"/>
        </w:rPr>
        <w:t>v</w:t>
      </w:r>
      <w:r w:rsidRPr="009A68B2">
        <w:rPr>
          <w:sz w:val="22"/>
          <w:szCs w:val="22"/>
          <w:lang w:val="en-US"/>
        </w:rPr>
        <w:t>) and starting point (</w:t>
      </w:r>
      <w:r w:rsidRPr="009A68B2">
        <w:rPr>
          <w:i/>
          <w:iCs/>
          <w:sz w:val="22"/>
          <w:szCs w:val="22"/>
          <w:lang w:val="en-US"/>
        </w:rPr>
        <w:t>z</w:t>
      </w:r>
      <w:r w:rsidRPr="009A68B2">
        <w:rPr>
          <w:sz w:val="22"/>
          <w:szCs w:val="22"/>
          <w:lang w:val="en-US"/>
        </w:rPr>
        <w:t xml:space="preserve">) estimated using the drift-diffusion models. Moreover, the calculation of SPE can employ different baseline conditions, including “Close </w:t>
      </w:r>
      <w:r w:rsidRPr="009A68B2">
        <w:rPr>
          <w:rFonts w:hint="eastAsia"/>
          <w:sz w:val="22"/>
          <w:szCs w:val="22"/>
          <w:lang w:val="en-US"/>
        </w:rPr>
        <w:t>other</w:t>
      </w:r>
      <w:r w:rsidRPr="009A68B2">
        <w:rPr>
          <w:sz w:val="22"/>
          <w:szCs w:val="22"/>
          <w:lang w:val="en-US"/>
        </w:rPr>
        <w:t xml:space="preserve">”, “Stranger”, “Celebrity”, and “Non-person”. However, the reliability of SPE measures computed using different baseline conditions and outcome variables has not been systematically examined, leaving the stability of using the SPMT for measuring individual differences unknown. To fill the gap, we conducted a pre-registered study wherein we re-analyzed 18 datasets from </w:t>
      </w:r>
      <w:r w:rsidR="004E53A7">
        <w:rPr>
          <w:sz w:val="22"/>
          <w:szCs w:val="22"/>
          <w:lang w:val="en-US"/>
        </w:rPr>
        <w:t>9</w:t>
      </w:r>
      <w:r w:rsidRPr="009A68B2">
        <w:rPr>
          <w:sz w:val="22"/>
          <w:szCs w:val="22"/>
          <w:lang w:val="en-US"/>
        </w:rPr>
        <w:t xml:space="preserve"> papers </w:t>
      </w:r>
      <w:r w:rsidR="004E53A7" w:rsidRPr="004E53A7">
        <w:rPr>
          <w:sz w:val="22"/>
          <w:szCs w:val="22"/>
          <w:lang w:val="en-US"/>
        </w:rPr>
        <w:t xml:space="preserve">and two projects </w:t>
      </w:r>
      <w:r w:rsidRPr="009A68B2">
        <w:rPr>
          <w:sz w:val="22"/>
          <w:szCs w:val="22"/>
          <w:lang w:val="en-US"/>
        </w:rPr>
        <w:t xml:space="preserve">(N = 857) using the </w:t>
      </w:r>
      <w:r w:rsidR="004E53A7" w:rsidRPr="004E53A7">
        <w:rPr>
          <w:sz w:val="22"/>
          <w:szCs w:val="22"/>
          <w:lang w:val="en-US"/>
        </w:rPr>
        <w:t xml:space="preserve">weighted average split-half reliability (WASR) </w:t>
      </w:r>
      <w:r w:rsidRPr="009A68B2">
        <w:rPr>
          <w:sz w:val="22"/>
          <w:szCs w:val="22"/>
          <w:lang w:val="en-US"/>
        </w:rPr>
        <w:t xml:space="preserve">and intraclass correlation coefficient (ICC). </w:t>
      </w:r>
      <w:commentRangeStart w:id="2"/>
      <w:commentRangeStart w:id="3"/>
      <w:r w:rsidRPr="009A68B2">
        <w:rPr>
          <w:sz w:val="22"/>
          <w:szCs w:val="22"/>
          <w:lang w:val="en-US"/>
        </w:rPr>
        <w:t>The results revealed that the split-half reliabilities of RT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0.58;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0.60) and Efficiency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0.52;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0.58)</w:t>
      </w:r>
      <w:commentRangeEnd w:id="2"/>
      <w:r w:rsidR="004E53A7">
        <w:rPr>
          <w:rStyle w:val="a6"/>
        </w:rPr>
        <w:commentReference w:id="2"/>
      </w:r>
      <w:commentRangeEnd w:id="3"/>
      <w:r w:rsidR="004742C6">
        <w:rPr>
          <w:rStyle w:val="a6"/>
        </w:rPr>
        <w:commentReference w:id="3"/>
      </w:r>
      <w:r w:rsidRPr="009A68B2">
        <w:rPr>
          <w:sz w:val="22"/>
          <w:szCs w:val="22"/>
          <w:lang w:val="en-US"/>
        </w:rPr>
        <w:t>, when close other and stranger used as the baseline condition, a</w:t>
      </w:r>
      <w:r w:rsidRPr="009A68B2">
        <w:rPr>
          <w:rFonts w:hint="eastAsia"/>
          <w:sz w:val="22"/>
          <w:szCs w:val="22"/>
          <w:lang w:val="en-US"/>
        </w:rPr>
        <w:t>r</w:t>
      </w:r>
      <w:r w:rsidRPr="009A68B2">
        <w:rPr>
          <w:sz w:val="22"/>
          <w:szCs w:val="22"/>
          <w:lang w:val="en-US"/>
        </w:rPr>
        <w:t xml:space="preserve">e relatively high but still lower than that required in psychometrics. The estimated </w:t>
      </w:r>
      <w:r w:rsidR="004E53A7" w:rsidRPr="004E53A7">
        <w:rPr>
          <w:sz w:val="22"/>
          <w:szCs w:val="22"/>
          <w:lang w:val="en-US"/>
        </w:rPr>
        <w:t>WASR</w:t>
      </w:r>
      <w:r w:rsidRPr="009A68B2">
        <w:rPr>
          <w:sz w:val="22"/>
          <w:szCs w:val="22"/>
          <w:lang w:val="en-US"/>
        </w:rPr>
        <w:t xml:space="preserve"> for all other indices are </w:t>
      </w:r>
      <w:r w:rsidRPr="009A68B2">
        <w:rPr>
          <w:rFonts w:eastAsia="等线"/>
          <w:sz w:val="22"/>
          <w:szCs w:val="22"/>
          <w:lang w:val="en-US"/>
        </w:rPr>
        <w:t>approximately 0.5 or even lower</w:t>
      </w:r>
      <w:r w:rsidRPr="009A68B2">
        <w:rPr>
          <w:sz w:val="22"/>
          <w:szCs w:val="22"/>
          <w:lang w:val="en-US"/>
        </w:rPr>
        <w:t>. Similar results were obtained in ICC</w:t>
      </w:r>
      <w:r w:rsidR="004E53A7">
        <w:rPr>
          <w:rFonts w:hint="eastAsia"/>
          <w:sz w:val="22"/>
          <w:szCs w:val="22"/>
          <w:lang w:val="en-US"/>
        </w:rPr>
        <w:t>s</w:t>
      </w:r>
      <w:r w:rsidRPr="009A68B2">
        <w:rPr>
          <w:sz w:val="22"/>
          <w:szCs w:val="22"/>
          <w:lang w:val="en-US"/>
        </w:rPr>
        <w:t xml:space="preserve">, where </w:t>
      </w:r>
      <w:r w:rsidRPr="009A68B2">
        <w:rPr>
          <w:rFonts w:hint="eastAsia"/>
          <w:sz w:val="22"/>
          <w:szCs w:val="22"/>
          <w:lang w:val="en-US"/>
        </w:rPr>
        <w:t>the</w:t>
      </w:r>
      <w:r w:rsidRPr="009A68B2">
        <w:rPr>
          <w:sz w:val="22"/>
          <w:szCs w:val="22"/>
          <w:lang w:val="en-US"/>
        </w:rPr>
        <w:t xml:space="preserve"> ICC2 for individual differences in the reaction time measures (ICC2</w:t>
      </w:r>
      <w:r w:rsidRPr="009A68B2">
        <w:rPr>
          <w:sz w:val="22"/>
          <w:szCs w:val="22"/>
          <w:vertAlign w:val="subscript"/>
          <w:lang w:val="en-US"/>
        </w:rPr>
        <w:t>Close</w:t>
      </w:r>
      <w:r w:rsidRPr="009A68B2">
        <w:rPr>
          <w:sz w:val="22"/>
          <w:szCs w:val="22"/>
          <w:lang w:val="en-US"/>
        </w:rPr>
        <w:t xml:space="preserve"> = 0.53; ICC2</w:t>
      </w:r>
      <w:r w:rsidRPr="009A68B2">
        <w:rPr>
          <w:sz w:val="22"/>
          <w:szCs w:val="22"/>
          <w:vertAlign w:val="subscript"/>
          <w:lang w:val="en-US"/>
        </w:rPr>
        <w:t>Stranger</w:t>
      </w:r>
      <w:r w:rsidRPr="009A68B2">
        <w:rPr>
          <w:sz w:val="22"/>
          <w:szCs w:val="22"/>
          <w:lang w:val="en-US"/>
        </w:rPr>
        <w:t xml:space="preserve"> = 0.58) and efficiency measures (ICC2</w:t>
      </w:r>
      <w:r w:rsidRPr="009A68B2">
        <w:rPr>
          <w:sz w:val="22"/>
          <w:szCs w:val="22"/>
          <w:vertAlign w:val="subscript"/>
          <w:lang w:val="en-US"/>
        </w:rPr>
        <w:t>Close</w:t>
      </w:r>
      <w:r w:rsidRPr="009A68B2">
        <w:rPr>
          <w:sz w:val="22"/>
          <w:szCs w:val="22"/>
          <w:lang w:val="en-US"/>
        </w:rPr>
        <w:t xml:space="preserve"> = 0.52; ICC2</w:t>
      </w:r>
      <w:r w:rsidRPr="009A68B2">
        <w:rPr>
          <w:sz w:val="22"/>
          <w:szCs w:val="22"/>
          <w:vertAlign w:val="subscript"/>
          <w:lang w:val="en-US"/>
        </w:rPr>
        <w:t>Stranger</w:t>
      </w:r>
      <w:r w:rsidRPr="009A68B2">
        <w:rPr>
          <w:sz w:val="22"/>
          <w:szCs w:val="22"/>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sz w:val="22"/>
          <w:szCs w:val="22"/>
          <w:vertAlign w:val="subscript"/>
          <w:lang w:val="en-US"/>
        </w:rPr>
        <w:t xml:space="preserve">Close </w:t>
      </w:r>
      <w:r w:rsidRPr="009A68B2">
        <w:rPr>
          <w:sz w:val="22"/>
          <w:szCs w:val="22"/>
          <w:lang w:val="en-US"/>
        </w:rPr>
        <w:t>= 0.87; ICC2k</w:t>
      </w:r>
      <w:r w:rsidRPr="009A68B2">
        <w:rPr>
          <w:sz w:val="22"/>
          <w:szCs w:val="22"/>
          <w:vertAlign w:val="subscript"/>
          <w:lang w:val="en-US"/>
        </w:rPr>
        <w:t xml:space="preserve">Stranger </w:t>
      </w:r>
      <w:r w:rsidRPr="009A68B2">
        <w:rPr>
          <w:sz w:val="22"/>
          <w:szCs w:val="22"/>
          <w:lang w:val="en-US"/>
        </w:rPr>
        <w:t>= 0.89) and efficiency measures (ICC2k</w:t>
      </w:r>
      <w:r w:rsidRPr="009A68B2">
        <w:rPr>
          <w:sz w:val="22"/>
          <w:szCs w:val="22"/>
          <w:vertAlign w:val="subscript"/>
          <w:lang w:val="en-US"/>
        </w:rPr>
        <w:t>Close</w:t>
      </w:r>
      <w:r w:rsidRPr="009A68B2">
        <w:rPr>
          <w:sz w:val="22"/>
          <w:szCs w:val="22"/>
          <w:lang w:val="en-US"/>
        </w:rPr>
        <w:t xml:space="preserve"> = 0.86; ICC2k</w:t>
      </w:r>
      <w:r w:rsidRPr="009A68B2">
        <w:rPr>
          <w:sz w:val="22"/>
          <w:szCs w:val="22"/>
          <w:vertAlign w:val="subscript"/>
          <w:lang w:val="en-US"/>
        </w:rPr>
        <w:t>Stranger</w:t>
      </w:r>
      <w:r w:rsidRPr="009A68B2">
        <w:rPr>
          <w:sz w:val="22"/>
          <w:szCs w:val="22"/>
          <w:lang w:val="en-US"/>
        </w:rPr>
        <w:t xml:space="preserve"> = 0.76) are relatively high when using close other or stranger as baseline conditions, while the remaining 10 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p>
    <w:bookmarkEnd w:id="1"/>
    <w:p w14:paraId="624F5AA2" w14:textId="77777777" w:rsidR="00B82B1C" w:rsidRPr="009A68B2" w:rsidRDefault="00B82B1C" w:rsidP="00B82B1C">
      <w:pPr>
        <w:rPr>
          <w:sz w:val="22"/>
          <w:szCs w:val="22"/>
          <w:lang w:val="en-US"/>
        </w:rPr>
      </w:pPr>
    </w:p>
    <w:p w14:paraId="1954E3DA" w14:textId="77777777" w:rsidR="00B82B1C" w:rsidRPr="009A68B2" w:rsidRDefault="00B82B1C" w:rsidP="00B82B1C">
      <w:pPr>
        <w:rPr>
          <w:b/>
          <w:bCs/>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4" w:name="_xrrl8ars2nrl" w:colFirst="0" w:colLast="0"/>
      <w:bookmarkStart w:id="5" w:name="_Toc129530156"/>
      <w:bookmarkStart w:id="6" w:name="_Toc129530186"/>
      <w:bookmarkStart w:id="7" w:name="_Toc139718153"/>
      <w:bookmarkEnd w:id="4"/>
      <w:r>
        <w:rPr>
          <w:rFonts w:eastAsia="Calibri"/>
          <w:b/>
          <w:sz w:val="42"/>
          <w:szCs w:val="42"/>
        </w:rPr>
        <w:lastRenderedPageBreak/>
        <w:t xml:space="preserve">1 </w:t>
      </w:r>
      <w:r w:rsidR="00BA0079" w:rsidRPr="006A5A80">
        <w:rPr>
          <w:rFonts w:eastAsia="Calibri"/>
          <w:b/>
          <w:sz w:val="42"/>
          <w:szCs w:val="42"/>
        </w:rPr>
        <w:t>Introduction</w:t>
      </w:r>
      <w:bookmarkEnd w:id="5"/>
      <w:bookmarkEnd w:id="6"/>
      <w:bookmarkEnd w:id="7"/>
    </w:p>
    <w:p w14:paraId="44F2A0BF" w14:textId="323F4F53"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49F0C6E8"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F801E8" w:rsidRPr="00AE175A">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t>Sui et al. (2012)</w:t>
      </w:r>
      <w:r w:rsidR="00F801E8" w:rsidRPr="00AE175A">
        <w:fldChar w:fldCharType="end"/>
      </w:r>
      <w:r w:rsidR="00F801E8" w:rsidRPr="00AE175A">
        <w:t xml:space="preserve"> </w:t>
      </w:r>
      <w:r w:rsidR="00AE175A">
        <w:rPr>
          <w:lang w:val="en-US"/>
        </w:rPr>
        <w:t>i</w:t>
      </w:r>
      <w:r w:rsidR="00BD3453" w:rsidRPr="00AE175A">
        <w:t>introduced</w:t>
      </w:r>
      <w:r w:rsidR="00AE175A" w:rsidRPr="00AE175A">
        <w:t xml:space="preserve">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w:t>
      </w:r>
      <w:r w:rsidR="00BD3453" w:rsidRPr="006A5A80">
        <w:t>self-</w:t>
      </w:r>
      <w:r w:rsidR="00BD3453" w:rsidRPr="00932AAF">
        <w:t>showed</w:t>
      </w:r>
      <w:r w:rsidR="00932AAF" w:rsidRPr="00932AAF">
        <w:t xml:space="preserve"> superior performance, with faster response times,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221749A2"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8155C7"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 </w:instrTex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EN.CITE.DATA </w:instrText>
      </w:r>
      <w:r w:rsidR="00274730">
        <w:rPr>
          <w:lang w:val="en-US"/>
        </w:rPr>
      </w:r>
      <w:r w:rsidR="00274730">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10D98B12"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 </w:instrTex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EN.CITE.DATA </w:instrText>
      </w:r>
      <w:r w:rsidRPr="00F65597">
        <w:fldChar w:fldCharType="end"/>
      </w:r>
      <w:r w:rsidRPr="00F65597">
        <w:fldChar w:fldCharType="separate"/>
      </w:r>
      <w:r w:rsidRPr="00F65597">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0863E0">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77D3" w:rsidRPr="00F65597">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146F5D" w:rsidRPr="00F65597">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D068A5" w:rsidRPr="00F65597">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8818E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100&lt;/RecNum&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8818E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8818E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w:t>
      </w:r>
      <w:commentRangeStart w:id="8"/>
      <w:commentRangeStart w:id="9"/>
      <w:r w:rsidR="00F15475" w:rsidRPr="00F65597">
        <w:t>person</w:t>
      </w:r>
      <w:commentRangeEnd w:id="8"/>
      <w:r w:rsidR="00F65597">
        <w:rPr>
          <w:rStyle w:val="a6"/>
        </w:rPr>
        <w:commentReference w:id="8"/>
      </w:r>
      <w:commentRangeEnd w:id="9"/>
      <w:r w:rsidR="008818E8">
        <w:rPr>
          <w:rStyle w:val="a6"/>
        </w:rPr>
        <w:commentReference w:id="9"/>
      </w:r>
      <w:r w:rsidR="00F15475" w:rsidRPr="00F65597">
        <w:t>”</w:t>
      </w:r>
      <w:r w:rsidR="00F65597">
        <w:rPr>
          <w:lang w:val="en-US"/>
        </w:rPr>
        <w:t xml:space="preserve"> </w:t>
      </w:r>
      <w:r w:rsidR="008818E8">
        <w:rPr>
          <w:lang w:val="en-US"/>
        </w:rPr>
        <w:fldChar w:fldCharType="begin"/>
      </w:r>
      <w:r w:rsidR="008818E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47F1A72B"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 xml:space="preserve">Given the methods available for evaluating the reliability of cognitive tasks, we employed both the Split-Half Reliability </w:t>
      </w:r>
      <w:r w:rsidR="00DD3690">
        <w:rPr>
          <w:lang w:val="en-US"/>
        </w:rPr>
        <w:t xml:space="preserve">(SHR)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E875079" w:rsidR="00586F83" w:rsidRDefault="004F59A0" w:rsidP="0014261E">
      <w:pPr>
        <w:pStyle w:val="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lastRenderedPageBreak/>
        <w:t xml:space="preserve">2.1 </w:t>
      </w:r>
      <w:r w:rsidR="00BA0079" w:rsidRPr="006A5A80">
        <w:rPr>
          <w:rFonts w:ascii="Times New Roman" w:hAnsi="Times New Roman"/>
        </w:rPr>
        <w:t>Ethics information</w:t>
      </w:r>
      <w:bookmarkEnd w:id="15"/>
      <w:bookmarkEnd w:id="16"/>
      <w:bookmarkEnd w:id="17"/>
    </w:p>
    <w:p w14:paraId="334EBFCE" w14:textId="07072C50" w:rsidR="00A77F77" w:rsidRPr="00B7597F" w:rsidRDefault="00A77F77" w:rsidP="00DD3690">
      <w:pPr>
        <w:ind w:firstLineChars="100" w:firstLine="240"/>
        <w:rPr>
          <w:lang w:val="en-US"/>
        </w:rPr>
      </w:pPr>
      <w:r w:rsidRPr="00DD3690">
        <w:rPr>
          <w:lang w:val="en-US"/>
        </w:rPr>
        <w:t>Since this research involves a secondary analysis of pre-existing data obtained from publicly available datasets or archived data from author’s group, which have used SPMT in recent years, informed consent and confidentiality are not applicable.</w:t>
      </w:r>
    </w:p>
    <w:p w14:paraId="249B1E22" w14:textId="393BB77A" w:rsidR="00A77F77" w:rsidRPr="00B7597F" w:rsidRDefault="004F59A0" w:rsidP="00B7597F">
      <w:pPr>
        <w:pStyle w:val="2"/>
        <w:spacing w:after="120"/>
        <w:rPr>
          <w:rFonts w:ascii="Times New Roman" w:hAnsi="Times New Roman"/>
        </w:rPr>
      </w:pPr>
      <w:bookmarkStart w:id="18" w:name="_bobtrkgl8pi0" w:colFirst="0" w:colLast="0"/>
      <w:bookmarkStart w:id="19" w:name="_Toc129530159"/>
      <w:bookmarkStart w:id="20" w:name="_Toc129530189"/>
      <w:bookmarkStart w:id="21" w:name="_Toc139718156"/>
      <w:bookmarkEnd w:id="18"/>
      <w:r>
        <w:rPr>
          <w:rFonts w:ascii="Times New Roman" w:hAnsi="Times New Roman"/>
        </w:rPr>
        <w:t xml:space="preserve">2.2 </w:t>
      </w:r>
      <w:r w:rsidR="00A77F77" w:rsidRPr="00A77F77">
        <w:rPr>
          <w:rFonts w:ascii="Times New Roman" w:hAnsi="Times New Roman"/>
        </w:rPr>
        <w:t xml:space="preserve">Experimental Design </w:t>
      </w:r>
      <w:bookmarkEnd w:id="19"/>
      <w:bookmarkEnd w:id="20"/>
      <w:bookmarkEnd w:id="21"/>
    </w:p>
    <w:p w14:paraId="023F50D8" w14:textId="137A331D" w:rsidR="00A77F77" w:rsidRDefault="00B7597F" w:rsidP="00A77F77">
      <w:pPr>
        <w:ind w:firstLineChars="100" w:firstLine="240"/>
        <w:rPr>
          <w:lang w:val="en-US"/>
        </w:rPr>
      </w:pPr>
      <w:proofErr w:type="spellStart"/>
      <w:r>
        <w:rPr>
          <w:lang w:val="en-US"/>
        </w:rPr>
        <w:t>W</w:t>
      </w:r>
      <w:r w:rsidR="00A77F77" w:rsidRPr="00A77F77">
        <w:t>e</w:t>
      </w:r>
      <w:proofErr w:type="spellEnd"/>
      <w:r w:rsidR="00A77F77" w:rsidRPr="00A77F77">
        <w:t xml:space="preserve"> first provided a brief overview of </w:t>
      </w:r>
      <w:r>
        <w:rPr>
          <w:lang w:val="en-US"/>
        </w:rPr>
        <w:t>the</w:t>
      </w:r>
      <w:r w:rsidR="00A77F77" w:rsidRPr="00A77F77">
        <w:t xml:space="preserve"> original experimental design</w:t>
      </w:r>
      <w:r>
        <w:rPr>
          <w:lang w:val="en-US"/>
        </w:rPr>
        <w:t xml:space="preserve"> of SPMT</w:t>
      </w:r>
      <w:r w:rsidR="00A77F77" w:rsidRPr="00A77F77">
        <w:t xml:space="preserve">, as described in the Experiment 1 by </w:t>
      </w:r>
      <w:r w:rsidR="00A77F77" w:rsidRPr="006A5A80">
        <w:rPr>
          <w:lang w:val="en-US"/>
        </w:rPr>
        <w:fldChar w:fldCharType="begin"/>
      </w:r>
      <w:r w:rsidR="00A77F77"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Pr>
          <w:lang w:val="en-US"/>
        </w:rPr>
        <w:t xml:space="preserve"> “</w:t>
      </w:r>
      <w:r w:rsidR="00A77F77" w:rsidRPr="003F666B">
        <w:rPr>
          <w:lang w:val="en-US"/>
        </w:rPr>
        <w:t>Identity”</w:t>
      </w:r>
      <w:r>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A77F77">
      <w:pPr>
        <w:ind w:firstLineChars="100" w:firstLine="240"/>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3DBC04B3" w:rsidR="00630EE2" w:rsidRPr="00E753E4" w:rsidRDefault="003970A3" w:rsidP="00E753E4">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247BAA4E" w14:textId="3B625FCF" w:rsidR="00CB0739" w:rsidRPr="00CB0739" w:rsidRDefault="00CB0739" w:rsidP="00CB0739">
      <w:pPr>
        <w:pStyle w:val="2"/>
        <w:spacing w:after="120"/>
        <w:rPr>
          <w:rFonts w:ascii="Times New Roman" w:hAnsi="Times New Roman"/>
        </w:rPr>
      </w:pPr>
      <w:commentRangeStart w:id="22"/>
      <w:r>
        <w:rPr>
          <w:rFonts w:ascii="Times New Roman" w:hAnsi="Times New Roman"/>
        </w:rPr>
        <w:lastRenderedPageBreak/>
        <w:t>2.3</w:t>
      </w:r>
      <w:r w:rsidRPr="00A77F77">
        <w:rPr>
          <w:rFonts w:ascii="Times New Roman" w:hAnsi="Times New Roman"/>
        </w:rPr>
        <w:t>Datasets</w:t>
      </w:r>
      <w:r>
        <w:rPr>
          <w:rFonts w:ascii="Times New Roman" w:hAnsi="Times New Roman"/>
        </w:rPr>
        <w:t xml:space="preserve"> Acquisition</w:t>
      </w:r>
      <w:commentRangeEnd w:id="22"/>
      <w:r w:rsidR="004B7E46">
        <w:rPr>
          <w:rStyle w:val="a6"/>
          <w:rFonts w:ascii="Times New Roman" w:eastAsia="Times New Roman" w:hAnsi="Times New Roman"/>
          <w:b w:val="0"/>
        </w:rPr>
        <w:commentReference w:id="22"/>
      </w:r>
    </w:p>
    <w:p w14:paraId="7CC656E0" w14:textId="5788E96D" w:rsidR="006C4880" w:rsidRPr="00E753E4" w:rsidRDefault="006C4880" w:rsidP="006C4880">
      <w:pPr>
        <w:widowControl w:val="0"/>
        <w:ind w:firstLineChars="100" w:firstLine="240"/>
        <w:rPr>
          <w:rFonts w:eastAsiaTheme="minorEastAsia"/>
          <w:bCs/>
          <w:lang w:val="en-US"/>
        </w:rPr>
      </w:pPr>
      <w:r w:rsidRPr="000456DA">
        <w:rPr>
          <w:rFonts w:eastAsiaTheme="minorEastAsia"/>
          <w:bCs/>
          <w:lang w:val="en-US"/>
        </w:rPr>
        <w:t xml:space="preserve">At the beginning, we had access to two datasets that utilized the SPMT. One dataset belonged to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lang w:val="en-US"/>
        </w:rPr>
        <w:t>(Hu et al., 2023)</w:t>
      </w:r>
      <w:r w:rsidRPr="000456DA">
        <w:rPr>
          <w:rFonts w:eastAsiaTheme="minorEastAsia"/>
          <w:bCs/>
          <w:lang w:val="en-US"/>
        </w:rPr>
        <w:fldChar w:fldCharType="end"/>
      </w:r>
      <w:r w:rsidRPr="000456DA">
        <w:rPr>
          <w:rFonts w:eastAsiaTheme="minorEastAsia"/>
          <w:bCs/>
          <w:lang w:val="en-US"/>
        </w:rPr>
        <w:t xml:space="preserve">, and the other came from our collaborators </w:t>
      </w:r>
      <w:r w:rsidRPr="000456DA">
        <w:rPr>
          <w:rFonts w:eastAsiaTheme="minorEastAsia"/>
          <w:bCs/>
          <w:lang w:val="en-US"/>
        </w:rPr>
        <w:fldChar w:fldCharType="begin"/>
      </w:r>
      <w:r w:rsidRPr="000456DA">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lang w:val="en-US"/>
        </w:rPr>
        <w:t>(Liu et al., 2023)</w:t>
      </w:r>
      <w:commentRangeStart w:id="23"/>
      <w:commentRangeEnd w:id="23"/>
      <w:r w:rsidRPr="000456DA">
        <w:rPr>
          <w:rFonts w:eastAsiaTheme="minorEastAsia"/>
          <w:bCs/>
          <w:lang w:val="en-US"/>
        </w:rPr>
        <w:commentReference w:id="23"/>
      </w:r>
      <w:r w:rsidRPr="000456DA">
        <w:rPr>
          <w:rFonts w:eastAsiaTheme="minorEastAsia"/>
          <w:bCs/>
          <w:lang w:val="en-US"/>
        </w:rPr>
        <w:fldChar w:fldCharType="end"/>
      </w:r>
      <w:r w:rsidRPr="000456DA">
        <w:rPr>
          <w:rFonts w:eastAsiaTheme="minorEastAsia"/>
          <w:bCs/>
          <w:lang w:val="en-US"/>
        </w:rPr>
        <w:t>.</w:t>
      </w:r>
      <w:r>
        <w:rPr>
          <w:rFonts w:eastAsiaTheme="minorEastAsia"/>
          <w:bCs/>
          <w:lang w:val="en-US"/>
        </w:rPr>
        <w:t xml:space="preserve"> </w:t>
      </w:r>
      <w:r w:rsidRPr="00E753E4">
        <w:rPr>
          <w:rFonts w:eastAsiaTheme="minorEastAsia"/>
          <w:bCs/>
          <w:lang w:val="en-US"/>
        </w:rPr>
        <w:t xml:space="preserve">As part of </w:t>
      </w:r>
      <w:r>
        <w:rPr>
          <w:rFonts w:eastAsiaTheme="minorEastAsia"/>
          <w:bCs/>
          <w:lang w:val="en-US"/>
        </w:rPr>
        <w:t>an</w:t>
      </w:r>
      <w:r w:rsidRPr="00E753E4">
        <w:rPr>
          <w:rFonts w:eastAsiaTheme="minorEastAsia"/>
          <w:bCs/>
          <w:lang w:val="en-US"/>
        </w:rPr>
        <w:t xml:space="preserve"> ongoing meta-analysis on </w:t>
      </w:r>
      <w:r>
        <w:rPr>
          <w:rFonts w:eastAsiaTheme="minorEastAsia"/>
          <w:bCs/>
          <w:lang w:val="en-US"/>
        </w:rPr>
        <w:t>SPE using SPMT</w:t>
      </w:r>
      <w:r w:rsidRPr="00E753E4">
        <w:rPr>
          <w:rFonts w:eastAsiaTheme="minorEastAsia"/>
          <w:bCs/>
          <w:lang w:val="en-US"/>
        </w:rPr>
        <w:t xml:space="preserve"> (see pre-registration on</w:t>
      </w:r>
      <w:r>
        <w:rPr>
          <w:rFonts w:eastAsiaTheme="minorEastAsia"/>
          <w:bCs/>
          <w:lang w:val="en-US"/>
        </w:rPr>
        <w:t xml:space="preserve"> </w:t>
      </w:r>
      <w:r w:rsidRPr="000456DA">
        <w:rPr>
          <w:rFonts w:eastAsiaTheme="minorEastAsia"/>
          <w:bCs/>
          <w:lang w:val="en-US"/>
        </w:rPr>
        <w:t>https://osf.io/euqmf</w:t>
      </w:r>
      <w:r w:rsidRPr="00E753E4">
        <w:rPr>
          <w:rFonts w:eastAsiaTheme="minorEastAsia"/>
          <w:bCs/>
          <w:lang w:val="en-US"/>
        </w:rPr>
        <w:t xml:space="preserve">), we identified </w:t>
      </w:r>
      <w:r>
        <w:rPr>
          <w:rFonts w:eastAsiaTheme="minorEastAsia"/>
          <w:bCs/>
          <w:lang w:val="en-US"/>
        </w:rPr>
        <w:t xml:space="preserve">other </w:t>
      </w:r>
      <w:r w:rsidR="00067D40">
        <w:rPr>
          <w:rFonts w:eastAsiaTheme="minorEastAsia"/>
          <w:bCs/>
          <w:lang w:val="en-US"/>
        </w:rPr>
        <w:t>13</w:t>
      </w:r>
      <w:r>
        <w:rPr>
          <w:rFonts w:eastAsiaTheme="minorEastAsia"/>
          <w:bCs/>
          <w:lang w:val="en-US"/>
        </w:rPr>
        <w:t xml:space="preserve"> papers that have potential usable datasets for this study</w:t>
      </w:r>
      <w:r w:rsidRPr="00E753E4">
        <w:rPr>
          <w:rFonts w:eastAsiaTheme="minorEastAsia"/>
          <w:bCs/>
          <w:lang w:val="en-US"/>
        </w:rPr>
        <w:t>.</w:t>
      </w:r>
      <w:r>
        <w:rPr>
          <w:rFonts w:eastAsiaTheme="minorEastAsia"/>
          <w:bCs/>
          <w:lang w:val="en-US"/>
        </w:rPr>
        <w:t xml:space="preserve"> </w:t>
      </w:r>
      <w:r w:rsidRPr="00E753E4">
        <w:rPr>
          <w:rFonts w:eastAsiaTheme="minorEastAsia"/>
          <w:bCs/>
          <w:lang w:val="en-US"/>
        </w:rPr>
        <w:t xml:space="preserve">These papers were </w:t>
      </w:r>
      <w:r>
        <w:rPr>
          <w:rFonts w:eastAsiaTheme="minorEastAsia"/>
          <w:bCs/>
          <w:lang w:val="en-US"/>
        </w:rPr>
        <w:t>selected</w:t>
      </w:r>
      <w:r w:rsidRPr="00E753E4">
        <w:rPr>
          <w:rFonts w:eastAsiaTheme="minorEastAsia"/>
          <w:bCs/>
          <w:lang w:val="en-US"/>
        </w:rPr>
        <w:t xml:space="preserve"> based on </w:t>
      </w:r>
      <w:r>
        <w:rPr>
          <w:rFonts w:eastAsiaTheme="minorEastAsia"/>
          <w:bCs/>
          <w:lang w:val="en-US"/>
        </w:rPr>
        <w:t>the</w:t>
      </w:r>
      <w:r w:rsidRPr="00E753E4">
        <w:rPr>
          <w:rFonts w:eastAsiaTheme="minorEastAsia"/>
          <w:bCs/>
          <w:lang w:val="en-US"/>
        </w:rPr>
        <w:t xml:space="preserve"> selection criteria:</w:t>
      </w:r>
    </w:p>
    <w:p w14:paraId="5FFFCED4"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5245DE31" w:rsidR="006C4880" w:rsidRPr="00F23FCC" w:rsidRDefault="006C4880" w:rsidP="006C4880">
      <w:pPr>
        <w:widowControl w:val="0"/>
        <w:ind w:firstLineChars="100" w:firstLine="240"/>
        <w:rPr>
          <w:rFonts w:eastAsiaTheme="minorEastAsia"/>
          <w:bCs/>
          <w:color w:val="000000" w:themeColor="text1"/>
          <w:lang w:val="en-US"/>
        </w:rPr>
      </w:pPr>
      <w:r w:rsidRPr="00F23FCC">
        <w:rPr>
          <w:rFonts w:eastAsiaTheme="minorEastAsia"/>
          <w:bCs/>
          <w:color w:val="000000" w:themeColor="text1"/>
          <w:lang w:val="en-US"/>
        </w:rPr>
        <w:t xml:space="preserve">During our investigation, we discovered that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 </w:instrTex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EN.CITE.DATA </w:instrText>
      </w:r>
      <w:r w:rsidRPr="00F23FCC">
        <w:rPr>
          <w:rFonts w:eastAsiaTheme="minorEastAsia"/>
          <w:bCs/>
          <w:color w:val="000000" w:themeColor="text1"/>
          <w:lang w:val="en-US"/>
        </w:rPr>
      </w:r>
      <w:r w:rsidRPr="00F23FCC">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6</w:t>
      </w:r>
      <w:r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4"/>
      <w:commentRangeStart w:id="25"/>
      <w:r w:rsidR="00067D40">
        <w:rPr>
          <w:rFonts w:eastAsiaTheme="minorEastAsia"/>
          <w:bCs/>
          <w:color w:val="000000" w:themeColor="text1"/>
          <w:lang w:val="en-US"/>
        </w:rPr>
        <w:t>data</w:t>
      </w:r>
      <w:commentRangeEnd w:id="24"/>
      <w:r w:rsidR="00067D40">
        <w:rPr>
          <w:rStyle w:val="a6"/>
        </w:rPr>
        <w:commentReference w:id="24"/>
      </w:r>
      <w:commentRangeEnd w:id="25"/>
      <w:r w:rsidR="008818E8">
        <w:rPr>
          <w:rStyle w:val="a6"/>
        </w:rPr>
        <w:commentReference w:id="25"/>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 </w:instrTex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EN.CITE.DATA </w:instrText>
      </w:r>
      <w:r w:rsidR="008818E8">
        <w:rPr>
          <w:rFonts w:eastAsiaTheme="minorEastAsia"/>
          <w:bCs/>
          <w:color w:val="000000" w:themeColor="text1"/>
          <w:lang w:val="en-US"/>
        </w:rPr>
      </w:r>
      <w:r w:rsidR="008818E8">
        <w:rPr>
          <w:rFonts w:eastAsiaTheme="minorEastAsia"/>
          <w:bCs/>
          <w:color w:val="000000" w:themeColor="text1"/>
          <w:lang w:val="en-US"/>
        </w:rPr>
        <w:fldChar w:fldCharType="end"/>
      </w:r>
      <w:r w:rsidR="008818E8">
        <w:rPr>
          <w:rFonts w:eastAsiaTheme="minorEastAsia"/>
          <w:bCs/>
          <w:color w:val="000000" w:themeColor="text1"/>
          <w:lang w:val="en-US"/>
        </w:rPr>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Pr="00F23FCC">
        <w:rPr>
          <w:rFonts w:eastAsiaTheme="minorEastAsia"/>
          <w:bCs/>
          <w:color w:val="000000" w:themeColor="text1"/>
          <w:lang w:val="en-US"/>
        </w:rPr>
        <w:t xml:space="preserve">two papers provided us only with descriptive results, which unfortunately could not be used for calculating reliability </w:t>
      </w:r>
      <w:r w:rsidRPr="00F23FCC">
        <w:rPr>
          <w:rFonts w:eastAsiaTheme="minorEastAsia"/>
          <w:bCs/>
          <w:color w:val="000000" w:themeColor="text1"/>
          <w:lang w:val="en-US"/>
        </w:rPr>
        <w:fldChar w:fldCharType="begin"/>
      </w:r>
      <w:r w:rsidRPr="00F23FCC">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Pr="00F23FCC">
        <w:rPr>
          <w:rFonts w:eastAsiaTheme="minorEastAsia"/>
          <w:bCs/>
          <w:color w:val="000000" w:themeColor="text1"/>
          <w:lang w:val="en-US"/>
        </w:rPr>
        <w:t>ne article referred to data being shared on the Open Science Framework (OSF) platform (</w:t>
      </w:r>
      <w:hyperlink r:id="rId14" w:tgtFrame="_new" w:history="1">
        <w:r w:rsidRPr="00F23FCC">
          <w:rPr>
            <w:rFonts w:eastAsiaTheme="minorEastAsia"/>
            <w:bCs/>
            <w:color w:val="000000" w:themeColor="text1"/>
            <w:lang w:val="en-US"/>
          </w:rPr>
          <w:t>https://osf.io/pcv3u/</w:t>
        </w:r>
      </w:hyperlink>
      <w:r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067D40" w:rsidRPr="00F23FCC">
        <w:rPr>
          <w:rFonts w:eastAsiaTheme="minorEastAsia"/>
          <w:bCs/>
          <w:color w:val="000000" w:themeColor="text1"/>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color w:val="000000" w:themeColor="text1"/>
          <w:lang w:val="en-US"/>
        </w:rPr>
        <w:t>(Bukowski et al., 2021)</w:t>
      </w:r>
      <w:r w:rsidR="00067D40" w:rsidRPr="00F23FCC">
        <w:rPr>
          <w:rFonts w:eastAsiaTheme="minorEastAsia"/>
          <w:bCs/>
          <w:color w:val="000000" w:themeColor="text1"/>
          <w:lang w:val="en-US"/>
        </w:rPr>
        <w:fldChar w:fldCharType="end"/>
      </w:r>
      <w:r w:rsidRPr="00F23FCC">
        <w:rPr>
          <w:rFonts w:eastAsiaTheme="minorEastAsia"/>
          <w:bCs/>
          <w:color w:val="000000" w:themeColor="text1"/>
          <w:lang w:val="en-US"/>
        </w:rPr>
        <w:t xml:space="preserve">, but we found that the repository was empty, making it ineligible for inclusion in the current analysis. </w:t>
      </w:r>
    </w:p>
    <w:p w14:paraId="4BDC5CC1" w14:textId="560F8997" w:rsidR="00FF4222" w:rsidRPr="000456DA" w:rsidRDefault="00112854" w:rsidP="00497908">
      <w:pPr>
        <w:widowControl w:val="0"/>
        <w:ind w:firstLineChars="100" w:firstLine="240"/>
        <w:rPr>
          <w:rFonts w:eastAsiaTheme="minorEastAsia"/>
          <w:bCs/>
          <w:lang w:val="en-US"/>
        </w:rPr>
        <w:sectPr w:rsidR="00FF4222" w:rsidRPr="000456DA" w:rsidSect="00AB050F">
          <w:footerReference w:type="default" r:id="rId15"/>
          <w:footerReference w:type="first" r:id="rId16"/>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sidR="0071766D">
        <w:rPr>
          <w:rFonts w:eastAsiaTheme="minorEastAsia"/>
          <w:bCs/>
          <w:lang w:val="en-US"/>
        </w:rPr>
        <w:t>9</w:t>
      </w:r>
      <w:r w:rsidRPr="00112854">
        <w:rPr>
          <w:rFonts w:eastAsiaTheme="minorEastAsia"/>
          <w:bCs/>
          <w:lang w:val="en-US"/>
        </w:rPr>
        <w:t xml:space="preserve"> papers, along with </w:t>
      </w:r>
      <w:r w:rsidR="00067D40">
        <w:rPr>
          <w:rFonts w:eastAsiaTheme="minorEastAsia"/>
          <w:bCs/>
          <w:lang w:val="en-US"/>
        </w:rPr>
        <w:t>2</w:t>
      </w:r>
      <w:r w:rsidRPr="00112854">
        <w:rPr>
          <w:rFonts w:eastAsiaTheme="minorEastAsia"/>
          <w:bCs/>
          <w:lang w:val="en-US"/>
        </w:rPr>
        <w:t xml:space="preserve"> project datasets contributed by our </w:t>
      </w:r>
      <w:r w:rsidR="00E6364D" w:rsidRPr="000456DA">
        <w:rPr>
          <w:rFonts w:eastAsiaTheme="minorEastAsia"/>
          <w:bCs/>
          <w:lang w:val="en-US"/>
        </w:rPr>
        <w:t xml:space="preserve">laboratory </w:t>
      </w:r>
      <w:r w:rsidRPr="00112854">
        <w:rPr>
          <w:rFonts w:eastAsiaTheme="minorEastAsia"/>
          <w:bCs/>
          <w:lang w:val="en-US"/>
        </w:rPr>
        <w:t>and collaborator. It is important to highlight that the research culture we encountered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from the baseline condition without incorporating </w:t>
      </w:r>
      <w:r w:rsidR="00497908">
        <w:rPr>
          <w:rFonts w:eastAsiaTheme="minorEastAsia"/>
          <w:bCs/>
          <w:lang w:val="en-US"/>
        </w:rPr>
        <w:t>these</w:t>
      </w:r>
      <w:r w:rsidRPr="00112854">
        <w:rPr>
          <w:rFonts w:eastAsiaTheme="minorEastAsia"/>
          <w:bCs/>
          <w:lang w:val="en-US"/>
        </w:rPr>
        <w:t xml:space="preserve"> additional </w:t>
      </w:r>
      <w:r w:rsidR="00E6364D" w:rsidRPr="00112854">
        <w:rPr>
          <w:rFonts w:eastAsiaTheme="minorEastAsia"/>
          <w:bCs/>
          <w:lang w:val="en-US"/>
        </w:rPr>
        <w:t xml:space="preserve">independent </w:t>
      </w:r>
      <w:r w:rsidRPr="00112854">
        <w:rPr>
          <w:rFonts w:eastAsiaTheme="minorEastAsia"/>
          <w:bCs/>
          <w:lang w:val="en-US"/>
        </w:rPr>
        <w:t>variables</w:t>
      </w:r>
      <w:r w:rsidR="00497908">
        <w:rPr>
          <w:rFonts w:eastAsiaTheme="minorEastAsia"/>
          <w:bCs/>
          <w:lang w:val="en-US"/>
        </w:rPr>
        <w:t xml:space="preserve">. </w:t>
      </w:r>
      <w:r w:rsidR="008B3769">
        <w:rPr>
          <w:rFonts w:eastAsiaTheme="minorEastAsia"/>
          <w:bCs/>
          <w:lang w:val="en-US"/>
        </w:rPr>
        <w:t>Thus,</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18 independent studies from these 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repeated measures. If a publicly available datasets did not include repeated measurements using SPMT within a specified time interval, we excluded it from calculating the Intraclass Correlation Coefficient (ICC) and only considered 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14"/>
        <w:gridCol w:w="978"/>
        <w:gridCol w:w="1594"/>
        <w:gridCol w:w="1585"/>
        <w:gridCol w:w="705"/>
        <w:gridCol w:w="696"/>
        <w:gridCol w:w="857"/>
        <w:gridCol w:w="411"/>
        <w:gridCol w:w="545"/>
        <w:gridCol w:w="304"/>
        <w:gridCol w:w="418"/>
        <w:gridCol w:w="304"/>
        <w:gridCol w:w="304"/>
        <w:gridCol w:w="483"/>
        <w:gridCol w:w="528"/>
      </w:tblGrid>
      <w:tr w:rsidR="006A5A80" w:rsidRPr="006A5A80" w14:paraId="2391AE04" w14:textId="77777777" w:rsidTr="00BD3453">
        <w:trPr>
          <w:trHeight w:val="292"/>
          <w:tblHeader/>
        </w:trPr>
        <w:tc>
          <w:tcPr>
            <w:tcW w:w="1103"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5"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856"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0"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4"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BD3453">
        <w:trPr>
          <w:trHeight w:val="126"/>
          <w:tblHeader/>
        </w:trPr>
        <w:tc>
          <w:tcPr>
            <w:tcW w:w="1103"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5"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77"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6"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03"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8"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7"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BD3453">
        <w:trPr>
          <w:trHeight w:val="449"/>
        </w:trPr>
        <w:tc>
          <w:tcPr>
            <w:tcW w:w="1103"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5"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77"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6"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603"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8"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5"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7"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BD3453">
        <w:trPr>
          <w:trHeight w:val="810"/>
        </w:trPr>
        <w:tc>
          <w:tcPr>
            <w:tcW w:w="1103"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5"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6"/>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6"/>
            <w:r w:rsidR="00B13EF6">
              <w:rPr>
                <w:rStyle w:val="a6"/>
                <w:kern w:val="0"/>
                <w:lang w:val="en" w:eastAsia="zh-CN"/>
              </w:rPr>
              <w:commentReference w:id="26"/>
            </w:r>
          </w:p>
        </w:tc>
        <w:tc>
          <w:tcPr>
            <w:tcW w:w="268"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BD3453">
        <w:trPr>
          <w:trHeight w:val="810"/>
        </w:trPr>
        <w:tc>
          <w:tcPr>
            <w:tcW w:w="1103"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5"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77"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03"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68"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BD3453">
        <w:trPr>
          <w:trHeight w:val="505"/>
        </w:trPr>
        <w:tc>
          <w:tcPr>
            <w:tcW w:w="1103"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5"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603" w:type="pct"/>
            <w:vAlign w:val="center"/>
            <w:hideMark/>
          </w:tcPr>
          <w:p w14:paraId="16BBE7C0"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Mood (Session)</w:t>
            </w:r>
          </w:p>
        </w:tc>
        <w:tc>
          <w:tcPr>
            <w:tcW w:w="268"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5"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326"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7"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1"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BD3453">
        <w:trPr>
          <w:trHeight w:val="455"/>
        </w:trPr>
        <w:tc>
          <w:tcPr>
            <w:tcW w:w="1103"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5"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77"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603"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8" w:type="pct"/>
            <w:vAlign w:val="center"/>
          </w:tcPr>
          <w:p w14:paraId="5B4B3068" w14:textId="77777777" w:rsidR="00954E3A" w:rsidRPr="006A5A80" w:rsidRDefault="00954E3A" w:rsidP="00954E3A">
            <w:pPr>
              <w:widowControl w:val="0"/>
              <w:jc w:val="center"/>
              <w:rPr>
                <w:rFonts w:eastAsia="PMingLiU"/>
                <w:sz w:val="16"/>
                <w:szCs w:val="16"/>
              </w:rPr>
            </w:pPr>
          </w:p>
        </w:tc>
        <w:tc>
          <w:tcPr>
            <w:tcW w:w="265"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1"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BD3453">
        <w:trPr>
          <w:trHeight w:val="509"/>
        </w:trPr>
        <w:tc>
          <w:tcPr>
            <w:tcW w:w="1103"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03"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8"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BD3453">
        <w:trPr>
          <w:trHeight w:val="509"/>
        </w:trPr>
        <w:tc>
          <w:tcPr>
            <w:tcW w:w="1103"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77"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6"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03"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8"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7"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BD3453">
        <w:trPr>
          <w:trHeight w:val="640"/>
        </w:trPr>
        <w:tc>
          <w:tcPr>
            <w:tcW w:w="1103"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27"/>
            <w:commentRangeStart w:id="28"/>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27"/>
            <w:r w:rsidR="00DD3690">
              <w:rPr>
                <w:rStyle w:val="a6"/>
                <w:kern w:val="0"/>
                <w:lang w:eastAsia="zh-CN"/>
              </w:rPr>
              <w:commentReference w:id="27"/>
            </w:r>
            <w:commentRangeEnd w:id="28"/>
            <w:r w:rsidR="007D2E0B">
              <w:rPr>
                <w:rStyle w:val="a6"/>
                <w:kern w:val="0"/>
                <w:lang w:eastAsia="zh-CN"/>
              </w:rPr>
              <w:commentReference w:id="28"/>
            </w:r>
          </w:p>
        </w:tc>
        <w:tc>
          <w:tcPr>
            <w:tcW w:w="268"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BD3453">
        <w:trPr>
          <w:trHeight w:val="640"/>
        </w:trPr>
        <w:tc>
          <w:tcPr>
            <w:tcW w:w="1103"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320B345" w14:textId="77777777" w:rsidR="00954E3A" w:rsidRPr="006A5A80" w:rsidRDefault="00954E3A" w:rsidP="00954E3A">
            <w:pPr>
              <w:widowControl w:val="0"/>
              <w:jc w:val="center"/>
              <w:rPr>
                <w:rFonts w:eastAsia="PMingLiU"/>
                <w:sz w:val="16"/>
                <w:szCs w:val="16"/>
              </w:rPr>
            </w:pPr>
          </w:p>
        </w:tc>
        <w:tc>
          <w:tcPr>
            <w:tcW w:w="268"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BD3453">
        <w:trPr>
          <w:trHeight w:val="640"/>
        </w:trPr>
        <w:tc>
          <w:tcPr>
            <w:tcW w:w="1103"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77"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03" w:type="pct"/>
            <w:vAlign w:val="center"/>
          </w:tcPr>
          <w:p w14:paraId="04BA5123" w14:textId="77777777" w:rsidR="00954E3A" w:rsidRPr="006A5A80" w:rsidRDefault="00954E3A" w:rsidP="00954E3A">
            <w:pPr>
              <w:widowControl w:val="0"/>
              <w:jc w:val="center"/>
              <w:rPr>
                <w:rFonts w:eastAsia="PMingLiU"/>
                <w:sz w:val="16"/>
                <w:szCs w:val="16"/>
              </w:rPr>
            </w:pPr>
          </w:p>
        </w:tc>
        <w:tc>
          <w:tcPr>
            <w:tcW w:w="268"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BD3453">
        <w:trPr>
          <w:trHeight w:val="640"/>
        </w:trPr>
        <w:tc>
          <w:tcPr>
            <w:tcW w:w="1103"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77"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954A272" w14:textId="77777777" w:rsidR="00954E3A" w:rsidRPr="006A5A80" w:rsidRDefault="00954E3A" w:rsidP="00954E3A">
            <w:pPr>
              <w:widowControl w:val="0"/>
              <w:jc w:val="center"/>
              <w:rPr>
                <w:rFonts w:eastAsia="PMingLiU"/>
                <w:sz w:val="16"/>
                <w:szCs w:val="16"/>
              </w:rPr>
            </w:pPr>
          </w:p>
        </w:tc>
        <w:tc>
          <w:tcPr>
            <w:tcW w:w="268"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commentRangeStart w:id="29"/>
      <w:commentRangeStart w:id="30"/>
      <w:commentRangeStart w:id="31"/>
      <w:tr w:rsidR="006A5A80" w:rsidRPr="006A5A80" w14:paraId="363E6B8D" w14:textId="77777777" w:rsidTr="00BD3453">
        <w:trPr>
          <w:trHeight w:val="557"/>
        </w:trPr>
        <w:tc>
          <w:tcPr>
            <w:tcW w:w="1103"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29"/>
            <w:r w:rsidR="00DD3690">
              <w:rPr>
                <w:rStyle w:val="a6"/>
                <w:kern w:val="0"/>
                <w:lang w:eastAsia="zh-CN"/>
              </w:rPr>
              <w:commentReference w:id="29"/>
            </w:r>
            <w:commentRangeEnd w:id="30"/>
            <w:r w:rsidR="007D2E0B">
              <w:rPr>
                <w:rStyle w:val="a6"/>
                <w:kern w:val="0"/>
                <w:lang w:eastAsia="zh-CN"/>
              </w:rPr>
              <w:commentReference w:id="30"/>
            </w:r>
            <w:commentRangeEnd w:id="31"/>
            <w:r w:rsidR="00703ABB">
              <w:rPr>
                <w:rStyle w:val="a6"/>
                <w:kern w:val="0"/>
                <w:lang w:val="en" w:eastAsia="zh-CN"/>
              </w:rPr>
              <w:commentReference w:id="31"/>
            </w:r>
          </w:p>
        </w:tc>
        <w:tc>
          <w:tcPr>
            <w:tcW w:w="19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8"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BD3453">
        <w:trPr>
          <w:trHeight w:val="595"/>
        </w:trPr>
        <w:tc>
          <w:tcPr>
            <w:tcW w:w="1103"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77"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8"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BD3453">
        <w:trPr>
          <w:trHeight w:val="551"/>
        </w:trPr>
        <w:tc>
          <w:tcPr>
            <w:tcW w:w="1103"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77"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8"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BD3453">
        <w:trPr>
          <w:trHeight w:val="482"/>
        </w:trPr>
        <w:tc>
          <w:tcPr>
            <w:tcW w:w="1103"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33AFD948"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Feedback</w:t>
            </w:r>
          </w:p>
        </w:tc>
        <w:tc>
          <w:tcPr>
            <w:tcW w:w="268" w:type="pct"/>
            <w:vAlign w:val="center"/>
          </w:tcPr>
          <w:p w14:paraId="7C2F6570" w14:textId="77777777" w:rsidR="00954E3A" w:rsidRPr="00BD3453" w:rsidRDefault="00954E3A" w:rsidP="00954E3A">
            <w:pPr>
              <w:widowControl w:val="0"/>
              <w:jc w:val="center"/>
              <w:rPr>
                <w:rFonts w:eastAsiaTheme="minorEastAsia"/>
                <w:sz w:val="16"/>
                <w:szCs w:val="16"/>
                <w:u w:val="single"/>
                <w:lang w:eastAsia="zh-CN"/>
              </w:rPr>
            </w:pPr>
            <w:r w:rsidRPr="00BD3453">
              <w:rPr>
                <w:rFonts w:eastAsiaTheme="minorEastAsia"/>
                <w:sz w:val="16"/>
                <w:szCs w:val="16"/>
                <w:u w:val="single"/>
                <w:lang w:eastAsia="zh-CN"/>
              </w:rPr>
              <w:t>Sex</w:t>
            </w: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BD3453">
        <w:trPr>
          <w:trHeight w:val="482"/>
        </w:trPr>
        <w:tc>
          <w:tcPr>
            <w:tcW w:w="1103"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5"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BD3453" w:rsidRDefault="00954E3A" w:rsidP="00954E3A">
            <w:pPr>
              <w:widowControl w:val="0"/>
              <w:jc w:val="center"/>
              <w:rPr>
                <w:rFonts w:eastAsiaTheme="minorEastAsia"/>
                <w:sz w:val="16"/>
                <w:szCs w:val="16"/>
                <w:u w:val="single"/>
                <w:lang w:eastAsia="zh-CN"/>
              </w:rPr>
            </w:pPr>
            <w:r w:rsidRPr="00BD3453">
              <w:rPr>
                <w:rFonts w:eastAsiaTheme="minorEastAsia"/>
                <w:sz w:val="16"/>
                <w:szCs w:val="16"/>
                <w:u w:val="single"/>
                <w:lang w:eastAsia="zh-CN"/>
              </w:rPr>
              <w:t>Mele; Female</w:t>
            </w:r>
          </w:p>
        </w:tc>
        <w:tc>
          <w:tcPr>
            <w:tcW w:w="268"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BD3453">
        <w:trPr>
          <w:trHeight w:val="482"/>
        </w:trPr>
        <w:tc>
          <w:tcPr>
            <w:tcW w:w="1103"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5"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77"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BD3453" w:rsidRDefault="00954E3A" w:rsidP="00954E3A">
            <w:pPr>
              <w:widowControl w:val="0"/>
              <w:jc w:val="center"/>
              <w:rPr>
                <w:rFonts w:eastAsia="PMingLiU"/>
                <w:sz w:val="16"/>
                <w:szCs w:val="16"/>
                <w:u w:val="single"/>
              </w:rPr>
            </w:pPr>
            <w:r w:rsidRPr="00BD3453">
              <w:rPr>
                <w:rFonts w:eastAsiaTheme="minorEastAsia"/>
                <w:sz w:val="16"/>
                <w:szCs w:val="16"/>
                <w:u w:val="single"/>
                <w:lang w:eastAsia="zh-CN"/>
              </w:rPr>
              <w:t>Mele; Female</w:t>
            </w:r>
          </w:p>
        </w:tc>
        <w:tc>
          <w:tcPr>
            <w:tcW w:w="268"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BD3453">
        <w:trPr>
          <w:trHeight w:val="482"/>
        </w:trPr>
        <w:tc>
          <w:tcPr>
            <w:tcW w:w="1103"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5"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03"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68"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C69EE58" w:rsidR="00FF4222" w:rsidRPr="00B13EF6" w:rsidRDefault="00AE693C" w:rsidP="00BD3453">
      <w:pPr>
        <w:widowControl w:val="0"/>
        <w:ind w:left="160" w:hangingChars="100" w:hanging="16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32"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r w:rsidR="00BD3453" w:rsidRPr="00BD3453">
        <w:t xml:space="preserve"> </w:t>
      </w:r>
      <w:r w:rsidR="00BD3453" w:rsidRPr="00BD3453">
        <w:rPr>
          <w:rFonts w:eastAsia="PMingLiU"/>
          <w:sz w:val="16"/>
          <w:szCs w:val="16"/>
          <w:lang w:val="en-US"/>
        </w:rPr>
        <w:t>Similarly, if there are other variables besides the baseline condition, indicated by underscores, we will only use these variables as stratification variables during split-half and not conduct further analysis.</w:t>
      </w:r>
    </w:p>
    <w:p w14:paraId="2B44FE94" w14:textId="6C037994" w:rsidR="001C2F36" w:rsidRDefault="004F59A0" w:rsidP="001C2F36">
      <w:pPr>
        <w:pStyle w:val="1"/>
        <w:keepNext w:val="0"/>
        <w:keepLines w:val="0"/>
        <w:spacing w:after="240"/>
        <w:rPr>
          <w:rFonts w:eastAsia="Calibri"/>
          <w:b/>
          <w:sz w:val="42"/>
          <w:szCs w:val="42"/>
        </w:rPr>
      </w:pPr>
      <w:bookmarkStart w:id="33" w:name="_c49m91hl2d4p" w:colFirst="0" w:colLast="0"/>
      <w:bookmarkStart w:id="34" w:name="_5w73peohap5j" w:colFirst="0" w:colLast="0"/>
      <w:bookmarkStart w:id="35" w:name="_Toc139718157"/>
      <w:bookmarkStart w:id="36" w:name="_Toc129530161"/>
      <w:bookmarkStart w:id="37" w:name="_Toc129530191"/>
      <w:bookmarkEnd w:id="32"/>
      <w:bookmarkEnd w:id="33"/>
      <w:bookmarkEnd w:id="34"/>
      <w:r w:rsidRPr="00CB0739">
        <w:rPr>
          <w:rFonts w:eastAsia="Calibri"/>
          <w:b/>
          <w:sz w:val="42"/>
          <w:szCs w:val="42"/>
        </w:rPr>
        <w:lastRenderedPageBreak/>
        <w:t xml:space="preserve">3 </w:t>
      </w:r>
      <w:r w:rsidR="00BA0079" w:rsidRPr="00CB0739">
        <w:rPr>
          <w:rFonts w:eastAsia="Calibri"/>
          <w:b/>
          <w:sz w:val="42"/>
          <w:szCs w:val="42"/>
        </w:rPr>
        <w:t>Analysis</w:t>
      </w:r>
      <w:bookmarkEnd w:id="35"/>
      <w:r w:rsidR="00BA0079" w:rsidRPr="00CB0739">
        <w:rPr>
          <w:rFonts w:eastAsia="Calibri"/>
          <w:b/>
          <w:sz w:val="42"/>
          <w:szCs w:val="42"/>
        </w:rPr>
        <w:t xml:space="preserve"> </w:t>
      </w:r>
      <w:bookmarkStart w:id="38" w:name="_Toc139718158"/>
      <w:bookmarkEnd w:id="36"/>
      <w:bookmarkEnd w:id="37"/>
    </w:p>
    <w:p w14:paraId="5C5C0C30" w14:textId="0ED331C1"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39"/>
      <w:commentRangeStart w:id="40"/>
      <w:r>
        <w:rPr>
          <w:lang w:val="en-US"/>
        </w:rPr>
        <w:t>OSF</w:t>
      </w:r>
      <w:commentRangeEnd w:id="39"/>
      <w:r>
        <w:rPr>
          <w:rStyle w:val="a6"/>
        </w:rPr>
        <w:commentReference w:id="39"/>
      </w:r>
      <w:commentRangeEnd w:id="40"/>
      <w:r w:rsidR="007D2E0B">
        <w:rPr>
          <w:rStyle w:val="a6"/>
        </w:rPr>
        <w:commentReference w:id="40"/>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Pr="0071766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6C716094" w14:textId="4F4C81F6" w:rsidR="00633D69" w:rsidRDefault="00A83745" w:rsidP="004742C6">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we performed data cleaning and calculated the six outcome variables as well as the SPE measures computed using different baseline conditions and outcome variables. Finally, we calculated the split-half reliabilities of these SPE measures. If there were test-retest data, we would also calculate the test-retest reliability using the intraclass correlation coefficient (ICC2, ICC2k).</w:t>
      </w:r>
      <w:r>
        <w:rPr>
          <w:rFonts w:eastAsiaTheme="minorEastAsia"/>
          <w:bCs/>
          <w:lang w:val="en-US"/>
        </w:rPr>
        <w:t xml:space="preserve"> </w:t>
      </w:r>
    </w:p>
    <w:p w14:paraId="45228A64" w14:textId="77777777" w:rsidR="004742C6" w:rsidRDefault="004742C6" w:rsidP="004742C6">
      <w:pPr>
        <w:widowControl w:val="0"/>
        <w:ind w:firstLineChars="100" w:firstLine="240"/>
        <w:rPr>
          <w:rFonts w:eastAsiaTheme="minorEastAsia"/>
          <w:bCs/>
          <w:lang w:val="en-US"/>
        </w:rPr>
      </w:pPr>
    </w:p>
    <w:p w14:paraId="28EA9080" w14:textId="09E10ED9" w:rsidR="00633D69" w:rsidRDefault="004742C6" w:rsidP="004742C6">
      <w:pPr>
        <w:widowControl w:val="0"/>
        <w:ind w:firstLineChars="100" w:firstLine="240"/>
        <w:jc w:val="center"/>
        <w:rPr>
          <w:rFonts w:eastAsiaTheme="minorEastAsia"/>
          <w:bCs/>
          <w:lang w:val="en-US"/>
        </w:rPr>
      </w:pPr>
      <w:r>
        <w:rPr>
          <w:noProof/>
        </w:rPr>
        <w:drawing>
          <wp:inline distT="0" distB="0" distL="0" distR="0" wp14:anchorId="5C477463" wp14:editId="15E537E1">
            <wp:extent cx="5943600" cy="334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B22972" w14:textId="2D488C27" w:rsidR="001C2F36" w:rsidRPr="00213235" w:rsidRDefault="00A83745" w:rsidP="00A83745">
      <w:pPr>
        <w:spacing w:beforeLines="100" w:before="240" w:afterLines="100" w:after="240"/>
        <w:jc w:val="center"/>
        <w:rPr>
          <w:rFonts w:eastAsia="MS Mincho"/>
          <w:bCs/>
          <w:sz w:val="22"/>
          <w:szCs w:val="22"/>
          <w:lang w:val="en-US"/>
        </w:rPr>
      </w:pPr>
      <w:commentRangeStart w:id="41"/>
      <w:commentRangeStart w:id="42"/>
      <w:r w:rsidRPr="00805BA1">
        <w:rPr>
          <w:rFonts w:eastAsia="MS Mincho"/>
          <w:b/>
          <w:lang w:val="en-US" w:eastAsia="de-DE"/>
        </w:rPr>
        <w:t xml:space="preserve">Fig. 2 </w:t>
      </w:r>
      <w:r w:rsidRPr="00805BA1">
        <w:rPr>
          <w:rFonts w:eastAsia="MS Mincho"/>
          <w:bCs/>
          <w:lang w:val="en-US" w:eastAsia="de-DE"/>
        </w:rPr>
        <w:t>Roadmap of the current study.</w:t>
      </w:r>
      <w:commentRangeEnd w:id="41"/>
      <w:r w:rsidR="00633D69">
        <w:rPr>
          <w:rStyle w:val="a6"/>
        </w:rPr>
        <w:commentReference w:id="41"/>
      </w:r>
      <w:commentRangeEnd w:id="42"/>
      <w:r w:rsidR="004742C6">
        <w:rPr>
          <w:rStyle w:val="a6"/>
        </w:rPr>
        <w:commentReference w:id="42"/>
      </w:r>
      <w:r w:rsidR="00213235">
        <w:rPr>
          <w:rFonts w:eastAsia="MS Mincho"/>
          <w:bCs/>
          <w:lang w:val="en-US" w:eastAsia="de-DE"/>
        </w:rPr>
        <w:t xml:space="preserve"> </w:t>
      </w:r>
      <w:r w:rsidR="00213235" w:rsidRPr="00213235">
        <w:rPr>
          <w:rFonts w:eastAsia="MS Mincho" w:hint="eastAsia"/>
          <w:bCs/>
          <w:i/>
          <w:iCs/>
          <w:sz w:val="22"/>
          <w:szCs w:val="22"/>
          <w:lang w:val="en-US"/>
        </w:rPr>
        <w:t>Note</w:t>
      </w:r>
      <w:r w:rsidR="00213235" w:rsidRPr="00213235">
        <w:rPr>
          <w:rFonts w:eastAsia="MS Mincho"/>
          <w:bCs/>
          <w:i/>
          <w:iCs/>
          <w:sz w:val="22"/>
          <w:szCs w:val="22"/>
          <w:lang w:val="en-US"/>
        </w:rPr>
        <w:t>:</w:t>
      </w:r>
      <w:r w:rsidR="00213235" w:rsidRPr="00213235">
        <w:rPr>
          <w:rFonts w:eastAsia="MS Mincho"/>
          <w:bCs/>
          <w:sz w:val="22"/>
          <w:szCs w:val="22"/>
          <w:lang w:val="en-US"/>
        </w:rPr>
        <w:t xml:space="preserve"> OV denoted outcome variables</w:t>
      </w:r>
    </w:p>
    <w:p w14:paraId="190B18E4" w14:textId="2B698A8A" w:rsidR="001C2F36" w:rsidRPr="001C2F36" w:rsidRDefault="001C2F36" w:rsidP="001C2F36">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A292AC7" w14:textId="1BE045A9" w:rsidR="001C2F36" w:rsidRDefault="001C2F36" w:rsidP="001C2F36">
      <w:pPr>
        <w:ind w:firstLineChars="100" w:firstLine="240"/>
        <w:rPr>
          <w:lang w:val="en-US"/>
        </w:rPr>
      </w:pPr>
      <w:bookmarkStart w:id="43" w:name="_8ky6xw9d7iji" w:colFirst="0" w:colLast="0"/>
      <w:bookmarkEnd w:id="43"/>
      <w:r>
        <w:rPr>
          <w:lang w:val="en-US"/>
        </w:rPr>
        <w:t>In our pre-registration plan, we intended to estimate the drift rate (</w:t>
      </w:r>
      <w:r w:rsidRPr="008A54B2">
        <w:rPr>
          <w:i/>
          <w:iCs/>
          <w:lang w:val="en-US"/>
        </w:rPr>
        <w:t>v</w:t>
      </w:r>
      <w:r>
        <w:rPr>
          <w:lang w:val="en-US"/>
        </w:rPr>
        <w:t>) and starting point (</w:t>
      </w:r>
      <w:r w:rsidRPr="008A54B2">
        <w:rPr>
          <w:i/>
          <w:iCs/>
          <w:lang w:val="en-US"/>
        </w:rPr>
        <w:t>z</w:t>
      </w:r>
      <w:r>
        <w:rPr>
          <w:lang w:val="en-US"/>
        </w:rPr>
        <w:t>) of the drift-diffusion model (DDM) using the “fit</w:t>
      </w:r>
      <w:r w:rsidR="007871BA" w:rsidRPr="007871BA">
        <w:rPr>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lang w:val="en-US"/>
        </w:rPr>
        <w:t>(Lin et al., 2020)</w:t>
      </w:r>
      <w:r>
        <w:rPr>
          <w:lang w:val="en-US"/>
        </w:rPr>
        <w:fldChar w:fldCharType="end"/>
      </w:r>
      <w:r>
        <w:rPr>
          <w:lang w:val="en-US"/>
        </w:rPr>
        <w:t>. This function was a wrapper for the EZ-DDM function</w:t>
      </w:r>
      <w:r w:rsidR="007D2E0B">
        <w:rPr>
          <w:lang w:val="en-US"/>
        </w:rPr>
        <w:t xml:space="preserve"> </w:t>
      </w:r>
      <w:r w:rsidR="007D2E0B">
        <w:rPr>
          <w:lang w:val="en-US"/>
        </w:rPr>
        <w:fldChar w:fldCharType="begin"/>
      </w:r>
      <w:r w:rsidR="007D2E0B">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However, parameter recovery found that this algorithm produces distinct result with the widely adopted </w:t>
      </w:r>
      <w:r w:rsidRPr="00E908FC">
        <w:rPr>
          <w:lang w:val="en-US"/>
        </w:rPr>
        <w:t>HDDM package</w:t>
      </w:r>
      <w:r>
        <w:rPr>
          <w:lang w:val="en-US"/>
        </w:rPr>
        <w:t xml:space="preserve"> (see Supplementary for details). Thus, we used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7D2E0B">
        <w:rPr>
          <w:lang w:val="en-US"/>
        </w:rPr>
        <w:t>.</w:t>
      </w:r>
      <w:r>
        <w:rPr>
          <w:lang w:val="en-US"/>
        </w:rPr>
        <w:t>, which performed much better in parameter recovery. Nevertheless, results from ezDDM can be found in detail in the supplementary materials</w:t>
      </w:r>
      <w:r w:rsidR="00E17822">
        <w:rPr>
          <w:lang w:val="en-US"/>
        </w:rPr>
        <w:t xml:space="preserve"> (see supplementary, figure 1)</w:t>
      </w:r>
      <w:r>
        <w:rPr>
          <w:lang w:val="en-US"/>
        </w:rPr>
        <w:t>.</w:t>
      </w:r>
    </w:p>
    <w:p w14:paraId="3759AF04" w14:textId="14E0455B" w:rsidR="00D35E9C" w:rsidRDefault="00D35E9C" w:rsidP="001C2F36">
      <w:pPr>
        <w:rPr>
          <w:lang w:val="en-US"/>
        </w:rPr>
      </w:pPr>
    </w:p>
    <w:p w14:paraId="75BDB20C" w14:textId="220B4D9E" w:rsidR="00B56ABD" w:rsidRPr="00CB0739" w:rsidRDefault="00CB0739" w:rsidP="00CB0739">
      <w:pPr>
        <w:pStyle w:val="2"/>
        <w:spacing w:after="120"/>
        <w:rPr>
          <w:rFonts w:ascii="Times New Roman" w:hAnsi="Times New Roman"/>
        </w:rPr>
      </w:pPr>
      <w:r w:rsidRPr="00CB0739">
        <w:rPr>
          <w:rFonts w:ascii="Times New Roman" w:hAnsi="Times New Roman"/>
        </w:rPr>
        <w:lastRenderedPageBreak/>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38"/>
      <w:r w:rsidR="00B56ABD" w:rsidRPr="00CB0739">
        <w:rPr>
          <w:rFonts w:ascii="Times New Roman" w:hAnsi="Times New Roman"/>
        </w:rPr>
        <w:t xml:space="preserve"> </w:t>
      </w:r>
    </w:p>
    <w:p w14:paraId="634CEB55" w14:textId="4D439F8F" w:rsidR="00C87380" w:rsidRDefault="004F59A0" w:rsidP="007370B2">
      <w:pPr>
        <w:ind w:firstLineChars="100" w:firstLine="240"/>
        <w:rPr>
          <w:bCs/>
          <w:lang w:val="en-US"/>
        </w:rPr>
      </w:pPr>
      <w:r w:rsidRPr="004F59A0">
        <w:rPr>
          <w:bCs/>
          <w:lang w:val="en-US"/>
        </w:rPr>
        <w:t xml:space="preserve">In total, </w:t>
      </w:r>
      <w:commentRangeStart w:id="44"/>
      <w:commentRangeStart w:id="45"/>
      <w:r w:rsidRPr="004F59A0">
        <w:rPr>
          <w:bCs/>
          <w:lang w:val="en-US"/>
        </w:rPr>
        <w:t>we gathered 18 publicly available datasets</w:t>
      </w:r>
      <w:r w:rsidR="00D35E9C">
        <w:rPr>
          <w:bCs/>
          <w:lang w:val="en-US"/>
        </w:rPr>
        <w:t xml:space="preserve"> from 9 papers and 2 projects</w:t>
      </w:r>
      <w:commentRangeEnd w:id="44"/>
      <w:r w:rsidR="00680609">
        <w:rPr>
          <w:rStyle w:val="a6"/>
        </w:rPr>
        <w:commentReference w:id="44"/>
      </w:r>
      <w:commentRangeEnd w:id="45"/>
      <w:r w:rsidR="007D2E0B">
        <w:rPr>
          <w:rStyle w:val="a6"/>
        </w:rPr>
        <w:commentReference w:id="45"/>
      </w:r>
      <w:r w:rsidRPr="004F59A0">
        <w:rPr>
          <w:bCs/>
          <w:lang w:val="en-US"/>
        </w:rPr>
        <w:t xml:space="preserve">, as mentioned earlier and presented in Table 1. </w:t>
      </w:r>
      <w:r w:rsidR="004B0001">
        <w:rPr>
          <w:bCs/>
          <w:lang w:val="en-US"/>
        </w:rPr>
        <w:t xml:space="preserve">We used the following </w:t>
      </w:r>
      <w:r w:rsidR="00402DE4">
        <w:rPr>
          <w:bCs/>
          <w:lang w:val="en-US"/>
        </w:rPr>
        <w:t xml:space="preserve">exclusion </w:t>
      </w:r>
      <w:r w:rsidR="004B0001">
        <w:rPr>
          <w:bCs/>
          <w:lang w:val="en-US"/>
        </w:rPr>
        <w:t>criteria for data</w:t>
      </w:r>
      <w:r w:rsidR="00402DE4">
        <w:rPr>
          <w:bCs/>
          <w:lang w:val="en-US"/>
        </w:rPr>
        <w:t xml:space="preserve"> preprocessing</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ad"/>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6" w:name="_Toc129530163"/>
      <w:bookmarkStart w:id="47"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48" w:name="_Toc139718159"/>
      <w:bookmarkEnd w:id="46"/>
      <w:bookmarkEnd w:id="47"/>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8"/>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7A305D26" w14:textId="486066D5"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A83745" w:rsidRPr="004B0001">
        <w:rPr>
          <w:lang w:val="en-US"/>
        </w:rPr>
        <w:t xml:space="preserve">Please note that the condition “Other” vary across </w:t>
      </w:r>
      <w:r w:rsidR="00A83745">
        <w:rPr>
          <w:lang w:val="en-US"/>
        </w:rPr>
        <w:t>contrast</w:t>
      </w:r>
      <w:r w:rsidR="00A83745" w:rsidRPr="004B0001">
        <w:rPr>
          <w:lang w:val="en-US"/>
        </w:rPr>
        <w:t xml:space="preserve">, we calculated the SPE for each “Other” condition. More specifically, we calculated the differences for “Self vs </w:t>
      </w:r>
      <w:r w:rsidR="00A83745">
        <w:rPr>
          <w:lang w:val="en-US"/>
        </w:rPr>
        <w:t>Close</w:t>
      </w:r>
      <w:r w:rsidR="00162BBB">
        <w:rPr>
          <w:lang w:val="en-US"/>
        </w:rPr>
        <w:t xml:space="preserve"> </w:t>
      </w:r>
      <w:r w:rsidR="00162BBB">
        <w:rPr>
          <w:rFonts w:hint="eastAsia"/>
          <w:lang w:val="en-US"/>
        </w:rPr>
        <w:t>other</w:t>
      </w:r>
      <w:r w:rsidR="00A83745" w:rsidRPr="004B0001">
        <w:rPr>
          <w:lang w:val="en-US"/>
        </w:rPr>
        <w:t>”, “Self vs Stranger”,</w:t>
      </w:r>
      <w:r w:rsidR="00A83745">
        <w:rPr>
          <w:lang w:val="en-US"/>
        </w:rPr>
        <w:t xml:space="preserve"> </w:t>
      </w:r>
      <w:r w:rsidR="00A83745" w:rsidRPr="004B0001">
        <w:rPr>
          <w:lang w:val="en-US"/>
        </w:rPr>
        <w:t xml:space="preserve">“Self vs </w:t>
      </w:r>
      <w:r w:rsidR="00A83745">
        <w:rPr>
          <w:lang w:val="en-US"/>
        </w:rPr>
        <w:t>Celebrity</w:t>
      </w:r>
      <w:r w:rsidR="00A83745" w:rsidRPr="004B0001">
        <w:rPr>
          <w:lang w:val="en-US"/>
        </w:rPr>
        <w:t>”</w:t>
      </w:r>
      <w:r w:rsidR="00A83745">
        <w:rPr>
          <w:lang w:val="en-US"/>
        </w:rPr>
        <w:t xml:space="preserve"> and </w:t>
      </w:r>
      <w:r w:rsidR="00A83745" w:rsidRPr="004B0001">
        <w:rPr>
          <w:lang w:val="en-US"/>
        </w:rPr>
        <w:t xml:space="preserve">“Self vs </w:t>
      </w:r>
      <w:r w:rsidR="00A83745">
        <w:rPr>
          <w:lang w:val="en-US"/>
        </w:rPr>
        <w:t>Non-person</w:t>
      </w:r>
      <w:r w:rsidR="00A83745" w:rsidRPr="004B0001">
        <w:rPr>
          <w:lang w:val="en-US"/>
        </w:rPr>
        <w:t>”</w:t>
      </w:r>
      <w:r w:rsidR="00A83745">
        <w:rPr>
          <w:lang w:val="en-US"/>
        </w:rPr>
        <w:t>.</w:t>
      </w:r>
    </w:p>
    <w:p w14:paraId="557F3181" w14:textId="0980A2A2" w:rsidR="003B4581" w:rsidRPr="00CC406A" w:rsidRDefault="00A83745" w:rsidP="00CC406A">
      <w:pPr>
        <w:spacing w:line="276" w:lineRule="auto"/>
        <w:rPr>
          <w:lang w:val="en-US"/>
        </w:rPr>
      </w:pPr>
      <w:commentRangeStart w:id="49"/>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49"/>
      <w:r>
        <w:rPr>
          <w:rStyle w:val="a6"/>
        </w:rPr>
        <w:commentReference w:id="49"/>
      </w:r>
      <w:bookmarkStart w:id="50" w:name="_Toc129530164"/>
      <w:bookmarkStart w:id="51" w:name="_Toc129530194"/>
    </w:p>
    <w:p w14:paraId="41321246" w14:textId="1C919B88" w:rsidR="00163DAA" w:rsidRPr="00CB0739" w:rsidRDefault="00CB0739" w:rsidP="00CB0739">
      <w:pPr>
        <w:pStyle w:val="2"/>
        <w:spacing w:after="120"/>
        <w:rPr>
          <w:rFonts w:ascii="Times New Roman" w:hAnsi="Times New Roman"/>
        </w:rPr>
      </w:pPr>
      <w:bookmarkStart w:id="52"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50"/>
      <w:bookmarkEnd w:id="51"/>
      <w:bookmarkEnd w:id="52"/>
    </w:p>
    <w:p w14:paraId="35B8C9A4" w14:textId="519C542D" w:rsidR="00162BBB" w:rsidRDefault="00162BBB" w:rsidP="00CC406A">
      <w:pPr>
        <w:ind w:firstLineChars="100" w:firstLine="241"/>
      </w:pPr>
      <w:bookmarkStart w:id="53" w:name="_Toc129530165"/>
      <w:bookmarkStart w:id="54" w:name="_Toc129530195"/>
      <w:r>
        <w:rPr>
          <w:rFonts w:hint="eastAsia"/>
          <w:b/>
        </w:rPr>
        <w:t>Weighted</w:t>
      </w:r>
      <w:r>
        <w:rPr>
          <w:b/>
        </w:rPr>
        <w:t xml:space="preserve"> </w:t>
      </w:r>
      <w:r>
        <w:rPr>
          <w:rFonts w:hint="eastAsia"/>
          <w:b/>
        </w:rPr>
        <w:t>Average</w:t>
      </w:r>
      <w:r>
        <w:rPr>
          <w:b/>
        </w:rPr>
        <w:t xml:space="preserve"> Split-half </w:t>
      </w:r>
      <w:r>
        <w:rPr>
          <w:rFonts w:hint="eastAsia"/>
          <w:b/>
        </w:rPr>
        <w:t>R</w:t>
      </w:r>
      <w:r>
        <w:rPr>
          <w:b/>
        </w:rPr>
        <w:t>eliability.</w:t>
      </w:r>
      <w:r>
        <w:rPr>
          <w:b/>
          <w:lang w:val="en-US"/>
        </w:rPr>
        <w:t xml:space="preserve"> </w:t>
      </w:r>
      <w:r w:rsidRPr="00ED4C8F">
        <w:t xml:space="preserve">To ensure methodological rigor, we assessed the </w:t>
      </w:r>
      <w:r w:rsidRPr="00703ABB">
        <w:rPr>
          <w:bCs/>
          <w:color w:val="000000" w:themeColor="text1"/>
        </w:rPr>
        <w:t xml:space="preserve">weighted average </w:t>
      </w:r>
      <w:r w:rsidRPr="00ED4C8F">
        <w:t>split-half reliability of the SPE measures using four distinct data splitting approaches: first-second, odd-even, permutated, and Monte Carlo</w:t>
      </w:r>
      <w:r>
        <w:rPr>
          <w:lang w:val="en-US"/>
        </w:rPr>
        <w:t xml:space="preserve"> </w:t>
      </w:r>
      <w:r w:rsidRPr="00ED4C8F">
        <w:fldChar w:fldCharType="begin"/>
      </w:r>
      <w:r w:rsidRPr="00ED4C8F">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t>(Kahveci et al., 2022; Pronk et al., 2022)</w:t>
      </w:r>
      <w:r w:rsidRPr="00ED4C8F">
        <w:fldChar w:fldCharType="end"/>
      </w:r>
      <w:r>
        <w:t xml:space="preserve">. </w:t>
      </w:r>
      <w:r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Pr="00CC406A">
        <w:rPr>
          <w:rFonts w:hint="eastAsia"/>
        </w:rPr>
        <w:t>T</w:t>
      </w:r>
      <w:r w:rsidRPr="00CC406A">
        <w:t xml:space="preserve">he Monte Carlo </w:t>
      </w:r>
      <w:r w:rsidRPr="00CC406A">
        <w:lastRenderedPageBreak/>
        <w:t>split-half approach was similar to the permutated split-half method, but it repeated the process thousands of times to calculate the average and 95% confidence interval of the split-half reliability. This comprehensive evaluation ensured the robustness of our findings.</w:t>
      </w:r>
    </w:p>
    <w:p w14:paraId="0D1C79C3" w14:textId="77777777" w:rsidR="00162BBB" w:rsidRPr="00E41C72" w:rsidRDefault="00162BBB" w:rsidP="00E41C72">
      <w:pPr>
        <w:ind w:firstLineChars="100" w:firstLine="240"/>
        <w:rPr>
          <w:bCs/>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Pr="00E41C72">
        <w:rPr>
          <w:rFonts w:hint="eastAsia"/>
          <w:bCs/>
        </w:rPr>
        <w:t>single</w:t>
      </w:r>
      <w:r w:rsidRPr="00E41C72">
        <w:rPr>
          <w:bCs/>
        </w:rPr>
        <w:t xml:space="preserve"> reliability coefficient.</w:t>
      </w:r>
    </w:p>
    <w:p w14:paraId="1877F7DF" w14:textId="4F4CF5AA" w:rsidR="00162BBB" w:rsidRPr="00703ABB" w:rsidRDefault="00162BBB" w:rsidP="00F21BC8">
      <w:pPr>
        <w:ind w:firstLineChars="100" w:firstLine="240"/>
        <w:rPr>
          <w:bCs/>
          <w:color w:val="000000" w:themeColor="text1"/>
        </w:rPr>
      </w:pPr>
      <w:commentRangeStart w:id="55"/>
      <w:commentRangeStart w:id="56"/>
      <w:r w:rsidRPr="00703ABB">
        <w:rPr>
          <w:bCs/>
          <w:color w:val="000000" w:themeColor="text1"/>
        </w:rPr>
        <w:t>Finally, after computing split-half reliability coefficients for each dataset, substantial variations were observed in the split-half reliability across the datasets. To derive a representative overall value for each</w:t>
      </w:r>
      <w:r w:rsidRPr="00703ABB">
        <w:rPr>
          <w:bCs/>
          <w:color w:val="000000" w:themeColor="text1"/>
          <w:lang w:val="en-US"/>
        </w:rPr>
        <w:t xml:space="preserve"> SPE measures</w:t>
      </w:r>
      <w:r w:rsidRPr="00703ABB">
        <w:rPr>
          <w:bCs/>
          <w:color w:val="000000" w:themeColor="text1"/>
        </w:rPr>
        <w:t>, we adopted an approach akin to meta-analysis, allowing for a more accurate estimation of the average split-half reliability</w:t>
      </w:r>
      <w:r w:rsidRPr="00703ABB">
        <w:rPr>
          <w:bCs/>
          <w:color w:val="000000" w:themeColor="text1"/>
          <w:lang w:val="en-US"/>
        </w:rPr>
        <w:t xml:space="preserve">. </w:t>
      </w:r>
      <w:r w:rsidRPr="00703ABB">
        <w:rPr>
          <w:bCs/>
          <w:color w:val="000000" w:themeColor="text1"/>
        </w:rPr>
        <w:t>As noted by Kucina et al. (2023), the number of trials significantly influences the reliability of cognitive experiments, with higher trial numbers resulting in increased reliability (</w:t>
      </w:r>
      <w:r w:rsidRPr="00703ABB">
        <w:rPr>
          <w:bCs/>
          <w:color w:val="000000" w:themeColor="text1"/>
          <w:lang w:val="en-US"/>
        </w:rPr>
        <w:t>similar pattern was also found in SPMT, see</w:t>
      </w:r>
      <w:r w:rsidRPr="00703ABB">
        <w:rPr>
          <w:bCs/>
          <w:color w:val="000000" w:themeColor="text1"/>
        </w:rPr>
        <w:t xml:space="preserve"> Supplementary Fig. </w:t>
      </w:r>
      <w:r>
        <w:rPr>
          <w:bCs/>
          <w:color w:val="000000" w:themeColor="text1"/>
        </w:rPr>
        <w:t>6</w:t>
      </w:r>
      <w:r w:rsidRPr="00703ABB">
        <w:rPr>
          <w:bCs/>
          <w:color w:val="000000" w:themeColor="text1"/>
        </w:rPr>
        <w:t xml:space="preserve">). Hence, to account for </w:t>
      </w:r>
      <w:r w:rsidRPr="00703ABB">
        <w:rPr>
          <w:bCs/>
          <w:color w:val="000000" w:themeColor="text1"/>
          <w:lang w:val="en-US"/>
        </w:rPr>
        <w:t>the</w:t>
      </w:r>
      <w:r w:rsidRPr="00703ABB">
        <w:rPr>
          <w:bCs/>
          <w:color w:val="000000" w:themeColor="text1"/>
        </w:rPr>
        <w:t xml:space="preserve"> impact</w:t>
      </w:r>
      <w:r w:rsidRPr="00703ABB">
        <w:rPr>
          <w:bCs/>
          <w:color w:val="000000" w:themeColor="text1"/>
          <w:lang w:val="en-US"/>
        </w:rPr>
        <w:t xml:space="preserve"> of trials</w:t>
      </w:r>
      <w:r w:rsidRPr="00703ABB">
        <w:rPr>
          <w:bCs/>
          <w:color w:val="000000" w:themeColor="text1"/>
        </w:rPr>
        <w:t>, we assigned weights to the split-half reliability based on the trial numbers present in each dataset using the “</w:t>
      </w:r>
      <w:proofErr w:type="spellStart"/>
      <w:r w:rsidRPr="00703ABB">
        <w:rPr>
          <w:bCs/>
          <w:color w:val="000000" w:themeColor="text1"/>
        </w:rPr>
        <w:t>aggregate.escalc</w:t>
      </w:r>
      <w:proofErr w:type="spellEnd"/>
      <w:r w:rsidRPr="00703ABB">
        <w:rPr>
          <w:bCs/>
          <w:color w:val="000000" w:themeColor="text1"/>
        </w:rPr>
        <w:t>” function from the “</w:t>
      </w:r>
      <w:proofErr w:type="spellStart"/>
      <w:r w:rsidRPr="00703ABB">
        <w:rPr>
          <w:bCs/>
          <w:color w:val="000000" w:themeColor="text1"/>
        </w:rPr>
        <w:t>metafor</w:t>
      </w:r>
      <w:proofErr w:type="spellEnd"/>
      <w:r w:rsidRPr="00703ABB">
        <w:rPr>
          <w:bCs/>
          <w:color w:val="000000" w:themeColor="text1"/>
        </w:rPr>
        <w:t xml:space="preserve">” Package </w:t>
      </w:r>
      <w:r w:rsidRPr="00703ABB">
        <w:rPr>
          <w:bCs/>
          <w:color w:val="000000" w:themeColor="text1"/>
        </w:rPr>
        <w:fldChar w:fldCharType="begin"/>
      </w:r>
      <w:r w:rsidRPr="00703ABB">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Pr="00703ABB">
        <w:rPr>
          <w:bCs/>
          <w:color w:val="000000" w:themeColor="text1"/>
        </w:rPr>
        <w:fldChar w:fldCharType="separate"/>
      </w:r>
      <w:r w:rsidRPr="00703ABB">
        <w:rPr>
          <w:bCs/>
          <w:noProof/>
          <w:color w:val="000000" w:themeColor="text1"/>
        </w:rPr>
        <w:t>(Viechtbauer, 2010)</w:t>
      </w:r>
      <w:r w:rsidRPr="00703ABB">
        <w:rPr>
          <w:bCs/>
          <w:color w:val="000000" w:themeColor="text1"/>
        </w:rPr>
        <w:fldChar w:fldCharType="end"/>
      </w:r>
      <w:r w:rsidRPr="00703ABB">
        <w:rPr>
          <w:bCs/>
          <w:color w:val="000000" w:themeColor="text1"/>
        </w:rPr>
        <w:t>. Employing a method similar to weighted averaging, we obtained the final weighted average split-half reliability (WASR)</w:t>
      </w:r>
      <w:r w:rsidRPr="00703ABB">
        <w:rPr>
          <w:bCs/>
          <w:color w:val="000000" w:themeColor="text1"/>
          <w:lang w:val="en-US"/>
        </w:rPr>
        <w:t xml:space="preserve"> as well as its 95% confidence interval</w:t>
      </w:r>
      <w:r w:rsidRPr="00703ABB">
        <w:rPr>
          <w:bCs/>
          <w:color w:val="000000" w:themeColor="text1"/>
        </w:rPr>
        <w:t>, ensuring a comprehensive and robust evaluation of the SPE measures across the datasets.</w:t>
      </w:r>
      <w:commentRangeEnd w:id="55"/>
      <w:r w:rsidRPr="00703ABB">
        <w:rPr>
          <w:rStyle w:val="a6"/>
          <w:color w:val="000000" w:themeColor="text1"/>
        </w:rPr>
        <w:commentReference w:id="55"/>
      </w:r>
      <w:commentRangeEnd w:id="56"/>
      <w:r w:rsidRPr="00703ABB">
        <w:rPr>
          <w:rStyle w:val="a6"/>
          <w:color w:val="000000" w:themeColor="text1"/>
        </w:rPr>
        <w:commentReference w:id="56"/>
      </w:r>
    </w:p>
    <w:bookmarkEnd w:id="53"/>
    <w:bookmarkEnd w:id="54"/>
    <w:p w14:paraId="24284963" w14:textId="440FEEBD"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6BACC15"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A160B8">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lastRenderedPageBreak/>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4A614D7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57" w:name="_Toc139718161"/>
      <w:r>
        <w:rPr>
          <w:rFonts w:eastAsia="Calibri"/>
          <w:b/>
          <w:sz w:val="42"/>
          <w:szCs w:val="42"/>
        </w:rPr>
        <w:t>4</w:t>
      </w:r>
      <w:r w:rsidR="001624A0" w:rsidRPr="001624A0">
        <w:rPr>
          <w:rFonts w:eastAsia="Calibri"/>
          <w:b/>
          <w:sz w:val="42"/>
          <w:szCs w:val="42"/>
        </w:rPr>
        <w:t xml:space="preserve"> </w:t>
      </w:r>
      <w:bookmarkStart w:id="58" w:name="_wv0gj0dgrmeo" w:colFirst="0" w:colLast="0"/>
      <w:bookmarkStart w:id="59" w:name="_Toc129530168"/>
      <w:bookmarkStart w:id="60" w:name="_Toc129530198"/>
      <w:bookmarkStart w:id="61" w:name="_Toc139718162"/>
      <w:bookmarkEnd w:id="57"/>
      <w:bookmarkEnd w:id="58"/>
      <w:r w:rsidR="00BA0079" w:rsidRPr="006A5A80">
        <w:rPr>
          <w:rFonts w:eastAsia="Calibri"/>
          <w:b/>
          <w:sz w:val="42"/>
          <w:szCs w:val="42"/>
        </w:rPr>
        <w:t>Results</w:t>
      </w:r>
      <w:bookmarkEnd w:id="59"/>
      <w:bookmarkEnd w:id="60"/>
      <w:bookmarkEnd w:id="61"/>
    </w:p>
    <w:p w14:paraId="5526239A" w14:textId="72AFEE94" w:rsidR="00A160B8" w:rsidRPr="008A54B2" w:rsidRDefault="00A160B8" w:rsidP="008A54B2">
      <w:pPr>
        <w:ind w:firstLineChars="100" w:firstLine="240"/>
        <w:rPr>
          <w:lang w:val="en-US"/>
        </w:rPr>
      </w:pPr>
      <w:bookmarkStart w:id="62" w:name="_Toc129530169"/>
      <w:bookmarkStart w:id="63" w:name="_Toc129530199"/>
      <w:r w:rsidRPr="008A54B2">
        <w:rPr>
          <w:lang w:val="en-US"/>
        </w:rPr>
        <w:t xml:space="preserve">In 18 </w:t>
      </w:r>
      <w:r w:rsidR="00144B8C" w:rsidRPr="008A54B2">
        <w:rPr>
          <w:rFonts w:hint="eastAsia"/>
          <w:lang w:val="en-US"/>
        </w:rPr>
        <w:t>independent</w:t>
      </w:r>
      <w:r w:rsidR="00144B8C" w:rsidRPr="008A54B2">
        <w:rPr>
          <w:lang w:val="en-US"/>
        </w:rPr>
        <w:t xml:space="preserve"> </w:t>
      </w:r>
      <w:r w:rsidR="00144B8C" w:rsidRPr="008A54B2">
        <w:rPr>
          <w:rFonts w:hint="eastAsia"/>
          <w:lang w:val="en-US"/>
        </w:rPr>
        <w:t>studies</w:t>
      </w:r>
      <w:r w:rsidRPr="008A54B2">
        <w:rPr>
          <w:lang w:val="en-US"/>
        </w:rPr>
        <w:t xml:space="preserve">, 14 </w:t>
      </w:r>
      <w:r w:rsidR="00144B8C" w:rsidRPr="008A54B2">
        <w:rPr>
          <w:rFonts w:hint="eastAsia"/>
          <w:lang w:val="en-US"/>
        </w:rPr>
        <w:t>studies</w:t>
      </w:r>
      <w:r w:rsidR="00144B8C" w:rsidRPr="008A54B2">
        <w:rPr>
          <w:lang w:val="en-US"/>
        </w:rPr>
        <w:t xml:space="preserve"> </w:t>
      </w:r>
      <w:r w:rsidRPr="008A54B2">
        <w:rPr>
          <w:lang w:val="en-US"/>
        </w:rPr>
        <w:t xml:space="preserve">have data for the </w:t>
      </w:r>
      <w:r w:rsidR="00162BBB">
        <w:rPr>
          <w:lang w:val="en-US"/>
        </w:rPr>
        <w:t xml:space="preserve">baseline </w:t>
      </w:r>
      <w:r w:rsidR="00162BBB">
        <w:rPr>
          <w:rFonts w:hint="eastAsia"/>
          <w:lang w:val="en-US"/>
        </w:rPr>
        <w:t>condition</w:t>
      </w:r>
      <w:r w:rsidR="00162BBB">
        <w:rPr>
          <w:lang w:val="en-US"/>
        </w:rPr>
        <w:t xml:space="preserve"> </w:t>
      </w:r>
      <w:r w:rsidR="00162BBB">
        <w:rPr>
          <w:rFonts w:hint="eastAsia"/>
          <w:lang w:val="en-US"/>
        </w:rPr>
        <w:t>of</w:t>
      </w:r>
      <w:r w:rsidR="00162BBB">
        <w:rPr>
          <w:lang w:val="en-US"/>
        </w:rPr>
        <w:t xml:space="preserve"> </w:t>
      </w:r>
      <w:r w:rsidRPr="008A54B2">
        <w:rPr>
          <w:lang w:val="en-US"/>
        </w:rPr>
        <w:t xml:space="preserve">Self vs Close other, 12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Stranger, 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Celebrities, 1 </w:t>
      </w:r>
      <w:r w:rsidR="000314AD" w:rsidRPr="008A54B2">
        <w:rPr>
          <w:lang w:val="en-US"/>
        </w:rPr>
        <w:t>study has</w:t>
      </w:r>
      <w:r w:rsidRPr="008A54B2">
        <w:rPr>
          <w:lang w:val="en-US"/>
        </w:rPr>
        <w:t xml:space="preserve"> the data for Self vs none condition. We reported the results for all these </w:t>
      </w:r>
      <w:r w:rsidR="00162BBB">
        <w:rPr>
          <w:lang w:val="en-US"/>
        </w:rPr>
        <w:t xml:space="preserve">baseline </w:t>
      </w:r>
      <w:r w:rsidR="00162BBB">
        <w:rPr>
          <w:rFonts w:hint="eastAsia"/>
          <w:lang w:val="en-US"/>
        </w:rPr>
        <w:t>condition</w:t>
      </w:r>
      <w:r w:rsidR="00162BBB">
        <w:rPr>
          <w:lang w:val="en-US"/>
        </w:rPr>
        <w:t>s</w:t>
      </w:r>
      <w:r w:rsidRPr="008A54B2">
        <w:rPr>
          <w:lang w:val="en-US"/>
        </w:rPr>
        <w:t>.</w:t>
      </w:r>
    </w:p>
    <w:p w14:paraId="39E0AC3C" w14:textId="77777777" w:rsidR="00E908FC" w:rsidRDefault="00E908FC" w:rsidP="001C2F36">
      <w:pPr>
        <w:rPr>
          <w:lang w:val="en-US"/>
        </w:rPr>
      </w:pPr>
      <w:bookmarkStart w:id="64"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4"/>
      <w:r w:rsidR="00AF6D94" w:rsidRPr="006A5A80">
        <w:rPr>
          <w:rFonts w:ascii="Times New Roman" w:hAnsi="Times New Roman"/>
          <w:lang w:val="en-US"/>
        </w:rPr>
        <w:t xml:space="preserve"> </w:t>
      </w:r>
      <w:bookmarkEnd w:id="62"/>
      <w:bookmarkEnd w:id="63"/>
    </w:p>
    <w:p w14:paraId="13998703" w14:textId="254E712E" w:rsidR="0012437C" w:rsidRDefault="00A160B8" w:rsidP="0012437C">
      <w:pPr>
        <w:ind w:firstLineChars="100" w:firstLine="240"/>
        <w:rPr>
          <w:lang w:val="en-US"/>
        </w:rPr>
      </w:pPr>
      <w:r w:rsidRPr="008A54B2">
        <w:rPr>
          <w:lang w:val="en-US"/>
        </w:rPr>
        <w:t>As described in method part, we utilized four different methods to calculate split-half reliability, namely the first-second, odd-even, permuted, and Monte Carlo methods.</w:t>
      </w:r>
      <w:r w:rsidR="0012437C">
        <w:rPr>
          <w:lang w:val="en-US"/>
        </w:rPr>
        <w:t xml:space="preserve"> </w:t>
      </w:r>
      <w:r w:rsidR="008A54B2" w:rsidRPr="008A54B2">
        <w:rPr>
          <w:lang w:val="en-US"/>
        </w:rPr>
        <w:t>The paper exclusively presents the results obtained from the Monte Carlo split-half method due to its robustness, as highlighted in</w:t>
      </w:r>
      <w:r w:rsidR="008A54B2">
        <w:rPr>
          <w:lang w:val="en-US"/>
        </w:rPr>
        <w:t xml:space="preserve"> </w:t>
      </w:r>
      <w:r w:rsidRPr="008A54B2">
        <w:rPr>
          <w:lang w:val="en-US"/>
        </w:rPr>
        <w:fldChar w:fldCharType="begin"/>
      </w:r>
      <w:r w:rsidR="008A54B2">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8A54B2">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1 &amp; 2)</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2CD33D0F" w:rsidR="00332EE4" w:rsidRDefault="00E908FC" w:rsidP="00703ABB">
      <w:pPr>
        <w:ind w:firstLineChars="100" w:firstLine="240"/>
        <w:rPr>
          <w:lang w:val="en-US"/>
        </w:rPr>
      </w:pPr>
      <w:r w:rsidRPr="00E908FC">
        <w:rPr>
          <w:lang w:val="en-US"/>
        </w:rPr>
        <w:t xml:space="preserve">The weighted average split-half reliabilities </w:t>
      </w:r>
      <w:r w:rsidR="00F21BC8">
        <w:rPr>
          <w:lang w:val="en-US"/>
        </w:rPr>
        <w:t>(</w:t>
      </w:r>
      <w:r w:rsidR="00F21BC8" w:rsidRPr="00F21BC8">
        <w:rPr>
          <w:lang w:val="en-US"/>
        </w:rPr>
        <w:t>WASR</w:t>
      </w:r>
      <w:r w:rsidR="00F21BC8">
        <w:rPr>
          <w:lang w:val="en-US"/>
        </w:rPr>
        <w:t xml:space="preserve">) 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weighted average split-half reliabilities (WASR)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 xml:space="preserve">contrast (WASR =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8748A5" w:rsidRPr="00F21BC8">
        <w:rPr>
          <w:lang w:val="en-US"/>
        </w:rPr>
        <w:t xml:space="preserve">WASR = </w:t>
      </w:r>
      <w:r w:rsidR="008748A5">
        <w:rPr>
          <w:lang w:val="en-US"/>
        </w:rPr>
        <w:t>.63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8748A5" w:rsidRPr="00F21BC8">
        <w:rPr>
          <w:lang w:val="en-US"/>
        </w:rPr>
        <w:t xml:space="preserve">WASR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5"/>
      <w:r w:rsidR="00566D09" w:rsidRPr="00566D09">
        <w:rPr>
          <w:i/>
          <w:iCs/>
          <w:lang w:val="en-US"/>
        </w:rPr>
        <w:t>η</w:t>
      </w:r>
      <w:commentRangeEnd w:id="65"/>
      <w:r w:rsidR="00566D09">
        <w:rPr>
          <w:rStyle w:val="a6"/>
        </w:rPr>
        <w:commentReference w:id="65"/>
      </w:r>
      <w:r w:rsidR="00F21BC8" w:rsidRPr="00F21BC8">
        <w:rPr>
          <w:lang w:val="en-US"/>
        </w:rPr>
        <w:t xml:space="preserve"> with the "Self vs Close" contrast (</w:t>
      </w:r>
      <w:r w:rsidR="008748A5" w:rsidRPr="00F21BC8">
        <w:rPr>
          <w:lang w:val="en-US"/>
        </w:rPr>
        <w:t xml:space="preserve">WASR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73A2D546"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ACC, </w:t>
      </w:r>
      <w:r w:rsidR="008748A5" w:rsidRPr="008748A5">
        <w:rPr>
          <w:i/>
          <w:iCs/>
          <w:lang w:val="en-US"/>
        </w:rPr>
        <w:t>d’</w:t>
      </w:r>
      <w:r w:rsidR="008748A5">
        <w:rPr>
          <w:rFonts w:eastAsiaTheme="minorEastAsia" w:hint="eastAsia"/>
          <w:lang w:val="en-US"/>
        </w:rPr>
        <w:t>,</w:t>
      </w:r>
      <w:r w:rsidR="008748A5">
        <w:rPr>
          <w:rFonts w:eastAsiaTheme="minorEastAsia"/>
          <w:lang w:val="en-US"/>
        </w:rPr>
        <w:t xml:space="preserve"> </w:t>
      </w:r>
      <w:r w:rsidR="008748A5" w:rsidRPr="008748A5">
        <w:rPr>
          <w:rFonts w:eastAsiaTheme="minorEastAsia"/>
          <w:i/>
          <w:iCs/>
          <w:lang w:val="en-US"/>
        </w:rPr>
        <w:t>v</w:t>
      </w:r>
      <w:r w:rsidR="008748A5">
        <w:rPr>
          <w:rFonts w:eastAsiaTheme="minorEastAsia"/>
          <w:lang w:val="en-US"/>
        </w:rPr>
        <w:t xml:space="preserve"> and </w:t>
      </w:r>
      <w:r w:rsidR="008748A5" w:rsidRPr="008748A5">
        <w:rPr>
          <w:rFonts w:eastAsiaTheme="minorEastAsia"/>
          <w:i/>
          <w:iCs/>
          <w:lang w:val="en-US"/>
        </w:rPr>
        <w:t>z</w:t>
      </w:r>
      <w:r>
        <w:rPr>
          <w:lang w:val="en-US"/>
        </w:rPr>
        <w:t>.</w:t>
      </w:r>
      <w:r w:rsidR="007652FC">
        <w:rPr>
          <w:lang w:val="en-US"/>
        </w:rPr>
        <w:t xml:space="preserve"> It is notice that almost all the WASR of </w:t>
      </w:r>
      <w:r w:rsidR="007652FC" w:rsidRPr="008748A5">
        <w:rPr>
          <w:i/>
          <w:iCs/>
          <w:lang w:val="en-US"/>
        </w:rPr>
        <w:t>z</w:t>
      </w:r>
      <w:r w:rsidR="007652FC">
        <w:rPr>
          <w:lang w:val="en-US"/>
        </w:rPr>
        <w:t xml:space="preserve"> using different contrasts are around 0, which </w:t>
      </w:r>
      <w:r w:rsidR="007652FC" w:rsidRPr="00E908FC">
        <w:rPr>
          <w:lang w:val="en-US"/>
        </w:rPr>
        <w:t>can be considered to have no reliability.</w:t>
      </w:r>
    </w:p>
    <w:p w14:paraId="48DCC30F" w14:textId="77777777" w:rsidR="00703ABB" w:rsidRPr="007652FC" w:rsidRDefault="00703ABB" w:rsidP="007652FC">
      <w:pPr>
        <w:ind w:firstLineChars="100" w:firstLine="240"/>
        <w:rPr>
          <w:lang w:val="en-US"/>
        </w:rPr>
      </w:pPr>
    </w:p>
    <w:p w14:paraId="687AC7D7" w14:textId="3EC74397" w:rsidR="00B02959" w:rsidRPr="00A37F7F" w:rsidRDefault="000E1385" w:rsidP="007731AE">
      <w:pPr>
        <w:rPr>
          <w:rFonts w:eastAsia="宋体"/>
          <w:bCs/>
          <w:noProof/>
          <w:lang w:val="en-US" w:eastAsia="zh-TW"/>
        </w:rPr>
      </w:pPr>
      <w:r>
        <w:rPr>
          <w:rFonts w:eastAsia="宋体"/>
          <w:bCs/>
          <w:noProof/>
          <w:lang w:val="en-US" w:eastAsia="zh-TW"/>
        </w:rPr>
        <w:lastRenderedPageBreak/>
        <w:drawing>
          <wp:inline distT="0" distB="0" distL="0" distR="0" wp14:anchorId="7D78C2EE" wp14:editId="748FB614">
            <wp:extent cx="5929077" cy="408068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21" cstate="print">
                      <a:extLst>
                        <a:ext uri="{28A0092B-C50C-407E-A947-70E740481C1C}">
                          <a14:useLocalDpi xmlns:a14="http://schemas.microsoft.com/office/drawing/2010/main" val="0"/>
                        </a:ext>
                      </a:extLst>
                    </a:blip>
                    <a:srcRect l="3559" b="5178"/>
                    <a:stretch/>
                  </pic:blipFill>
                  <pic:spPr bwMode="auto">
                    <a:xfrm>
                      <a:off x="0" y="0"/>
                      <a:ext cx="5936036" cy="4085470"/>
                    </a:xfrm>
                    <a:prstGeom prst="rect">
                      <a:avLst/>
                    </a:prstGeom>
                    <a:ln>
                      <a:noFill/>
                    </a:ln>
                    <a:extLst>
                      <a:ext uri="{53640926-AAD7-44D8-BBD7-CCE9431645EC}">
                        <a14:shadowObscured xmlns:a14="http://schemas.microsoft.com/office/drawing/2010/main"/>
                      </a:ext>
                    </a:extLst>
                  </pic:spPr>
                </pic:pic>
              </a:graphicData>
            </a:graphic>
          </wp:inline>
        </w:drawing>
      </w:r>
    </w:p>
    <w:p w14:paraId="1885440A" w14:textId="77777777" w:rsidR="00703ABB" w:rsidRDefault="00B02959" w:rsidP="00703ABB">
      <w:pPr>
        <w:ind w:firstLineChars="100" w:firstLine="241"/>
        <w:jc w:val="center"/>
        <w:rPr>
          <w:rFonts w:eastAsia="宋体"/>
          <w:b/>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007731AE" w:rsidRPr="007D50DA">
        <w:rPr>
          <w:rFonts w:eastAsia="宋体"/>
          <w:bCs/>
          <w:noProof/>
          <w:lang w:val="en-US" w:eastAsia="zh-TW"/>
        </w:rPr>
        <w:t xml:space="preserve">The </w:t>
      </w:r>
      <w:r w:rsidR="00E908FC" w:rsidRPr="007D50DA">
        <w:rPr>
          <w:rFonts w:eastAsia="宋体"/>
          <w:bCs/>
          <w:noProof/>
          <w:lang w:val="en-US" w:eastAsia="zh-TW"/>
        </w:rPr>
        <w:t xml:space="preserve">weighted average </w:t>
      </w:r>
      <w:r w:rsidR="007731AE" w:rsidRPr="007D50DA">
        <w:rPr>
          <w:rFonts w:eastAsia="宋体"/>
          <w:bCs/>
          <w:noProof/>
          <w:lang w:val="en-US" w:eastAsia="zh-TW"/>
        </w:rPr>
        <w:t xml:space="preserve">of </w:t>
      </w:r>
      <w:r w:rsidRPr="007D50DA">
        <w:rPr>
          <w:rFonts w:eastAsia="宋体"/>
          <w:bCs/>
          <w:noProof/>
          <w:lang w:val="en-US" w:eastAsia="zh-TW"/>
        </w:rPr>
        <w:t>Monte</w:t>
      </w:r>
      <w:r w:rsidR="007731AE" w:rsidRPr="007D50DA">
        <w:rPr>
          <w:rFonts w:eastAsia="宋体"/>
          <w:bCs/>
          <w:noProof/>
          <w:lang w:val="en-US" w:eastAsia="zh-TW"/>
        </w:rPr>
        <w:t>-</w:t>
      </w:r>
      <w:r w:rsidRPr="007D50DA">
        <w:rPr>
          <w:rFonts w:eastAsia="宋体"/>
          <w:bCs/>
          <w:noProof/>
          <w:lang w:val="en-US" w:eastAsia="zh-TW"/>
        </w:rPr>
        <w:t xml:space="preserve">Carlo </w:t>
      </w:r>
      <w:r w:rsidR="007731AE" w:rsidRPr="007D50DA">
        <w:rPr>
          <w:rFonts w:eastAsia="宋体"/>
          <w:bCs/>
          <w:noProof/>
          <w:lang w:val="en-US" w:eastAsia="zh-TW"/>
        </w:rPr>
        <w:t>s</w:t>
      </w:r>
      <w:r w:rsidRPr="007D50DA">
        <w:rPr>
          <w:rFonts w:eastAsia="宋体"/>
          <w:bCs/>
          <w:noProof/>
          <w:lang w:val="en-US" w:eastAsia="zh-TW"/>
        </w:rPr>
        <w:t>plit-</w:t>
      </w:r>
      <w:r w:rsidR="007731AE" w:rsidRPr="007D50DA">
        <w:rPr>
          <w:rFonts w:eastAsia="宋体"/>
          <w:bCs/>
          <w:noProof/>
          <w:lang w:val="en-US" w:eastAsia="zh-TW"/>
        </w:rPr>
        <w:t>h</w:t>
      </w:r>
      <w:r w:rsidRPr="007D50DA">
        <w:rPr>
          <w:rFonts w:eastAsia="宋体"/>
          <w:bCs/>
          <w:noProof/>
          <w:lang w:val="en-US" w:eastAsia="zh-TW"/>
        </w:rPr>
        <w:t xml:space="preserve">alf </w:t>
      </w:r>
      <w:r w:rsidR="007731AE" w:rsidRPr="007D50DA">
        <w:rPr>
          <w:rFonts w:eastAsia="宋体"/>
          <w:bCs/>
          <w:noProof/>
          <w:lang w:val="en-US" w:eastAsia="zh-TW"/>
        </w:rPr>
        <w:t>r</w:t>
      </w:r>
      <w:r w:rsidRPr="007D50DA">
        <w:rPr>
          <w:rFonts w:eastAsia="宋体"/>
          <w:bCs/>
          <w:noProof/>
          <w:lang w:val="en-US" w:eastAsia="zh-TW"/>
        </w:rPr>
        <w:t>eliabilit</w:t>
      </w:r>
      <w:r w:rsidR="007731AE" w:rsidRPr="007D50DA">
        <w:rPr>
          <w:rFonts w:eastAsia="宋体"/>
          <w:bCs/>
          <w:noProof/>
          <w:lang w:val="en-US" w:eastAsia="zh-TW"/>
        </w:rPr>
        <w:t>ies</w:t>
      </w:r>
      <w:r w:rsidR="00B41646" w:rsidRPr="007D50DA">
        <w:rPr>
          <w:rFonts w:eastAsia="宋体"/>
          <w:bCs/>
          <w:noProof/>
          <w:lang w:val="en-US" w:eastAsia="zh-TW"/>
        </w:rPr>
        <w:t xml:space="preserve"> for different SPE </w:t>
      </w:r>
      <w:r w:rsidR="00E908FC" w:rsidRPr="007D50DA">
        <w:rPr>
          <w:rFonts w:eastAsia="宋体"/>
          <w:bCs/>
          <w:noProof/>
          <w:lang w:val="en-US" w:eastAsia="zh-TW"/>
        </w:rPr>
        <w:t>measures</w:t>
      </w:r>
      <w:r w:rsidR="0012437C" w:rsidRPr="007D50DA">
        <w:rPr>
          <w:rFonts w:eastAsia="宋体"/>
          <w:bCs/>
          <w:noProof/>
          <w:lang w:val="en-US" w:eastAsia="zh-TW"/>
        </w:rPr>
        <w:t>.</w:t>
      </w:r>
    </w:p>
    <w:p w14:paraId="2B096599" w14:textId="4B8FF75E" w:rsidR="00FC16F1" w:rsidRDefault="0012437C" w:rsidP="00703ABB">
      <w:pPr>
        <w:ind w:firstLineChars="100" w:firstLine="200"/>
        <w:jc w:val="center"/>
        <w:rPr>
          <w:color w:val="000000" w:themeColor="text1"/>
          <w:sz w:val="22"/>
          <w:szCs w:val="22"/>
          <w:lang w:val="en-US"/>
        </w:rPr>
      </w:pPr>
      <w:r>
        <w:rPr>
          <w:rFonts w:eastAsia="宋体"/>
          <w:bCs/>
          <w:noProof/>
          <w:sz w:val="20"/>
          <w:szCs w:val="20"/>
          <w:lang w:val="en-US" w:eastAsia="zh-TW"/>
        </w:rPr>
        <w:t xml:space="preserve">Note: </w:t>
      </w:r>
      <w:r w:rsidR="007731AE" w:rsidRPr="0012437C">
        <w:rPr>
          <w:rFonts w:eastAsia="宋体"/>
          <w:bCs/>
          <w:noProof/>
          <w:sz w:val="20"/>
          <w:szCs w:val="20"/>
          <w:lang w:val="en-US" w:eastAsia="zh-TW"/>
        </w:rPr>
        <w:t xml:space="preserve">The vertical axis represents </w:t>
      </w:r>
      <w:r>
        <w:rPr>
          <w:rFonts w:eastAsia="宋体"/>
          <w:bCs/>
          <w:noProof/>
          <w:sz w:val="20"/>
          <w:szCs w:val="20"/>
          <w:lang w:val="en-US" w:eastAsia="zh-TW"/>
        </w:rPr>
        <w:t>24</w:t>
      </w:r>
      <w:r w:rsidR="007731AE" w:rsidRPr="0012437C">
        <w:rPr>
          <w:rFonts w:eastAsia="宋体"/>
          <w:bCs/>
          <w:noProof/>
          <w:sz w:val="20"/>
          <w:szCs w:val="20"/>
          <w:lang w:val="en-US" w:eastAsia="zh-TW"/>
        </w:rPr>
        <w:t xml:space="preserve"> different </w:t>
      </w:r>
      <w:r>
        <w:rPr>
          <w:rFonts w:eastAsia="宋体"/>
          <w:bCs/>
          <w:noProof/>
          <w:sz w:val="20"/>
          <w:szCs w:val="20"/>
          <w:lang w:val="en-US" w:eastAsia="zh-TW"/>
        </w:rPr>
        <w:t>SPE measures</w:t>
      </w:r>
      <w:r w:rsidR="007731AE" w:rsidRPr="0012437C">
        <w:rPr>
          <w:rFonts w:eastAsia="宋体"/>
          <w:bCs/>
          <w:noProof/>
          <w:sz w:val="20"/>
          <w:szCs w:val="20"/>
          <w:lang w:val="en-US" w:eastAsia="zh-TW"/>
        </w:rPr>
        <w:t xml:space="preserve">, </w:t>
      </w:r>
      <w:r>
        <w:rPr>
          <w:rFonts w:eastAsia="宋体"/>
          <w:bCs/>
          <w:noProof/>
          <w:sz w:val="20"/>
          <w:szCs w:val="20"/>
          <w:lang w:val="en-US" w:eastAsia="zh-TW"/>
        </w:rPr>
        <w:t xml:space="preserve">combining </w:t>
      </w:r>
      <w:r w:rsidRPr="00E908FC">
        <w:rPr>
          <w:rFonts w:eastAsia="宋体"/>
          <w:bCs/>
          <w:noProof/>
          <w:sz w:val="20"/>
          <w:szCs w:val="20"/>
          <w:lang w:val="en-US" w:eastAsia="zh-TW"/>
        </w:rPr>
        <w:t>6 outcomes variables (</w:t>
      </w:r>
      <w:r w:rsidR="00E908FC" w:rsidRPr="00E908FC">
        <w:rPr>
          <w:rFonts w:eastAsia="宋体"/>
          <w:bCs/>
          <w:noProof/>
          <w:sz w:val="20"/>
          <w:szCs w:val="20"/>
          <w:lang w:val="en-US" w:eastAsia="zh-TW"/>
        </w:rPr>
        <w:t xml:space="preserve">RT, ACC, </w:t>
      </w:r>
      <w:r w:rsidR="00E908FC" w:rsidRPr="008748A5">
        <w:rPr>
          <w:rFonts w:eastAsia="宋体"/>
          <w:bCs/>
          <w:i/>
          <w:iCs/>
          <w:noProof/>
          <w:sz w:val="20"/>
          <w:szCs w:val="20"/>
          <w:lang w:val="en-US" w:eastAsia="zh-TW"/>
        </w:rPr>
        <w:t>d’</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η</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v</w:t>
      </w:r>
      <w:r w:rsidR="00E908FC" w:rsidRPr="00E908FC">
        <w:rPr>
          <w:rFonts w:eastAsia="宋体"/>
          <w:bCs/>
          <w:noProof/>
          <w:sz w:val="20"/>
          <w:szCs w:val="20"/>
          <w:lang w:val="en-US" w:eastAsia="zh-TW"/>
        </w:rPr>
        <w:t>,</w:t>
      </w:r>
      <w:r w:rsid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z</w:t>
      </w:r>
      <w:r w:rsidRPr="00E908FC">
        <w:rPr>
          <w:rFonts w:eastAsia="宋体"/>
          <w:bCs/>
          <w:noProof/>
          <w:sz w:val="20"/>
          <w:szCs w:val="20"/>
          <w:lang w:val="en-US" w:eastAsia="zh-TW"/>
        </w:rPr>
        <w:t>)</w:t>
      </w:r>
      <w:r>
        <w:rPr>
          <w:rFonts w:eastAsia="宋体"/>
          <w:bCs/>
          <w:noProof/>
          <w:sz w:val="20"/>
          <w:szCs w:val="20"/>
          <w:lang w:val="en-US" w:eastAsia="zh-TW"/>
        </w:rPr>
        <w:t xml:space="preserve"> and 4 contrasts (</w:t>
      </w:r>
      <w:r w:rsidRPr="0012437C">
        <w:rPr>
          <w:rFonts w:eastAsia="宋体"/>
          <w:bCs/>
          <w:noProof/>
          <w:sz w:val="20"/>
          <w:szCs w:val="20"/>
          <w:lang w:val="en-US" w:eastAsia="zh-TW"/>
        </w:rPr>
        <w:t>close other, stranger, celebrity, and non</w:t>
      </w:r>
      <w:r>
        <w:rPr>
          <w:rFonts w:eastAsia="宋体"/>
          <w:bCs/>
          <w:noProof/>
          <w:sz w:val="20"/>
          <w:szCs w:val="20"/>
          <w:lang w:val="en-US" w:eastAsia="zh-TW"/>
        </w:rPr>
        <w:t>-person).</w:t>
      </w:r>
      <w:r w:rsidR="004113C4">
        <w:rPr>
          <w:rFonts w:eastAsia="宋体"/>
          <w:bCs/>
          <w:noProof/>
          <w:sz w:val="20"/>
          <w:szCs w:val="20"/>
          <w:lang w:val="en-US" w:eastAsia="zh-TW"/>
        </w:rPr>
        <w:t xml:space="preserve"> </w:t>
      </w:r>
      <w:r w:rsidR="004113C4" w:rsidRPr="00E908FC">
        <w:rPr>
          <w:rFonts w:eastAsia="宋体"/>
          <w:bCs/>
          <w:noProof/>
          <w:sz w:val="20"/>
          <w:szCs w:val="20"/>
          <w:lang w:val="en-US" w:eastAsia="zh-TW"/>
        </w:rPr>
        <w:t xml:space="preserve">The </w:t>
      </w:r>
      <w:r w:rsidR="004113C4" w:rsidRPr="0012437C">
        <w:rPr>
          <w:rFonts w:eastAsia="宋体"/>
          <w:bCs/>
          <w:noProof/>
          <w:sz w:val="20"/>
          <w:szCs w:val="20"/>
          <w:lang w:val="en-US" w:eastAsia="zh-TW"/>
        </w:rPr>
        <w:t>weighted average split-half reliability</w:t>
      </w:r>
      <w:r w:rsidR="004113C4" w:rsidRPr="00E908FC">
        <w:rPr>
          <w:rFonts w:eastAsia="宋体"/>
          <w:bCs/>
          <w:noProof/>
          <w:sz w:val="20"/>
          <w:szCs w:val="20"/>
          <w:lang w:val="en-US" w:eastAsia="zh-TW"/>
        </w:rPr>
        <w:t xml:space="preserve"> and 95% confidence intervals are shown by points and lines</w:t>
      </w:r>
      <w:r w:rsidR="00DA1946" w:rsidRPr="00E908FC">
        <w:rPr>
          <w:rFonts w:eastAsia="宋体"/>
          <w:bCs/>
          <w:noProof/>
          <w:sz w:val="20"/>
          <w:szCs w:val="20"/>
          <w:lang w:val="en-US" w:eastAsia="zh-TW"/>
        </w:rPr>
        <w:t>.</w:t>
      </w:r>
      <w:r w:rsidR="00DA1946">
        <w:rPr>
          <w:color w:val="000000" w:themeColor="text1"/>
          <w:sz w:val="22"/>
          <w:szCs w:val="22"/>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6" w:name="_Toc129530170"/>
      <w:bookmarkStart w:id="67" w:name="_Toc129530200"/>
      <w:bookmarkStart w:id="68"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6"/>
      <w:bookmarkEnd w:id="67"/>
      <w:bookmarkEnd w:id="68"/>
    </w:p>
    <w:p w14:paraId="3BED99F1" w14:textId="117146E6"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162BBB">
        <w:rPr>
          <w:rFonts w:eastAsia="PMingLiU"/>
          <w:bCs/>
          <w:noProof/>
          <w:lang w:val="en-US" w:eastAsia="zh-TW"/>
        </w:rPr>
        <w:t>5</w:t>
      </w:r>
      <w:r w:rsidR="00747642">
        <w:rPr>
          <w:rFonts w:eastAsia="PMingLiU"/>
          <w:bCs/>
          <w:noProof/>
          <w:lang w:val="en-US" w:eastAsia="zh-TW"/>
        </w:rPr>
        <w:t>).</w:t>
      </w:r>
    </w:p>
    <w:p w14:paraId="4FAA811E" w14:textId="18457A54" w:rsidR="007652FC" w:rsidRPr="007652FC" w:rsidRDefault="007652FC" w:rsidP="007652FC">
      <w:pPr>
        <w:ind w:firstLineChars="100" w:firstLine="240"/>
        <w:rPr>
          <w:rFonts w:eastAsia="PMingLiU"/>
          <w:bCs/>
          <w:noProof/>
          <w:lang w:val="en-US"/>
        </w:rPr>
      </w:pPr>
      <w:r w:rsidRPr="007652FC">
        <w:rPr>
          <w:rFonts w:eastAsia="PMingLiU"/>
          <w:bCs/>
          <w:noProof/>
          <w:lang w:val="en-US" w:eastAsia="zh-TW"/>
        </w:rPr>
        <w:t xml:space="preserve">As illustrated in Fig. 4, the ICC2k values for Reaction Time (RT) and Efficiency demonstrate notably high levels of reliability, while the other outcome variables exhibit </w:t>
      </w:r>
      <w:r>
        <w:rPr>
          <w:rFonts w:eastAsia="PMingLiU"/>
          <w:bCs/>
          <w:noProof/>
          <w:lang w:val="en-US" w:eastAsia="zh-TW"/>
        </w:rPr>
        <w:t>unacceptable to poor ICC2k</w:t>
      </w:r>
      <w:r w:rsidRPr="007652FC">
        <w:rPr>
          <w:rFonts w:eastAsia="PMingLiU"/>
          <w:bCs/>
          <w:noProof/>
          <w:lang w:val="en-US" w:eastAsia="zh-TW"/>
        </w:rPr>
        <w:t>. When considering the "Close" contrast, the ICC2k for RT is 0.87 (95% CI = [.79, .93]), and for Efficiency, it is 0.86 (95% CI = [.78, .93]). Similarly, for the "Stranger" contrast, the ICC2k for RT is 0.89 (95% CI = [.82, .94]), and for Efficiency, it is 0.76 (95% CI = [.61, .87]).</w:t>
      </w:r>
    </w:p>
    <w:p w14:paraId="5B284373" w14:textId="3DB4DE82" w:rsidR="007652FC" w:rsidRDefault="007652FC" w:rsidP="007652FC">
      <w:pPr>
        <w:ind w:firstLineChars="100" w:firstLine="240"/>
        <w:rPr>
          <w:rFonts w:eastAsia="PMingLiU"/>
          <w:bCs/>
          <w:noProof/>
          <w:lang w:val="en-US" w:eastAsia="zh-TW"/>
        </w:rPr>
      </w:pPr>
      <w:r w:rsidRPr="007652FC">
        <w:rPr>
          <w:rFonts w:eastAsia="PMingLiU"/>
          <w:bCs/>
          <w:noProof/>
          <w:lang w:val="en-US" w:eastAsia="zh-TW"/>
        </w:rPr>
        <w:t>However, it is worth noting that RT and Efficiency display ICC2 values ranging from poor to acceptable. Specifically, under the "Close" contrast, the ICC2 for RT is 0.53 (95% CI = [.39, .69]), and for Efficiency, it is 0.52 (95% CI = [.38, .68]). Meanwhile, for the "Stranger"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5EC8F5F8" w14:textId="77777777" w:rsidR="00566D09" w:rsidRPr="007652FC" w:rsidRDefault="00566D09" w:rsidP="007652FC">
      <w:pPr>
        <w:ind w:firstLineChars="100" w:firstLine="240"/>
        <w:rPr>
          <w:rFonts w:eastAsia="PMingLiU"/>
          <w:bCs/>
          <w:noProof/>
          <w:lang w:val="en-US" w:eastAsia="zh-TW"/>
        </w:rPr>
      </w:pPr>
    </w:p>
    <w:p w14:paraId="34E13D95" w14:textId="422447AD" w:rsidR="00596248" w:rsidRPr="006A5A80" w:rsidRDefault="007D50DA" w:rsidP="00566D09">
      <w:pPr>
        <w:rPr>
          <w:rFonts w:eastAsia="宋体"/>
          <w:b/>
          <w:noProof/>
          <w:lang w:val="en-US" w:eastAsia="zh-TW"/>
        </w:rPr>
      </w:pPr>
      <w:commentRangeStart w:id="69"/>
      <w:commentRangeStart w:id="70"/>
      <w:commentRangeEnd w:id="69"/>
      <w:r>
        <w:rPr>
          <w:rStyle w:val="a6"/>
        </w:rPr>
        <w:lastRenderedPageBreak/>
        <w:commentReference w:id="69"/>
      </w:r>
      <w:commentRangeEnd w:id="70"/>
      <w:r w:rsidR="00566D09">
        <w:rPr>
          <w:rStyle w:val="a6"/>
        </w:rPr>
        <w:commentReference w:id="70"/>
      </w:r>
      <w:r w:rsidR="00566D09">
        <w:rPr>
          <w:noProof/>
        </w:rPr>
        <w:drawing>
          <wp:inline distT="0" distB="0" distL="0" distR="0" wp14:anchorId="4735D424" wp14:editId="1E764197">
            <wp:extent cx="5934075" cy="41420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4" b="3946"/>
                    <a:stretch/>
                  </pic:blipFill>
                  <pic:spPr bwMode="auto">
                    <a:xfrm>
                      <a:off x="0" y="0"/>
                      <a:ext cx="5947295" cy="4151324"/>
                    </a:xfrm>
                    <a:prstGeom prst="rect">
                      <a:avLst/>
                    </a:prstGeom>
                    <a:noFill/>
                    <a:ln>
                      <a:noFill/>
                    </a:ln>
                    <a:extLst>
                      <a:ext uri="{53640926-AAD7-44D8-BBD7-CCE9431645EC}">
                        <a14:shadowObscured xmlns:a14="http://schemas.microsoft.com/office/drawing/2010/main"/>
                      </a:ext>
                    </a:extLst>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71" w:name="_Toc129530171"/>
      <w:bookmarkStart w:id="72" w:name="_Toc129530201"/>
      <w:r w:rsidR="003E04EC" w:rsidRPr="00C91FD8">
        <w:rPr>
          <w:rFonts w:eastAsia="宋体"/>
          <w:bCs/>
          <w:noProof/>
          <w:lang w:val="en-US" w:eastAsia="zh-TW"/>
        </w:rPr>
        <w:t>.</w:t>
      </w:r>
    </w:p>
    <w:p w14:paraId="3D49BBD5" w14:textId="185CAA4E" w:rsidR="00A13F54" w:rsidRPr="007D50DA" w:rsidRDefault="003E04EC" w:rsidP="007D50DA">
      <w:pPr>
        <w:ind w:firstLineChars="100" w:firstLine="240"/>
        <w:jc w:val="center"/>
        <w:rPr>
          <w:rFonts w:eastAsia="宋体"/>
          <w:bCs/>
          <w:noProof/>
          <w:lang w:val="en-US" w:eastAsia="zh-TW"/>
        </w:rPr>
      </w:pPr>
      <w:r w:rsidRPr="00C91FD8">
        <w:rPr>
          <w:rFonts w:eastAsia="宋体"/>
          <w:bCs/>
          <w:noProof/>
          <w:lang w:val="en-US" w:eastAsia="zh-TW"/>
        </w:rPr>
        <w:t xml:space="preserve"> </w:t>
      </w:r>
      <w:r w:rsidR="007652FC" w:rsidRPr="007652FC">
        <w:rPr>
          <w:rFonts w:eastAsia="宋体"/>
          <w:bCs/>
          <w:i/>
          <w:iCs/>
          <w:noProof/>
          <w:lang w:val="en-US" w:eastAsia="zh-TW"/>
        </w:rPr>
        <w:t>Note:</w:t>
      </w:r>
      <w:r w:rsidR="007652FC">
        <w:rPr>
          <w:rFonts w:eastAsia="宋体"/>
          <w:bCs/>
          <w:noProof/>
          <w:lang w:val="en-US" w:eastAsia="zh-TW"/>
        </w:rPr>
        <w:t xml:space="preserve"> </w:t>
      </w:r>
      <w:r w:rsidR="007D50DA" w:rsidRPr="0012437C">
        <w:rPr>
          <w:rFonts w:eastAsia="宋体"/>
          <w:bCs/>
          <w:noProof/>
          <w:sz w:val="20"/>
          <w:szCs w:val="20"/>
          <w:lang w:val="en-US" w:eastAsia="zh-TW"/>
        </w:rPr>
        <w:t xml:space="preserve">The vertical axis represents </w:t>
      </w:r>
      <w:r w:rsidR="007D50DA">
        <w:rPr>
          <w:rFonts w:eastAsia="宋体"/>
          <w:bCs/>
          <w:noProof/>
          <w:sz w:val="20"/>
          <w:szCs w:val="20"/>
          <w:lang w:val="en-US" w:eastAsia="zh-TW"/>
        </w:rPr>
        <w:t>12</w:t>
      </w:r>
      <w:r w:rsidR="007D50DA" w:rsidRPr="0012437C">
        <w:rPr>
          <w:rFonts w:eastAsia="宋体"/>
          <w:bCs/>
          <w:noProof/>
          <w:sz w:val="20"/>
          <w:szCs w:val="20"/>
          <w:lang w:val="en-US" w:eastAsia="zh-TW"/>
        </w:rPr>
        <w:t xml:space="preserve"> different </w:t>
      </w:r>
      <w:r w:rsidR="007D50DA">
        <w:rPr>
          <w:rFonts w:eastAsia="宋体"/>
          <w:bCs/>
          <w:noProof/>
          <w:sz w:val="20"/>
          <w:szCs w:val="20"/>
          <w:lang w:val="en-US" w:eastAsia="zh-TW"/>
        </w:rPr>
        <w:t>SPE measures</w:t>
      </w:r>
      <w:r w:rsidR="007D50DA" w:rsidRPr="0012437C">
        <w:rPr>
          <w:rFonts w:eastAsia="宋体"/>
          <w:bCs/>
          <w:noProof/>
          <w:sz w:val="20"/>
          <w:szCs w:val="20"/>
          <w:lang w:val="en-US" w:eastAsia="zh-TW"/>
        </w:rPr>
        <w:t xml:space="preserve">, </w:t>
      </w:r>
      <w:r w:rsidR="007D50DA">
        <w:rPr>
          <w:rFonts w:eastAsia="宋体"/>
          <w:bCs/>
          <w:noProof/>
          <w:sz w:val="20"/>
          <w:szCs w:val="20"/>
          <w:lang w:val="en-US" w:eastAsia="zh-TW"/>
        </w:rPr>
        <w:t xml:space="preserve">combining </w:t>
      </w:r>
      <w:r w:rsidR="007D50DA" w:rsidRPr="00E908FC">
        <w:rPr>
          <w:rFonts w:eastAsia="宋体"/>
          <w:bCs/>
          <w:noProof/>
          <w:sz w:val="20"/>
          <w:szCs w:val="20"/>
          <w:lang w:val="en-US" w:eastAsia="zh-TW"/>
        </w:rPr>
        <w:t>6 outcomes variables (RT, ACC, d’, η, v,</w:t>
      </w:r>
      <w:r w:rsidR="007D50DA">
        <w:rPr>
          <w:rFonts w:eastAsia="宋体"/>
          <w:bCs/>
          <w:noProof/>
          <w:sz w:val="20"/>
          <w:szCs w:val="20"/>
          <w:lang w:val="en-US" w:eastAsia="zh-TW"/>
        </w:rPr>
        <w:t xml:space="preserve"> </w:t>
      </w:r>
      <w:r w:rsidR="007D50DA" w:rsidRPr="00E908FC">
        <w:rPr>
          <w:rFonts w:eastAsia="宋体"/>
          <w:bCs/>
          <w:noProof/>
          <w:sz w:val="20"/>
          <w:szCs w:val="20"/>
          <w:lang w:val="en-US" w:eastAsia="zh-TW"/>
        </w:rPr>
        <w:t>z)</w:t>
      </w:r>
      <w:r w:rsidR="007D50DA">
        <w:rPr>
          <w:rFonts w:eastAsia="宋体"/>
          <w:bCs/>
          <w:noProof/>
          <w:sz w:val="20"/>
          <w:szCs w:val="20"/>
          <w:lang w:val="en-US" w:eastAsia="zh-TW"/>
        </w:rPr>
        <w:t xml:space="preserve"> and 2 contrasts (</w:t>
      </w:r>
      <w:r w:rsidR="007D50DA" w:rsidRPr="0012437C">
        <w:rPr>
          <w:rFonts w:eastAsia="宋体"/>
          <w:bCs/>
          <w:noProof/>
          <w:sz w:val="20"/>
          <w:szCs w:val="20"/>
          <w:lang w:val="en-US" w:eastAsia="zh-TW"/>
        </w:rPr>
        <w:t>close other, stranger</w:t>
      </w:r>
      <w:r w:rsidR="007D50DA">
        <w:rPr>
          <w:rFonts w:eastAsia="宋体"/>
          <w:bCs/>
          <w:noProof/>
          <w:sz w:val="20"/>
          <w:szCs w:val="20"/>
          <w:lang w:val="en-US" w:eastAsia="zh-TW"/>
        </w:rPr>
        <w:t>).</w:t>
      </w:r>
      <w:r w:rsidR="007D50DA" w:rsidRPr="007D50DA">
        <w:rPr>
          <w:rFonts w:eastAsia="宋体"/>
          <w:bCs/>
          <w:noProof/>
          <w:sz w:val="20"/>
          <w:szCs w:val="20"/>
          <w:lang w:val="en-US" w:eastAsia="zh-TW"/>
        </w:rPr>
        <w:t>The upper facet of the figure presents the results for ICC2</w:t>
      </w:r>
      <w:r w:rsidR="00F363CC">
        <w:rPr>
          <w:rFonts w:eastAsia="宋体"/>
          <w:bCs/>
          <w:noProof/>
          <w:sz w:val="20"/>
          <w:szCs w:val="20"/>
          <w:lang w:val="en-US" w:eastAsia="zh-TW"/>
        </w:rPr>
        <w:t>k</w:t>
      </w:r>
      <w:r w:rsidR="007D50DA" w:rsidRPr="007D50DA">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73"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1"/>
      <w:bookmarkEnd w:id="72"/>
      <w:bookmarkEnd w:id="73"/>
    </w:p>
    <w:p w14:paraId="104E83E2" w14:textId="2E047344" w:rsidR="004B58E5" w:rsidRPr="00A1133E" w:rsidRDefault="004B58E5" w:rsidP="00233CA0">
      <w:pPr>
        <w:ind w:firstLine="720"/>
        <w:rPr>
          <w:rFonts w:eastAsia="Calibri"/>
        </w:rPr>
      </w:pPr>
      <w:r w:rsidRPr="004B58E5">
        <w:rPr>
          <w:rFonts w:eastAsia="Calibri"/>
        </w:rPr>
        <w:t>Despite the significance of assessing the reliability of a behavioral paradigm before its implementation, this practice is not yet extensively embraced by researchers</w:t>
      </w:r>
      <w:r>
        <w:rPr>
          <w:rFonts w:eastAsia="Calibri"/>
        </w:rPr>
        <w:t xml:space="preserve"> </w: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 </w:instrTex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EN.CITE.DATA </w:instrText>
      </w:r>
      <w:r w:rsidR="00D70160">
        <w:rPr>
          <w:rFonts w:eastAsia="Calibri"/>
        </w:rPr>
      </w:r>
      <w:r w:rsidR="00D70160">
        <w:rPr>
          <w:rFonts w:eastAsia="Calibri"/>
        </w:rPr>
        <w:fldChar w:fldCharType="end"/>
      </w:r>
      <w:r w:rsidR="00D70160">
        <w:rPr>
          <w:rFonts w:eastAsia="Calibri"/>
        </w:rPr>
      </w:r>
      <w:r w:rsidR="00D70160">
        <w:rPr>
          <w:rFonts w:eastAsia="Calibri"/>
        </w:rPr>
        <w:fldChar w:fldCharType="separate"/>
      </w:r>
      <w:r w:rsidR="00D70160">
        <w:rPr>
          <w:rFonts w:eastAsia="Calibri"/>
        </w:rPr>
        <w:t>(Green et al., 2016; Hedge et al., 2018; Parsons et al., 2019)</w:t>
      </w:r>
      <w:r w:rsidR="00D70160">
        <w:rPr>
          <w:rFonts w:eastAsia="Calibri"/>
        </w:rPr>
        <w:fldChar w:fldCharType="end"/>
      </w:r>
      <w:r w:rsidR="00D70160" w:rsidRPr="00A37F7F">
        <w:rPr>
          <w:rFonts w:eastAsia="Calibri"/>
        </w:rPr>
        <w:t xml:space="preserve">. In this pre-registered study, our objective is to investigate the reliability of the </w:t>
      </w:r>
      <w:r w:rsidR="00844663" w:rsidRPr="004B58E5">
        <w:rPr>
          <w:rFonts w:eastAsia="Calibri"/>
        </w:rPr>
        <w:t xml:space="preserve">outcome variables </w:t>
      </w:r>
      <w:r w:rsidR="00D70160" w:rsidRPr="00A37F7F">
        <w:rPr>
          <w:rFonts w:eastAsia="Calibri"/>
        </w:rPr>
        <w:t>related to the</w:t>
      </w:r>
      <w:r w:rsidR="00844663" w:rsidRPr="00A37F7F">
        <w:rPr>
          <w:rFonts w:eastAsia="Calibri"/>
        </w:rPr>
        <w:t xml:space="preserve"> </w:t>
      </w:r>
      <w:r w:rsidR="00D70160" w:rsidRPr="00A37F7F">
        <w:rPr>
          <w:rFonts w:eastAsia="Calibri"/>
        </w:rPr>
        <w:t>SPE</w:t>
      </w:r>
      <w:r w:rsidR="00844663" w:rsidRPr="004B58E5">
        <w:rPr>
          <w:rFonts w:eastAsia="Calibri"/>
        </w:rPr>
        <w:t xml:space="preserve"> measures</w:t>
      </w:r>
      <w:r w:rsidR="00D70160" w:rsidRPr="00A37F7F">
        <w:rPr>
          <w:rFonts w:eastAsia="Calibri"/>
        </w:rPr>
        <w:t xml:space="preserve"> in the SPM</w:t>
      </w:r>
      <w:r w:rsidR="00844663" w:rsidRPr="004B58E5">
        <w:rPr>
          <w:rFonts w:eastAsia="Calibri"/>
        </w:rPr>
        <w:t>T</w:t>
      </w:r>
      <w:r w:rsidR="00D70160" w:rsidRPr="00A37F7F">
        <w:rPr>
          <w:rFonts w:eastAsia="Calibri"/>
        </w:rPr>
        <w:t>.</w:t>
      </w:r>
      <w:r w:rsidR="00D70160">
        <w:rPr>
          <w:rFonts w:eastAsia="Calibri"/>
        </w:rPr>
        <w:t xml:space="preserve"> </w:t>
      </w:r>
      <w:r w:rsidR="00D70160" w:rsidRPr="00900F8B">
        <w:rPr>
          <w:rFonts w:eastAsia="Calibri"/>
        </w:rPr>
        <w:t xml:space="preserve">To achieve this, we conducted a re-analysis of data from 18 datasets across </w:t>
      </w:r>
      <w:r>
        <w:rPr>
          <w:rFonts w:eastAsia="Calibri"/>
        </w:rPr>
        <w:t>9</w:t>
      </w:r>
      <w:r w:rsidR="00D70160" w:rsidRPr="00900F8B">
        <w:rPr>
          <w:rFonts w:eastAsia="Calibri"/>
        </w:rPr>
        <w:t xml:space="preserve"> articles</w:t>
      </w:r>
      <w:r>
        <w:rPr>
          <w:rFonts w:eastAsia="Calibri"/>
        </w:rPr>
        <w:t xml:space="preserve"> and 2 projects</w:t>
      </w:r>
      <w:r w:rsidR="00D70160" w:rsidRPr="00900F8B">
        <w:rPr>
          <w:rFonts w:eastAsia="Calibri"/>
        </w:rPr>
        <w:t>, utilizing split-half reliability and intraclass correlation coefficient (ICC2, ICC</w:t>
      </w:r>
      <w:r w:rsidR="0033038D">
        <w:rPr>
          <w:rFonts w:eastAsia="Calibri"/>
        </w:rPr>
        <w:t>2k</w:t>
      </w:r>
      <w:r w:rsidR="00D70160" w:rsidRPr="00900F8B">
        <w:rPr>
          <w:rFonts w:eastAsia="Calibri"/>
        </w:rPr>
        <w:t>).</w:t>
      </w:r>
      <w:r w:rsidR="00233CA0">
        <w:rPr>
          <w:rFonts w:eastAsia="Calibri"/>
        </w:rPr>
        <w:t xml:space="preserve"> </w:t>
      </w:r>
      <w:r w:rsidR="00D70160" w:rsidRPr="00900F8B">
        <w:rPr>
          <w:rFonts w:eastAsia="Calibri"/>
        </w:rPr>
        <w:t xml:space="preserve">Our findings reveal that </w:t>
      </w:r>
      <w:r>
        <w:rPr>
          <w:rFonts w:eastAsia="Calibri"/>
        </w:rPr>
        <w:t xml:space="preserve">the </w:t>
      </w:r>
      <w:r w:rsidR="00D70160" w:rsidRPr="00900F8B">
        <w:rPr>
          <w:rFonts w:eastAsia="Calibri"/>
        </w:rPr>
        <w:t>reaction time and efficiency demonstrated better results</w:t>
      </w:r>
      <w:r w:rsidRPr="00900F8B">
        <w:rPr>
          <w:rFonts w:eastAsia="Calibri"/>
        </w:rPr>
        <w:t xml:space="preserve"> in terms of split-half reliability and test-retest reliability</w:t>
      </w:r>
      <w:r w:rsidRPr="004B58E5">
        <w:rPr>
          <w:rFonts w:eastAsia="Calibri"/>
        </w:rPr>
        <w:t xml:space="preserve"> (ICC2</w:t>
      </w:r>
      <w:r>
        <w:rPr>
          <w:rFonts w:eastAsia="Calibri"/>
        </w:rPr>
        <w:t>, ICC2k</w:t>
      </w:r>
      <w:r w:rsidRPr="004B58E5">
        <w:rPr>
          <w:rFonts w:eastAsia="Calibri"/>
        </w:rPr>
        <w:t>)</w:t>
      </w:r>
      <w:r w:rsidRPr="00900F8B">
        <w:rPr>
          <w:rFonts w:eastAsia="Calibri"/>
        </w:rPr>
        <w:t xml:space="preserve">, </w:t>
      </w:r>
      <w:r>
        <w:rPr>
          <w:rFonts w:eastAsia="Calibri"/>
        </w:rPr>
        <w:t xml:space="preserve">with weight average </w:t>
      </w:r>
      <w:r w:rsidRPr="00900F8B">
        <w:rPr>
          <w:rFonts w:eastAsia="Calibri"/>
        </w:rPr>
        <w:t>split-half reliability</w:t>
      </w:r>
      <w:r>
        <w:rPr>
          <w:rFonts w:eastAsia="Calibri"/>
        </w:rPr>
        <w:t xml:space="preserve"> around 0.6 or higher, ICC2 around 0.5 or higher, ICC2k higher than 0.7. All</w:t>
      </w:r>
      <w:r w:rsidRPr="00900F8B">
        <w:rPr>
          <w:rFonts w:eastAsia="Calibri"/>
        </w:rPr>
        <w:t xml:space="preserve"> the </w:t>
      </w:r>
      <w:r>
        <w:rPr>
          <w:rFonts w:eastAsia="Calibri"/>
        </w:rPr>
        <w:t xml:space="preserve">other </w:t>
      </w:r>
      <w:r w:rsidRPr="004B58E5">
        <w:rPr>
          <w:rFonts w:eastAsia="Calibri"/>
        </w:rPr>
        <w:t xml:space="preserve">outcome variables </w:t>
      </w:r>
      <w:r w:rsidRPr="00900F8B">
        <w:rPr>
          <w:rFonts w:eastAsia="Calibri"/>
        </w:rPr>
        <w:t>performed poorly</w:t>
      </w:r>
      <w:r>
        <w:rPr>
          <w:rFonts w:eastAsia="Calibri"/>
        </w:rPr>
        <w:t xml:space="preserve">, with weight average </w:t>
      </w:r>
      <w:r w:rsidRPr="00900F8B">
        <w:rPr>
          <w:rFonts w:eastAsia="Calibri"/>
        </w:rPr>
        <w:t>split-half reliability</w:t>
      </w:r>
      <w:r>
        <w:rPr>
          <w:rFonts w:eastAsia="Calibri"/>
        </w:rPr>
        <w:t xml:space="preserve"> lower than </w:t>
      </w:r>
      <w:r w:rsidR="00233CA0">
        <w:rPr>
          <w:rFonts w:eastAsia="Calibri"/>
        </w:rPr>
        <w:t xml:space="preserve">0.5, ICC2 lower than </w:t>
      </w:r>
      <w:r w:rsidR="00233CA0">
        <w:rPr>
          <w:rFonts w:eastAsia="Calibri"/>
          <w:lang w:val="en-US"/>
        </w:rPr>
        <w:t xml:space="preserve">0.5, ICC2k lower than 0.7. </w:t>
      </w:r>
      <w:r w:rsidRPr="004B58E5">
        <w:rPr>
          <w:rFonts w:eastAsia="Calibri"/>
        </w:rPr>
        <w:t>The comprehensive analysis of these datasets collectively suggests that reaction time</w:t>
      </w:r>
      <w:r w:rsidR="00233CA0">
        <w:rPr>
          <w:rFonts w:eastAsia="Calibri"/>
        </w:rPr>
        <w:t xml:space="preserve"> </w:t>
      </w:r>
      <w:r w:rsidRPr="004B58E5">
        <w:rPr>
          <w:rFonts w:eastAsia="Calibri"/>
        </w:rPr>
        <w:t>and efficiency are the most reliable outcome variables among all measured in the SPMT</w:t>
      </w:r>
      <w:r w:rsidR="00233CA0">
        <w:rPr>
          <w:rFonts w:eastAsia="Calibri"/>
        </w:rPr>
        <w:t>.</w:t>
      </w:r>
      <w:r w:rsidR="00233CA0">
        <w:rPr>
          <w:rFonts w:ascii="微软雅黑" w:eastAsia="微软雅黑" w:hAnsi="微软雅黑" w:cs="微软雅黑"/>
          <w:lang w:val="en-US"/>
        </w:rPr>
        <w:t xml:space="preserve"> </w:t>
      </w:r>
      <w:r w:rsidRPr="004B58E5">
        <w:rPr>
          <w:rFonts w:eastAsia="Calibri"/>
        </w:rPr>
        <w:t xml:space="preserve">Moreover, the pattern observed in the ICC values suggests that reaction time and efficiency in the SPMT are better suited for group-level analysis rather than assessing individual-level variation. </w:t>
      </w:r>
    </w:p>
    <w:p w14:paraId="57922B37" w14:textId="3AFC08EC" w:rsidR="00D70160" w:rsidRPr="00F83FD2" w:rsidRDefault="00D70160" w:rsidP="00397046">
      <w:pPr>
        <w:ind w:firstLineChars="100" w:firstLine="240"/>
        <w:rPr>
          <w:rFonts w:eastAsiaTheme="minorEastAsia"/>
          <w:color w:val="000000" w:themeColor="text1"/>
          <w:lang w:val="en-US" w:eastAsia="zh-TW"/>
        </w:rPr>
      </w:pPr>
      <w:r w:rsidRPr="00F83FD2">
        <w:rPr>
          <w:rFonts w:eastAsia="Calibri"/>
          <w:color w:val="000000" w:themeColor="text1"/>
        </w:rPr>
        <w:lastRenderedPageBreak/>
        <w:t xml:space="preserve">Although the Reaction Time (RT) and Efficiency indices yielded relatively better results compared to other indices, they still fell short of achieving commonly considered excellent reliability levels (typically </w:t>
      </w:r>
      <w:r w:rsidR="00233CA0" w:rsidRPr="00A37F7F">
        <w:rPr>
          <w:lang w:val="en-US"/>
        </w:rPr>
        <w:t>a value greater than 0.8 means excellent reliability</w:t>
      </w:r>
      <w:r w:rsidRPr="00F83FD2">
        <w:rPr>
          <w:rFonts w:eastAsia="Calibri"/>
          <w:color w:val="000000" w:themeColor="text1"/>
        </w:rPr>
        <w:t xml:space="preserve">) </w:t>
      </w:r>
      <w:r w:rsidRPr="00F83FD2">
        <w:rPr>
          <w:rFonts w:eastAsia="Calibri"/>
          <w:color w:val="000000" w:themeColor="text1"/>
        </w:rPr>
        <w:fldChar w:fldCharType="begin"/>
      </w:r>
      <w:r w:rsidRPr="00F83FD2">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F83FD2">
        <w:rPr>
          <w:rFonts w:eastAsia="Calibri"/>
          <w:color w:val="000000" w:themeColor="text1"/>
        </w:rPr>
        <w:fldChar w:fldCharType="separate"/>
      </w:r>
      <w:r w:rsidRPr="00F83FD2">
        <w:rPr>
          <w:rFonts w:eastAsia="Calibri"/>
          <w:noProof/>
          <w:color w:val="000000" w:themeColor="text1"/>
        </w:rPr>
        <w:t>(Cicchetti &amp; Sparrow, 1981; Kupper &amp; Hafner, 1989)</w:t>
      </w:r>
      <w:r w:rsidRPr="00F83FD2">
        <w:rPr>
          <w:rFonts w:eastAsia="Calibri"/>
          <w:color w:val="000000" w:themeColor="text1"/>
        </w:rPr>
        <w:fldChar w:fldCharType="end"/>
      </w:r>
      <w:r w:rsidRPr="00F83FD2">
        <w:rPr>
          <w:rFonts w:eastAsia="Calibri"/>
          <w:color w:val="000000" w:themeColor="text1"/>
        </w:rPr>
        <w:t>.</w:t>
      </w:r>
      <w:r w:rsidR="00233CA0">
        <w:rPr>
          <w:rFonts w:eastAsiaTheme="minorEastAsia"/>
          <w:color w:val="000000" w:themeColor="text1"/>
          <w:lang w:val="en-US" w:eastAsia="zh-TW"/>
        </w:rPr>
        <w:t xml:space="preserve"> </w:t>
      </w:r>
      <w:r w:rsidR="00233CA0" w:rsidRPr="00F83FD2">
        <w:rPr>
          <w:rFonts w:eastAsiaTheme="minorEastAsia"/>
          <w:color w:val="000000" w:themeColor="text1"/>
          <w:lang w:eastAsia="zh-TW"/>
        </w:rPr>
        <w:t xml:space="preserve">The low split-half reliability </w:t>
      </w:r>
      <w:r w:rsidR="00233CA0" w:rsidRPr="00F83FD2">
        <w:rPr>
          <w:rFonts w:eastAsiaTheme="minorEastAsia"/>
          <w:color w:val="000000" w:themeColor="text1"/>
          <w:lang w:val="en-US" w:eastAsia="zh-TW"/>
        </w:rPr>
        <w:t xml:space="preserve">and low ICC2 </w:t>
      </w:r>
      <w:r w:rsidR="00233CA0" w:rsidRPr="00F83FD2">
        <w:rPr>
          <w:rFonts w:eastAsiaTheme="minorEastAsia"/>
          <w:color w:val="000000" w:themeColor="text1"/>
          <w:lang w:eastAsia="zh-TW"/>
        </w:rPr>
        <w:t xml:space="preserve">may suggest that </w:t>
      </w:r>
      <w:r w:rsidR="00397046">
        <w:rPr>
          <w:rFonts w:eastAsiaTheme="minorEastAsia"/>
          <w:color w:val="000000" w:themeColor="text1"/>
          <w:lang w:eastAsia="zh-TW"/>
        </w:rPr>
        <w:t xml:space="preserve">the </w:t>
      </w:r>
      <w:r w:rsidR="00397046">
        <w:rPr>
          <w:rFonts w:eastAsiaTheme="minorEastAsia"/>
          <w:color w:val="000000" w:themeColor="text1"/>
          <w:lang w:val="en-US" w:eastAsia="zh-TW"/>
        </w:rPr>
        <w:t>SPMT</w:t>
      </w:r>
      <w:r w:rsidR="00233CA0" w:rsidRPr="00F83FD2">
        <w:rPr>
          <w:rFonts w:eastAsiaTheme="minorEastAsia"/>
          <w:color w:val="000000" w:themeColor="text1"/>
          <w:lang w:val="en-US" w:eastAsia="zh-TW"/>
        </w:rPr>
        <w:t xml:space="preserve"> is </w:t>
      </w:r>
      <w:r w:rsidR="00233CA0" w:rsidRPr="00F83FD2">
        <w:rPr>
          <w:rFonts w:eastAsia="Calibri"/>
          <w:color w:val="000000" w:themeColor="text1"/>
        </w:rPr>
        <w:t>not suitable for assessing individual-level variation</w:t>
      </w:r>
      <w:r w:rsidR="00233CA0" w:rsidRPr="00F83FD2">
        <w:rPr>
          <w:rFonts w:eastAsia="Calibri"/>
          <w:color w:val="000000" w:themeColor="text1"/>
          <w:lang w:val="en-US"/>
        </w:rPr>
        <w:t>.</w:t>
      </w:r>
      <w:r w:rsidR="00397046">
        <w:rPr>
          <w:rFonts w:eastAsiaTheme="minorEastAsia"/>
          <w:color w:val="000000" w:themeColor="text1"/>
          <w:lang w:val="en-US" w:eastAsia="zh-TW"/>
        </w:rPr>
        <w:t xml:space="preserve"> </w:t>
      </w:r>
      <w:r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Kucina et al. (2023)</w:t>
      </w:r>
      <w:r w:rsidRPr="00F83FD2">
        <w:rPr>
          <w:rFonts w:eastAsiaTheme="minorEastAsia"/>
          <w:color w:val="000000" w:themeColor="text1"/>
        </w:rPr>
        <w:fldChar w:fldCharType="end"/>
      </w:r>
      <w:r w:rsidRPr="00F83FD2">
        <w:rPr>
          <w:rFonts w:eastAsiaTheme="minorEastAsia"/>
          <w:color w:val="000000" w:themeColor="text1"/>
        </w:rPr>
        <w:t xml:space="preserve"> </w:t>
      </w:r>
      <w:r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Pr="00F83FD2">
        <w:rPr>
          <w:rFonts w:eastAsiaTheme="minorEastAsia"/>
          <w:color w:val="000000" w:themeColor="text1"/>
          <w:lang w:eastAsia="zh-TW"/>
        </w:rPr>
        <w:t xml:space="preserve">. Specifically, the study identified that satisfactory reliability required 48 or </w:t>
      </w:r>
      <w:r w:rsidRPr="00F83FD2">
        <w:rPr>
          <w:rFonts w:eastAsiaTheme="minorEastAsia" w:hint="eastAsia"/>
          <w:color w:val="000000" w:themeColor="text1"/>
        </w:rPr>
        <w:t>more</w:t>
      </w:r>
      <w:r w:rsidRPr="00F83FD2">
        <w:rPr>
          <w:rFonts w:eastAsiaTheme="minorEastAsia"/>
          <w:color w:val="000000" w:themeColor="text1"/>
        </w:rPr>
        <w:t xml:space="preserve"> </w:t>
      </w:r>
      <w:r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w:t>
      </w:r>
      <w:r w:rsidR="00162BBB">
        <w:rPr>
          <w:rFonts w:eastAsiaTheme="minorEastAsia"/>
          <w:color w:val="000000" w:themeColor="text1"/>
          <w:lang w:eastAsia="zh-TW"/>
        </w:rPr>
        <w:t>(</w:t>
      </w:r>
      <w:r w:rsidR="00837D15" w:rsidRPr="00F83FD2">
        <w:rPr>
          <w:rFonts w:eastAsiaTheme="minorEastAsia"/>
          <w:color w:val="000000" w:themeColor="text1"/>
          <w:lang w:eastAsia="zh-TW"/>
        </w:rPr>
        <w:t xml:space="preserve">Fig. </w:t>
      </w:r>
      <w:r w:rsidR="00162BBB">
        <w:rPr>
          <w:rFonts w:eastAsiaTheme="minorEastAsia"/>
          <w:color w:val="000000" w:themeColor="text1"/>
          <w:lang w:eastAsia="zh-TW"/>
        </w:rPr>
        <w:t>6)</w:t>
      </w:r>
      <w:r w:rsidR="00837D15" w:rsidRPr="00F83FD2">
        <w:rPr>
          <w:rFonts w:eastAsiaTheme="minorEastAsia"/>
          <w:color w:val="000000" w:themeColor="text1"/>
          <w:lang w:eastAsia="zh-TW"/>
        </w:rPr>
        <w:t xml:space="preserve">, we calculated the correlation coefficient between the trial numbers and the Monte Carlo split-half reliabilities. We found a strong positive correlation between </w:t>
      </w:r>
      <w:r w:rsidR="008719D7">
        <w:rPr>
          <w:rFonts w:eastAsiaTheme="minorEastAsia"/>
          <w:color w:val="000000" w:themeColor="text1"/>
          <w:lang w:eastAsia="zh-TW"/>
        </w:rPr>
        <w:t>several</w:t>
      </w:r>
      <w:r w:rsidR="00837D15" w:rsidRPr="00F83FD2">
        <w:rPr>
          <w:rFonts w:eastAsiaTheme="minorEastAsia"/>
          <w:color w:val="000000" w:themeColor="text1"/>
          <w:lang w:eastAsia="zh-TW"/>
        </w:rPr>
        <w:t xml:space="preserve"> metrics, such as RT and </w:t>
      </w:r>
      <w:r w:rsidR="008719D7">
        <w:rPr>
          <w:rFonts w:eastAsiaTheme="minorEastAsia"/>
          <w:color w:val="000000" w:themeColor="text1"/>
          <w:lang w:eastAsia="zh-TW"/>
        </w:rPr>
        <w:t>e</w:t>
      </w:r>
      <w:r w:rsidR="00837D15" w:rsidRPr="00F83FD2">
        <w:rPr>
          <w:rFonts w:eastAsiaTheme="minorEastAsia"/>
          <w:color w:val="000000" w:themeColor="text1"/>
          <w:lang w:eastAsia="zh-TW"/>
        </w:rPr>
        <w:t xml:space="preserve">fficiency. </w:t>
      </w:r>
      <w:r w:rsidRPr="00F83FD2">
        <w:rPr>
          <w:rFonts w:eastAsiaTheme="minorEastAsia"/>
          <w:color w:val="000000" w:themeColor="text1"/>
          <w:lang w:eastAsia="zh-TW"/>
        </w:rPr>
        <w:t xml:space="preserve">Therefore, incorporating a higher number of trials in future implementations of the SPMT paradigm may enhance </w:t>
      </w:r>
      <w:r w:rsidR="008719D7">
        <w:rPr>
          <w:rFonts w:eastAsiaTheme="minorEastAsia"/>
          <w:color w:val="000000" w:themeColor="text1"/>
          <w:lang w:eastAsia="zh-TW"/>
        </w:rPr>
        <w:t xml:space="preserve">the </w:t>
      </w:r>
      <w:r w:rsidRPr="00F83FD2">
        <w:rPr>
          <w:rFonts w:eastAsiaTheme="minorEastAsia"/>
          <w:color w:val="000000" w:themeColor="text1"/>
          <w:lang w:eastAsia="zh-TW"/>
        </w:rPr>
        <w:t>split-half reliability by improving measurement consistency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 xml:space="preserve">Secondly, the presence of a practice effect </w:t>
      </w:r>
      <w:r w:rsidRPr="00F83FD2">
        <w:rPr>
          <w:rFonts w:eastAsiaTheme="minorEastAsia" w:hint="eastAsia"/>
          <w:color w:val="000000" w:themeColor="text1"/>
        </w:rPr>
        <w:t>or</w:t>
      </w:r>
      <w:r w:rsidRPr="00F83FD2">
        <w:rPr>
          <w:rFonts w:eastAsiaTheme="minorEastAsia"/>
          <w:color w:val="000000" w:themeColor="text1"/>
        </w:rPr>
        <w:t xml:space="preserve"> </w:t>
      </w:r>
      <w:r w:rsidRPr="00F83FD2">
        <w:rPr>
          <w:rFonts w:eastAsiaTheme="minorEastAsia"/>
          <w:color w:val="000000" w:themeColor="text1"/>
          <w:lang w:val="en-US"/>
        </w:rPr>
        <w:t xml:space="preserve">fatigue effect </w:t>
      </w:r>
      <w:r w:rsidRPr="00F83FD2">
        <w:rPr>
          <w:rFonts w:eastAsiaTheme="minorEastAsia" w:hint="eastAsia"/>
          <w:color w:val="000000" w:themeColor="text1"/>
        </w:rPr>
        <w:t>c</w:t>
      </w:r>
      <w:r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Pr="00F83FD2">
        <w:rPr>
          <w:rFonts w:eastAsiaTheme="minorEastAsia"/>
          <w:color w:val="000000" w:themeColor="text1"/>
          <w:lang w:val="en-US" w:eastAsia="zh-TW"/>
        </w:rPr>
        <w:t xml:space="preserve">se </w:t>
      </w:r>
      <w:r w:rsidRPr="00F83FD2">
        <w:rPr>
          <w:rFonts w:eastAsiaTheme="minorEastAsia"/>
          <w:color w:val="000000" w:themeColor="text1"/>
          <w:lang w:eastAsia="zh-TW"/>
        </w:rPr>
        <w:t>effect</w:t>
      </w:r>
      <w:r w:rsidRPr="00F83FD2">
        <w:rPr>
          <w:rFonts w:eastAsiaTheme="minorEastAsia"/>
          <w:color w:val="000000" w:themeColor="text1"/>
          <w:lang w:val="en-US" w:eastAsia="zh-TW"/>
        </w:rPr>
        <w:t xml:space="preserve">s are </w:t>
      </w:r>
      <w:r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(Oswald et al., 2015; Siegelman et al., 2017)</w:t>
      </w:r>
      <w:r w:rsidRPr="00F83FD2">
        <w:rPr>
          <w:rFonts w:eastAsiaTheme="minorEastAsia"/>
          <w:color w:val="000000" w:themeColor="text1"/>
          <w:lang w:eastAsia="zh-TW"/>
        </w:rPr>
        <w:fldChar w:fldCharType="end"/>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(Hedge et al., 2018).</w:t>
      </w:r>
      <w:r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Pr="00F83FD2">
        <w:rPr>
          <w:rFonts w:eastAsiaTheme="minorEastAsia"/>
          <w:color w:val="000000" w:themeColor="text1"/>
          <w:lang w:val="en-US" w:eastAsia="zh-TW"/>
        </w:rPr>
        <w:fldChar w:fldCharType="begin"/>
      </w:r>
      <w:r w:rsidRPr="00F83FD2">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F83FD2">
        <w:rPr>
          <w:rFonts w:eastAsiaTheme="minorEastAsia"/>
          <w:color w:val="000000" w:themeColor="text1"/>
          <w:lang w:val="en-US" w:eastAsia="zh-TW"/>
        </w:rPr>
        <w:fldChar w:fldCharType="separate"/>
      </w:r>
      <w:r w:rsidRPr="00F83FD2">
        <w:rPr>
          <w:rFonts w:eastAsiaTheme="minorEastAsia"/>
          <w:noProof/>
          <w:color w:val="000000" w:themeColor="text1"/>
          <w:lang w:val="en-US" w:eastAsia="zh-TW"/>
        </w:rPr>
        <w:t>(Friehs et al., 2020)</w:t>
      </w:r>
      <w:r w:rsidRPr="00F83FD2">
        <w:rPr>
          <w:rFonts w:eastAsiaTheme="minorEastAsia"/>
          <w:color w:val="000000" w:themeColor="text1"/>
          <w:lang w:val="en-US" w:eastAsia="zh-TW"/>
        </w:rPr>
        <w:fldChar w:fldCharType="end"/>
      </w:r>
      <w:r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Finally, </w:t>
      </w:r>
      <w:r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(Mei et al., 2023)</w:t>
      </w:r>
      <w:r w:rsidRPr="00F83FD2">
        <w:rPr>
          <w:rFonts w:eastAsiaTheme="minorEastAsia"/>
          <w:color w:val="000000" w:themeColor="text1"/>
        </w:rPr>
        <w:fldChar w:fldCharType="end"/>
      </w:r>
      <w:r w:rsidR="00397046">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1D90CC1A" w14:textId="574534C8" w:rsidR="00D70160" w:rsidRPr="00F83FD2" w:rsidRDefault="00D70160" w:rsidP="00397046">
      <w:pPr>
        <w:ind w:firstLineChars="100" w:firstLine="240"/>
        <w:rPr>
          <w:rFonts w:eastAsiaTheme="minorEastAsia"/>
          <w:color w:val="000000" w:themeColor="text1"/>
          <w:lang w:eastAsia="zh-TW"/>
        </w:rPr>
      </w:pPr>
      <w:r w:rsidRPr="00F83FD2">
        <w:rPr>
          <w:rFonts w:eastAsiaTheme="minorEastAsia"/>
          <w:color w:val="000000" w:themeColor="text1"/>
        </w:rPr>
        <w:t xml:space="preserve">We would like to emphasize the importance of considering the parameters </w:t>
      </w:r>
      <w:r w:rsidR="00397046">
        <w:rPr>
          <w:rFonts w:eastAsiaTheme="minorEastAsia"/>
          <w:color w:val="000000" w:themeColor="text1"/>
        </w:rPr>
        <w:t>(</w:t>
      </w:r>
      <w:r w:rsidR="00397046" w:rsidRPr="00397046">
        <w:rPr>
          <w:rFonts w:eastAsiaTheme="minorEastAsia"/>
          <w:i/>
          <w:iCs/>
          <w:color w:val="000000" w:themeColor="text1"/>
        </w:rPr>
        <w:t>v</w:t>
      </w:r>
      <w:r w:rsidR="00397046">
        <w:rPr>
          <w:rFonts w:eastAsiaTheme="minorEastAsia"/>
          <w:color w:val="000000" w:themeColor="text1"/>
        </w:rPr>
        <w:t xml:space="preserve"> and </w:t>
      </w:r>
      <w:r w:rsidR="00397046" w:rsidRPr="00397046">
        <w:rPr>
          <w:rFonts w:eastAsiaTheme="minorEastAsia"/>
          <w:i/>
          <w:iCs/>
          <w:color w:val="000000" w:themeColor="text1"/>
        </w:rPr>
        <w:t>z</w:t>
      </w:r>
      <w:r w:rsidR="00397046">
        <w:rPr>
          <w:rFonts w:eastAsiaTheme="minorEastAsia"/>
          <w:color w:val="000000" w:themeColor="text1"/>
        </w:rPr>
        <w:t xml:space="preserve">) </w:t>
      </w:r>
      <w:r w:rsidRPr="00F83FD2">
        <w:rPr>
          <w:rFonts w:eastAsiaTheme="minorEastAsia"/>
          <w:color w:val="000000" w:themeColor="text1"/>
        </w:rPr>
        <w:t>derived from the drift diffusion model within the SPMT</w:t>
      </w:r>
      <w:r w:rsidRPr="00F83FD2">
        <w:rPr>
          <w:rFonts w:eastAsiaTheme="minorEastAsia"/>
          <w:color w:val="000000" w:themeColor="text1"/>
          <w:lang w:val="en-US"/>
        </w:rPr>
        <w:t xml:space="preserve">. </w:t>
      </w:r>
      <w:r w:rsidRPr="00F83FD2">
        <w:rPr>
          <w:rFonts w:eastAsiaTheme="minorEastAsia"/>
          <w:color w:val="000000" w:themeColor="text1"/>
        </w:rPr>
        <w:t xml:space="preserve">Our findings indicate that the </w:t>
      </w:r>
      <w:r w:rsidR="00397046" w:rsidRPr="00E908FC">
        <w:rPr>
          <w:lang w:val="en-US"/>
        </w:rPr>
        <w:t>weighted average split-half reliability</w:t>
      </w:r>
      <w:r w:rsidR="00397046">
        <w:rPr>
          <w:lang w:val="en-US"/>
        </w:rPr>
        <w:t xml:space="preserve"> </w:t>
      </w:r>
      <w:r w:rsidR="0077573D" w:rsidRPr="00F83FD2">
        <w:rPr>
          <w:rFonts w:eastAsiaTheme="minorEastAsia"/>
          <w:color w:val="000000" w:themeColor="text1"/>
        </w:rPr>
        <w:t xml:space="preserve">and </w:t>
      </w:r>
      <w:r w:rsidRPr="00F83FD2">
        <w:rPr>
          <w:rFonts w:eastAsiaTheme="minorEastAsia"/>
          <w:color w:val="000000" w:themeColor="text1"/>
        </w:rPr>
        <w:t xml:space="preserve">test-retest reliability of the model parameters was notably </w:t>
      </w:r>
      <w:r w:rsidR="0077573D" w:rsidRPr="00F83FD2">
        <w:rPr>
          <w:rFonts w:eastAsiaTheme="minorEastAsia"/>
          <w:color w:val="000000" w:themeColor="text1"/>
          <w:lang w:eastAsia="zh-TW"/>
        </w:rPr>
        <w:t>low</w:t>
      </w:r>
      <w:r w:rsidR="00397046">
        <w:rPr>
          <w:rFonts w:eastAsiaTheme="minorEastAsia"/>
          <w:color w:val="000000" w:themeColor="text1"/>
          <w:lang w:eastAsia="zh-TW"/>
        </w:rPr>
        <w:t xml:space="preserve"> (WASR lower than 0.5 for </w:t>
      </w:r>
      <w:r w:rsidR="00397046" w:rsidRPr="00397046">
        <w:rPr>
          <w:rFonts w:eastAsiaTheme="minorEastAsia"/>
          <w:i/>
          <w:iCs/>
          <w:color w:val="000000" w:themeColor="text1"/>
          <w:lang w:eastAsia="zh-TW"/>
        </w:rPr>
        <w:t>v</w:t>
      </w:r>
      <w:r w:rsidR="00397046" w:rsidRPr="00397046">
        <w:rPr>
          <w:rFonts w:eastAsiaTheme="minorEastAsia"/>
          <w:color w:val="000000" w:themeColor="text1"/>
          <w:lang w:eastAsia="zh-TW"/>
        </w:rPr>
        <w:t>, around 0 for</w:t>
      </w:r>
      <w:r w:rsidR="00397046">
        <w:rPr>
          <w:rFonts w:eastAsiaTheme="minorEastAsia"/>
          <w:i/>
          <w:iCs/>
          <w:color w:val="000000" w:themeColor="text1"/>
          <w:lang w:eastAsia="zh-TW"/>
        </w:rPr>
        <w:t xml:space="preserve"> z; </w:t>
      </w:r>
      <w:r w:rsidR="00397046" w:rsidRPr="00397046">
        <w:rPr>
          <w:rFonts w:eastAsiaTheme="minorEastAsia"/>
          <w:color w:val="000000" w:themeColor="text1"/>
          <w:lang w:eastAsia="zh-TW"/>
        </w:rPr>
        <w:t>ICCs lower than 0.5</w:t>
      </w:r>
      <w:r w:rsidR="00397046">
        <w:rPr>
          <w:rFonts w:eastAsiaTheme="minorEastAsia"/>
          <w:color w:val="000000" w:themeColor="text1"/>
          <w:lang w:eastAsia="zh-TW"/>
        </w:rPr>
        <w:t xml:space="preserve">). </w:t>
      </w:r>
      <w:r w:rsidRPr="00F83FD2">
        <w:rPr>
          <w:rFonts w:eastAsiaTheme="minorEastAsia"/>
          <w:color w:val="000000" w:themeColor="text1"/>
        </w:rPr>
        <w:t xml:space="preserve">This raises concerns about the suitability of applying the </w:t>
      </w:r>
      <w:r w:rsidR="00397046">
        <w:rPr>
          <w:rFonts w:eastAsiaTheme="minorEastAsia"/>
          <w:color w:val="000000" w:themeColor="text1"/>
        </w:rPr>
        <w:t>default</w:t>
      </w:r>
      <w:r w:rsidRPr="00F83FD2">
        <w:rPr>
          <w:rFonts w:eastAsiaTheme="minorEastAsia"/>
          <w:color w:val="000000" w:themeColor="text1"/>
        </w:rPr>
        <w:t xml:space="preserve"> drift diffusion model in cognitive tasks</w:t>
      </w:r>
      <w:r w:rsidRPr="00F83FD2">
        <w:rPr>
          <w:rFonts w:eastAsiaTheme="minorEastAsia"/>
          <w:color w:val="000000" w:themeColor="text1"/>
          <w:lang w:val="en-US"/>
        </w:rPr>
        <w:t xml:space="preserve"> like SPMT</w:t>
      </w:r>
      <w:r w:rsidRPr="00F83FD2">
        <w:rPr>
          <w:rFonts w:eastAsiaTheme="minorEastAsia"/>
          <w:color w:val="000000" w:themeColor="text1"/>
        </w:rPr>
        <w:t xml:space="preserve">. </w:t>
      </w:r>
      <w:r w:rsidRPr="00F83FD2">
        <w:rPr>
          <w:rFonts w:eastAsiaTheme="minorEastAsia" w:hint="eastAsia"/>
          <w:color w:val="000000" w:themeColor="text1"/>
          <w:lang w:eastAsia="zh-TW"/>
        </w:rPr>
        <w:t>Since</w:t>
      </w:r>
      <w:r w:rsidRPr="00F83FD2">
        <w:rPr>
          <w:rFonts w:eastAsiaTheme="minorEastAsia"/>
          <w:color w:val="000000" w:themeColor="text1"/>
          <w:lang w:eastAsia="zh-TW"/>
        </w:rPr>
        <w:t xml:space="preserve"> </w:t>
      </w:r>
      <w:r w:rsidRPr="00F83FD2">
        <w:rPr>
          <w:rFonts w:eastAsiaTheme="minorEastAsia" w:hint="eastAsia"/>
          <w:color w:val="000000" w:themeColor="text1"/>
          <w:lang w:eastAsia="zh-TW"/>
        </w:rPr>
        <w:t>the</w:t>
      </w:r>
      <w:r w:rsidRPr="00F83FD2">
        <w:rPr>
          <w:rFonts w:eastAsiaTheme="minorEastAsia"/>
          <w:color w:val="000000" w:themeColor="text1"/>
          <w:lang w:eastAsia="zh-TW"/>
        </w:rPr>
        <w:t xml:space="preserve"> </w:t>
      </w:r>
      <w:r w:rsidR="00397046">
        <w:rPr>
          <w:rFonts w:eastAsiaTheme="minorEastAsia"/>
          <w:color w:val="000000" w:themeColor="text1"/>
        </w:rPr>
        <w:lastRenderedPageBreak/>
        <w:t>default</w:t>
      </w:r>
      <w:r w:rsidR="00397046" w:rsidRPr="00F83FD2">
        <w:rPr>
          <w:rFonts w:eastAsiaTheme="minorEastAsia"/>
          <w:color w:val="000000" w:themeColor="text1"/>
        </w:rPr>
        <w:t xml:space="preserve"> </w:t>
      </w:r>
      <w:r w:rsidRPr="00F83FD2">
        <w:rPr>
          <w:rFonts w:eastAsiaTheme="minorEastAsia"/>
          <w:color w:val="000000" w:themeColor="text1"/>
          <w:lang w:eastAsia="zh-TW"/>
        </w:rPr>
        <w:t>drift diffusion model relies on specific assumptions regarding the cognitive processes underlying reaction time (specifies fixed values for drift, bound height or noise level, starting position bias, and non-decision time</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(Ratcliff, 1978; Ratcliff et al., 2016)</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 if these assumptions fail to accurately capture the true underlying mechanisms or if they are violated within the assumption of SPMT, it can result in inconsistent parameter estimates and diminished the reliability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sidRPr="00F83FD2">
        <w:rPr>
          <w:rFonts w:eastAsiaTheme="minorEastAsia"/>
          <w:color w:val="000000" w:themeColor="text1"/>
          <w:lang w:eastAsia="zh-TW"/>
        </w:rPr>
        <w:fldChar w:fldCharType="separate"/>
      </w:r>
      <w:r w:rsidRPr="00F83FD2">
        <w:rPr>
          <w:rFonts w:eastAsiaTheme="minorEastAsia"/>
          <w:color w:val="000000" w:themeColor="text1"/>
          <w:lang w:eastAsia="zh-TW"/>
        </w:rPr>
        <w:t>(Johnson et al., 2017)</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Thus, our results raise significant questions regarding the </w:t>
      </w:r>
      <w:r w:rsidRPr="00F83FD2">
        <w:rPr>
          <w:rFonts w:eastAsiaTheme="minorEastAsia"/>
          <w:color w:val="000000" w:themeColor="text1"/>
        </w:rPr>
        <w:t>efficacy of applying the classical hierarchical drift diffusion model to the SPMT.</w:t>
      </w:r>
      <w:r w:rsidRPr="00F83FD2">
        <w:rPr>
          <w:rFonts w:eastAsiaTheme="minorEastAsia"/>
          <w:color w:val="000000" w:themeColor="text1"/>
          <w:lang w:val="en-US"/>
        </w:rPr>
        <w:t xml:space="preserve"> </w:t>
      </w:r>
      <w:r w:rsidR="0077573D" w:rsidRPr="00F83FD2">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sidRPr="00F83FD2">
        <w:rPr>
          <w:rFonts w:eastAsiaTheme="minorEastAsia"/>
          <w:color w:val="000000" w:themeColor="text1"/>
          <w:lang w:val="en-US"/>
        </w:rPr>
        <w:t xml:space="preserve"> </w:t>
      </w:r>
      <w:r w:rsidRPr="00F83FD2">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generalized drift-diffusion model (GDDM)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Shinn et al. (2020)</w:t>
      </w:r>
      <w:r w:rsidRPr="00F83FD2">
        <w:rPr>
          <w:rFonts w:eastAsiaTheme="minorEastAsia"/>
          <w:color w:val="000000" w:themeColor="text1"/>
        </w:rPr>
        <w:fldChar w:fldCharType="end"/>
      </w:r>
      <w:r w:rsidRPr="00F83FD2">
        <w:rPr>
          <w:rFonts w:eastAsiaTheme="minorEastAsia"/>
          <w:color w:val="000000" w:themeColor="text1"/>
        </w:rPr>
        <w:t xml:space="preserve">, RLDDM modules in HDDM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Pedersen and Frank (2020)</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val="en-US"/>
        </w:rPr>
        <w:t xml:space="preserve"> </w:t>
      </w:r>
      <w:r w:rsidRPr="00F83FD2">
        <w:rPr>
          <w:rFonts w:eastAsiaTheme="minorEastAsia"/>
          <w:color w:val="000000" w:themeColor="text1"/>
        </w:rPr>
        <w:t xml:space="preserve">These extensions offer alternative modeling approaches that </w:t>
      </w:r>
      <w:r w:rsidRPr="00F83FD2">
        <w:rPr>
          <w:rFonts w:eastAsiaTheme="minorEastAsia"/>
          <w:color w:val="000000" w:themeColor="text1"/>
          <w:lang w:val="en-US"/>
        </w:rPr>
        <w:t>could be used to</w:t>
      </w:r>
      <w:r w:rsidRPr="00F83FD2">
        <w:rPr>
          <w:rFonts w:eastAsiaTheme="minorEastAsia"/>
          <w:color w:val="000000" w:themeColor="text1"/>
        </w:rPr>
        <w:t xml:space="preserve"> better capture the true underlying mechanisms of reaction time in</w:t>
      </w:r>
      <w:r w:rsidRPr="00F83FD2">
        <w:rPr>
          <w:rFonts w:eastAsiaTheme="minorEastAsia"/>
          <w:color w:val="000000" w:themeColor="text1"/>
          <w:lang w:val="en-US"/>
        </w:rPr>
        <w:t xml:space="preserve"> SPMT. </w:t>
      </w:r>
      <w:r w:rsidRPr="00F83FD2">
        <w:rPr>
          <w:rFonts w:eastAsiaTheme="minorEastAsia"/>
          <w:color w:val="000000" w:themeColor="text1"/>
        </w:rPr>
        <w:t xml:space="preserve">These efforts </w:t>
      </w:r>
      <w:r w:rsidRPr="00F83FD2">
        <w:rPr>
          <w:rFonts w:eastAsiaTheme="minorEastAsia"/>
          <w:color w:val="000000" w:themeColor="text1"/>
          <w:lang w:val="en-US"/>
        </w:rPr>
        <w:t>could</w:t>
      </w:r>
      <w:r w:rsidRPr="00F83FD2">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4E5DBD3D" w:rsidR="00D70160" w:rsidRPr="00F83FD2" w:rsidRDefault="00E43664" w:rsidP="00D70160">
      <w:pPr>
        <w:ind w:firstLine="72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Response Time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 Similar results patterns have been observed in previous research examining other cognitive paradigms such as Flanker, Simon, or Stroop tasks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(Clark et al., 2022; Mollon et al., 2017)</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These findings also align with the concept of the reliability paradox proposed previously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32A4F464" w:rsidR="00D70160" w:rsidRPr="00F83FD2" w:rsidRDefault="00D70160" w:rsidP="00D70160">
      <w:pPr>
        <w:ind w:firstLineChars="100" w:firstLine="240"/>
        <w:rPr>
          <w:rFonts w:eastAsiaTheme="minorEastAsia"/>
          <w:color w:val="000000" w:themeColor="text1"/>
        </w:rPr>
      </w:pPr>
      <w:r w:rsidRPr="00F83FD2">
        <w:rPr>
          <w:rFonts w:eastAsiaTheme="minorEastAsia"/>
          <w:color w:val="000000" w:themeColor="text1"/>
        </w:rPr>
        <w:t xml:space="preserve">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"wired" populations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(Rad et al., 2018)</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w:t>
      </w:r>
      <w:r w:rsidRPr="00F83FD2">
        <w:rPr>
          <w:rFonts w:eastAsiaTheme="minorEastAsia"/>
          <w:color w:val="000000" w:themeColor="text1"/>
        </w:rPr>
        <w:lastRenderedPageBreak/>
        <w:t>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02181B37" w:rsidR="00F25571" w:rsidRPr="00D70160" w:rsidRDefault="00D70160" w:rsidP="00D70160">
      <w:pPr>
        <w:ind w:firstLineChars="100" w:firstLine="240"/>
        <w:rPr>
          <w:rFonts w:eastAsiaTheme="minorEastAsia"/>
        </w:rPr>
      </w:pPr>
      <w:r w:rsidRPr="003A0CE9">
        <w:rPr>
          <w:rFonts w:eastAsiaTheme="minorEastAsia"/>
        </w:rPr>
        <w:t>In conclusion, this study provides significant insights into the reliability of the self-perceptual matching task (SPMT) and highlights important considerations for interpreting its reliabilities. We have demonstrated that the Response Time</w:t>
      </w:r>
      <w:r w:rsidR="00F350B2">
        <w:rPr>
          <w:rFonts w:eastAsiaTheme="minorEastAsia"/>
        </w:rPr>
        <w:t xml:space="preserve"> </w:t>
      </w:r>
      <w:r w:rsidRPr="003A0CE9">
        <w:rPr>
          <w:rFonts w:eastAsiaTheme="minorEastAsia"/>
        </w:rPr>
        <w:t xml:space="preserve">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74" w:name="_Toc129530172"/>
      <w:bookmarkStart w:id="75" w:name="_Toc129530202"/>
      <w:bookmarkStart w:id="76" w:name="_Toc139718166"/>
      <w:r w:rsidRPr="006A5A80">
        <w:rPr>
          <w:rFonts w:eastAsia="Calibri"/>
          <w:b/>
          <w:sz w:val="42"/>
          <w:szCs w:val="42"/>
        </w:rPr>
        <w:lastRenderedPageBreak/>
        <w:t>Acknowledgements</w:t>
      </w:r>
      <w:bookmarkEnd w:id="74"/>
      <w:bookmarkEnd w:id="75"/>
      <w:bookmarkEnd w:id="76"/>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77" w:name="_wvd57wep2hh3" w:colFirst="0" w:colLast="0"/>
      <w:bookmarkEnd w:id="77"/>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8" w:name="_ridkkf2yzxxx" w:colFirst="0" w:colLast="0"/>
      <w:bookmarkStart w:id="79" w:name="_Toc129530173"/>
      <w:bookmarkStart w:id="80" w:name="_Toc129530203"/>
      <w:bookmarkStart w:id="81" w:name="_Toc139718167"/>
      <w:bookmarkEnd w:id="78"/>
      <w:r w:rsidRPr="006A5A80">
        <w:rPr>
          <w:rFonts w:eastAsia="Calibri"/>
          <w:b/>
          <w:sz w:val="42"/>
          <w:szCs w:val="42"/>
        </w:rPr>
        <w:t>Author contributions</w:t>
      </w:r>
      <w:bookmarkEnd w:id="79"/>
      <w:bookmarkEnd w:id="80"/>
      <w:bookmarkEnd w:id="81"/>
    </w:p>
    <w:p w14:paraId="67F329E3" w14:textId="2D154B60"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All authors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2" w:name="_Toc139718168"/>
      <w:r w:rsidRPr="00A37F7F">
        <w:rPr>
          <w:rFonts w:eastAsia="Calibri"/>
          <w:b/>
          <w:sz w:val="42"/>
          <w:szCs w:val="42"/>
        </w:rPr>
        <w:t>Data and Material Availability</w:t>
      </w:r>
      <w:bookmarkEnd w:id="8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3"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4"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5"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3" w:name="_Toc139718169"/>
      <w:r w:rsidRPr="00A37F7F">
        <w:rPr>
          <w:rFonts w:eastAsia="Calibri"/>
          <w:b/>
          <w:sz w:val="42"/>
          <w:szCs w:val="42"/>
        </w:rPr>
        <w:t>Code Availability</w:t>
      </w:r>
      <w:bookmarkEnd w:id="8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6"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4" w:name="_Toc129530174"/>
      <w:bookmarkStart w:id="85" w:name="_Toc129530204"/>
      <w:bookmarkStart w:id="86" w:name="_Toc139718170"/>
      <w:r w:rsidRPr="006A5A80">
        <w:rPr>
          <w:rFonts w:eastAsia="Calibri"/>
          <w:b/>
          <w:sz w:val="42"/>
          <w:szCs w:val="42"/>
        </w:rPr>
        <w:t>Competing interests</w:t>
      </w:r>
      <w:bookmarkEnd w:id="84"/>
      <w:bookmarkEnd w:id="85"/>
      <w:bookmarkEnd w:id="8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0D04D2FA" w:rsidR="004C646B" w:rsidRDefault="00BC11EE" w:rsidP="003954D4">
      <w:pPr>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0D1E8250" w14:textId="77777777" w:rsidR="00044360" w:rsidRDefault="00044360" w:rsidP="003954D4">
      <w:pPr>
        <w:rPr>
          <w:rFonts w:eastAsia="Calibri"/>
          <w:b/>
          <w:sz w:val="42"/>
          <w:szCs w:val="42"/>
        </w:rPr>
      </w:pPr>
    </w:p>
    <w:p w14:paraId="67BDC3F9" w14:textId="4A03E25C" w:rsidR="00E17822" w:rsidRPr="00E17822" w:rsidRDefault="00E17822" w:rsidP="00E17822">
      <w:pPr>
        <w:pStyle w:val="2"/>
        <w:spacing w:after="120"/>
        <w:rPr>
          <w:rFonts w:ascii="Times New Roman" w:hAnsi="Times New Roman"/>
          <w:lang w:val="en-US"/>
        </w:rPr>
      </w:pPr>
      <w:r>
        <w:rPr>
          <w:rFonts w:ascii="Times New Roman" w:hAnsi="Times New Roman"/>
          <w:lang w:val="en-US"/>
        </w:rPr>
        <w:t xml:space="preserve">1.1 </w:t>
      </w: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58D88B93" w:rsidR="00213235" w:rsidRDefault="00E17822" w:rsidP="00213235">
      <w:pPr>
        <w:ind w:firstLineChars="100" w:firstLine="240"/>
        <w:rPr>
          <w:rFonts w:eastAsiaTheme="minorEastAsia"/>
          <w:color w:val="000000" w:themeColor="text1"/>
        </w:rPr>
      </w:pPr>
      <w:r w:rsidRPr="00044360">
        <w:rPr>
          <w:rFonts w:eastAsiaTheme="minorEastAsia"/>
          <w:color w:val="000000" w:themeColor="text1"/>
        </w:rPr>
        <w:t xml:space="preserve">We conducted a package comparison by generating 100 datasets using the </w:t>
      </w:r>
      <w:commentRangeStart w:id="87"/>
      <w:commentRangeStart w:id="88"/>
      <w:commentRangeStart w:id="89"/>
      <w:r w:rsidRPr="00044360">
        <w:rPr>
          <w:rFonts w:eastAsiaTheme="minorEastAsia"/>
          <w:color w:val="000000" w:themeColor="text1"/>
        </w:rPr>
        <w:t xml:space="preserve">DDM package HDDM in Python. </w:t>
      </w:r>
      <w:commentRangeEnd w:id="87"/>
      <w:r>
        <w:rPr>
          <w:rStyle w:val="a6"/>
        </w:rPr>
        <w:commentReference w:id="87"/>
      </w:r>
      <w:commentRangeEnd w:id="88"/>
      <w:r w:rsidR="00D6281A">
        <w:rPr>
          <w:rStyle w:val="a6"/>
        </w:rPr>
        <w:commentReference w:id="88"/>
      </w:r>
      <w:commentRangeEnd w:id="89"/>
      <w:r w:rsidR="00213235">
        <w:rPr>
          <w:rStyle w:val="a6"/>
        </w:rPr>
        <w:commentReference w:id="89"/>
      </w:r>
      <w:r w:rsidR="00D6281A" w:rsidRPr="00D6281A">
        <w:rPr>
          <w:rFonts w:eastAsiaTheme="minorEastAsia"/>
          <w:strike/>
          <w:color w:val="000000" w:themeColor="text1"/>
          <w:rPrChange w:id="90" w:author="MengZhen" w:date="2023-07-20T21:04:00Z">
            <w:rPr>
              <w:rFonts w:eastAsiaTheme="minorEastAsia"/>
              <w:color w:val="000000" w:themeColor="text1"/>
            </w:rPr>
          </w:rPrChange>
        </w:rPr>
        <w:t>(The computation time required by HDDM is excessively long, and its accuracy is not significantly higher than RWiener. Therefore, we ultimately decided to abandon the use of HDDM as our computational tool.)</w:t>
      </w:r>
      <w:r w:rsidR="00D6281A" w:rsidRPr="00D6281A">
        <w:rPr>
          <w:rFonts w:eastAsiaTheme="minorEastAsia"/>
          <w:color w:val="000000" w:themeColor="text1"/>
        </w:rPr>
        <w:t xml:space="preserve"> </w:t>
      </w:r>
      <w:r w:rsidRPr="00044360">
        <w:rPr>
          <w:rFonts w:eastAsiaTheme="minorEastAsia"/>
          <w:color w:val="000000" w:themeColor="text1"/>
        </w:rPr>
        <w:t xml:space="preserve">These datasets were specifically configured with parameters </w:t>
      </w:r>
      <w:r w:rsidRPr="00213235">
        <w:rPr>
          <w:rFonts w:eastAsiaTheme="minorEastAsia"/>
          <w:i/>
          <w:iCs/>
          <w:color w:val="000000" w:themeColor="text1"/>
        </w:rPr>
        <w:t>a</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2, </w:t>
      </w:r>
      <w:r w:rsidRPr="00213235">
        <w:rPr>
          <w:rFonts w:eastAsiaTheme="minorEastAsia"/>
          <w:i/>
          <w:iCs/>
          <w:color w:val="000000" w:themeColor="text1"/>
        </w:rPr>
        <w:t>t</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0.3, </w:t>
      </w:r>
      <w:r w:rsidRPr="00213235">
        <w:rPr>
          <w:rFonts w:eastAsiaTheme="minorEastAsia"/>
          <w:i/>
          <w:iCs/>
          <w:color w:val="000000" w:themeColor="text1"/>
        </w:rPr>
        <w:t>v</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1, and </w:t>
      </w:r>
      <w:r w:rsidRPr="00213235">
        <w:rPr>
          <w:rFonts w:eastAsiaTheme="minorEastAsia"/>
          <w:i/>
          <w:iCs/>
          <w:color w:val="000000" w:themeColor="text1"/>
        </w:rPr>
        <w:t>z</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0.7. Subsequently, we utilized three different DDM packages in R (RWiener, hausekeep, and FastDMinR) to compute parameter estimates for these generated datasets.</w:t>
      </w:r>
      <w:r>
        <w:rPr>
          <w:rFonts w:eastAsiaTheme="minorEastAsia"/>
          <w:color w:val="000000" w:themeColor="text1"/>
        </w:rPr>
        <w:t xml:space="preserve"> </w:t>
      </w:r>
      <w:r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323ADD4C" w14:textId="46F0F3D6" w:rsidR="00E17822" w:rsidRPr="00974D72" w:rsidRDefault="00213235" w:rsidP="00974D72">
      <w:pPr>
        <w:ind w:firstLineChars="100" w:firstLine="240"/>
        <w:rPr>
          <w:rFonts w:eastAsiaTheme="minorEastAsia"/>
          <w:color w:val="000000" w:themeColor="text1"/>
        </w:rPr>
      </w:pPr>
      <w:r w:rsidRPr="00213235">
        <w:rPr>
          <w:rFonts w:eastAsiaTheme="minorEastAsia"/>
          <w:color w:val="000000" w:themeColor="text1"/>
        </w:rPr>
        <w:t>Figure 6 presents the results of the package comparison. The estimated drift rate (v) obtained from RWiener is 1.01, with a 95% confidence interval of [.98, 1.03], which closely aligns with our pre-defined values. Similarly, the estimated starting point (z)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77777777" w:rsidR="00E17822" w:rsidRDefault="00E17822" w:rsidP="00E17822">
      <w:pPr>
        <w:jc w:val="center"/>
        <w:rPr>
          <w:lang w:val="en-US"/>
        </w:rPr>
      </w:pPr>
      <w:r>
        <w:rPr>
          <w:noProof/>
          <w:lang w:val="en-US"/>
        </w:rPr>
        <w:drawing>
          <wp:inline distT="0" distB="0" distL="0" distR="0" wp14:anchorId="36DC6479" wp14:editId="400753D8">
            <wp:extent cx="5943600" cy="2971800"/>
            <wp:effectExtent l="0" t="0" r="0" b="0"/>
            <wp:docPr id="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39E826" w14:textId="569FED06" w:rsidR="004E53A7" w:rsidRDefault="00E17822"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4742C6">
        <w:rPr>
          <w:rFonts w:eastAsia="宋体"/>
          <w:b/>
          <w:noProof/>
          <w:lang w:val="en-US" w:eastAsia="zh-TW"/>
        </w:rPr>
        <w:t>6</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Default="00E17822" w:rsidP="004E53A7">
      <w:pPr>
        <w:ind w:firstLineChars="100" w:firstLine="220"/>
        <w:jc w:val="center"/>
        <w:rPr>
          <w:rFonts w:eastAsiaTheme="minorEastAsia"/>
          <w:sz w:val="22"/>
          <w:szCs w:val="22"/>
          <w:lang w:val="en-US"/>
        </w:rPr>
      </w:pPr>
      <w:r w:rsidRPr="00044360">
        <w:rPr>
          <w:rFonts w:eastAsiaTheme="minorEastAsia"/>
          <w:i/>
          <w:iCs/>
          <w:sz w:val="22"/>
          <w:szCs w:val="22"/>
          <w:lang w:val="en-US"/>
        </w:rPr>
        <w:t>Note:</w:t>
      </w:r>
      <w:r w:rsidRPr="00044360">
        <w:rPr>
          <w:rFonts w:eastAsiaTheme="minorEastAsia"/>
          <w:sz w:val="22"/>
          <w:szCs w:val="22"/>
          <w:lang w:val="en-US"/>
        </w:rPr>
        <w:t xml:space="preserve"> The parameters of interest in the drift-diffusion model (DDM) are represented as follows: "</w:t>
      </w:r>
      <w:r w:rsidRPr="00044360">
        <w:rPr>
          <w:rFonts w:eastAsiaTheme="minorEastAsia"/>
          <w:i/>
          <w:iCs/>
          <w:sz w:val="22"/>
          <w:szCs w:val="22"/>
          <w:lang w:val="en-US"/>
        </w:rPr>
        <w:t>a</w:t>
      </w:r>
      <w:r w:rsidRPr="00044360">
        <w:rPr>
          <w:rFonts w:eastAsiaTheme="minorEastAsia"/>
          <w:sz w:val="22"/>
          <w:szCs w:val="22"/>
          <w:lang w:val="en-US"/>
        </w:rPr>
        <w:t>" denotes the threshold parameter, "</w:t>
      </w:r>
      <w:r w:rsidRPr="00044360">
        <w:rPr>
          <w:rFonts w:eastAsiaTheme="minorEastAsia"/>
          <w:i/>
          <w:iCs/>
          <w:sz w:val="22"/>
          <w:szCs w:val="22"/>
          <w:lang w:val="en-US"/>
        </w:rPr>
        <w:t>t</w:t>
      </w:r>
      <w:r w:rsidRPr="00044360">
        <w:rPr>
          <w:rFonts w:eastAsiaTheme="minorEastAsia"/>
          <w:sz w:val="22"/>
          <w:szCs w:val="22"/>
          <w:lang w:val="en-US"/>
        </w:rPr>
        <w:t>" represents the non-decision time, "</w:t>
      </w:r>
      <w:r w:rsidRPr="00044360">
        <w:rPr>
          <w:rFonts w:eastAsiaTheme="minorEastAsia"/>
          <w:i/>
          <w:iCs/>
          <w:sz w:val="22"/>
          <w:szCs w:val="22"/>
          <w:lang w:val="en-US"/>
        </w:rPr>
        <w:t>v</w:t>
      </w:r>
      <w:r w:rsidRPr="00044360">
        <w:rPr>
          <w:rFonts w:eastAsiaTheme="minorEastAsia"/>
          <w:sz w:val="22"/>
          <w:szCs w:val="22"/>
          <w:lang w:val="en-US"/>
        </w:rPr>
        <w:t>" indicates the drift rate, and "</w:t>
      </w:r>
      <w:r w:rsidRPr="00044360">
        <w:rPr>
          <w:rFonts w:eastAsiaTheme="minorEastAsia"/>
          <w:i/>
          <w:iCs/>
          <w:sz w:val="22"/>
          <w:szCs w:val="22"/>
          <w:lang w:val="en-US"/>
        </w:rPr>
        <w:t>z</w:t>
      </w:r>
      <w:r w:rsidRPr="00044360">
        <w:rPr>
          <w:rFonts w:eastAsiaTheme="minorEastAsia"/>
          <w:sz w:val="22"/>
          <w:szCs w:val="22"/>
          <w:lang w:val="en-US"/>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w:t>
      </w:r>
      <w:r w:rsidRPr="00044360">
        <w:rPr>
          <w:rFonts w:eastAsiaTheme="minorEastAsia"/>
          <w:sz w:val="22"/>
          <w:szCs w:val="22"/>
          <w:lang w:val="en-US"/>
        </w:rPr>
        <w:lastRenderedPageBreak/>
        <w:t>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3017E6DC" w14:textId="4B463221" w:rsidR="00E17822" w:rsidRDefault="00E17822" w:rsidP="00E17822">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E17822">
        <w:rPr>
          <w:rFonts w:ascii="Times New Roman" w:hAnsi="Times New Roman"/>
          <w:lang w:val="en-US"/>
        </w:rPr>
        <w:t xml:space="preserve">WASR for SPE </w:t>
      </w:r>
      <w:r>
        <w:rPr>
          <w:rFonts w:ascii="Times New Roman" w:hAnsi="Times New Roman" w:hint="eastAsia"/>
          <w:lang w:val="en-US"/>
        </w:rPr>
        <w:t>M</w:t>
      </w:r>
      <w:r w:rsidRPr="00E17822">
        <w:rPr>
          <w:rFonts w:ascii="Times New Roman" w:hAnsi="Times New Roman"/>
          <w:lang w:val="en-US"/>
        </w:rPr>
        <w:t xml:space="preserve">easures </w:t>
      </w:r>
      <w:r>
        <w:rPr>
          <w:rFonts w:ascii="Times New Roman" w:hAnsi="Times New Roman" w:hint="eastAsia"/>
          <w:lang w:val="en-US"/>
        </w:rPr>
        <w:t>U</w:t>
      </w:r>
      <w:r w:rsidRPr="00E17822">
        <w:rPr>
          <w:rFonts w:ascii="Times New Roman" w:hAnsi="Times New Roman"/>
          <w:lang w:val="en-US"/>
        </w:rPr>
        <w:t xml:space="preserve">sing other </w:t>
      </w:r>
      <w:r>
        <w:rPr>
          <w:rFonts w:ascii="Times New Roman" w:hAnsi="Times New Roman" w:hint="eastAsia"/>
          <w:lang w:val="en-US"/>
        </w:rPr>
        <w:t>T</w:t>
      </w:r>
      <w:r w:rsidRPr="00E17822">
        <w:rPr>
          <w:rFonts w:ascii="Times New Roman" w:hAnsi="Times New Roman"/>
          <w:lang w:val="en-US"/>
        </w:rPr>
        <w:t xml:space="preserve">hree </w:t>
      </w:r>
      <w:r>
        <w:rPr>
          <w:rFonts w:ascii="Times New Roman" w:hAnsi="Times New Roman" w:hint="eastAsia"/>
          <w:lang w:val="en-US"/>
        </w:rPr>
        <w:t>S</w:t>
      </w:r>
      <w:r w:rsidRPr="00E17822">
        <w:rPr>
          <w:rFonts w:ascii="Times New Roman" w:hAnsi="Times New Roman"/>
          <w:lang w:val="en-US"/>
        </w:rPr>
        <w:t xml:space="preserve">plit-half </w:t>
      </w:r>
      <w:r>
        <w:rPr>
          <w:rFonts w:ascii="Times New Roman" w:hAnsi="Times New Roman" w:hint="eastAsia"/>
          <w:lang w:val="en-US"/>
        </w:rPr>
        <w:t>M</w:t>
      </w:r>
      <w:r w:rsidRPr="00E17822">
        <w:rPr>
          <w:rFonts w:ascii="Times New Roman" w:hAnsi="Times New Roman"/>
          <w:lang w:val="en-US"/>
        </w:rPr>
        <w:t>ethods</w:t>
      </w:r>
    </w:p>
    <w:p w14:paraId="5EFDF6A6" w14:textId="4FEC3644" w:rsidR="004E53A7" w:rsidRDefault="004E53A7" w:rsidP="004E53A7">
      <w:pPr>
        <w:rPr>
          <w:lang w:val="en-US"/>
        </w:rPr>
      </w:pPr>
    </w:p>
    <w:p w14:paraId="724F8A8F" w14:textId="302C8976" w:rsidR="004E53A7" w:rsidRPr="004E53A7" w:rsidRDefault="004E53A7" w:rsidP="004E53A7">
      <w:pPr>
        <w:ind w:firstLineChars="100" w:firstLine="240"/>
        <w:rPr>
          <w:rFonts w:eastAsiaTheme="minorEastAsia"/>
          <w:color w:val="000000" w:themeColor="text1"/>
        </w:rPr>
      </w:pPr>
      <w:commentRangeStart w:id="91"/>
      <w:commentRangeStart w:id="92"/>
      <w:commentRangeStart w:id="93"/>
      <w:r w:rsidRPr="0075550B">
        <w:rPr>
          <w:rFonts w:eastAsiaTheme="minorEastAsia"/>
          <w:color w:val="000000" w:themeColor="text1"/>
        </w:rPr>
        <w:t>In this section, we present the</w:t>
      </w:r>
      <w:r>
        <w:rPr>
          <w:rFonts w:eastAsiaTheme="minorEastAsia"/>
          <w:color w:val="000000" w:themeColor="text1"/>
        </w:rPr>
        <w:t xml:space="preserve"> </w:t>
      </w:r>
      <w:r w:rsidRPr="004E53A7">
        <w:rPr>
          <w:rFonts w:eastAsiaTheme="minorEastAsia"/>
          <w:color w:val="000000" w:themeColor="text1"/>
        </w:rPr>
        <w:t>WASR result for SPE measures using other three split-half methods (</w:t>
      </w:r>
      <w:r w:rsidRPr="00ED4C8F">
        <w:t>first-second, odd-even, permutated</w:t>
      </w:r>
      <w:r w:rsidRPr="004E53A7">
        <w:rPr>
          <w:rFonts w:eastAsiaTheme="minorEastAsia"/>
          <w:color w:val="000000" w:themeColor="text1"/>
        </w:rPr>
        <w:t xml:space="preserve">). </w:t>
      </w:r>
      <w:commentRangeEnd w:id="91"/>
      <w:r>
        <w:rPr>
          <w:rStyle w:val="a6"/>
        </w:rPr>
        <w:commentReference w:id="91"/>
      </w:r>
      <w:commentRangeEnd w:id="92"/>
      <w:r w:rsidR="00E80224">
        <w:rPr>
          <w:rStyle w:val="a6"/>
        </w:rPr>
        <w:commentReference w:id="92"/>
      </w:r>
      <w:commentRangeEnd w:id="93"/>
      <w:r w:rsidR="00213235">
        <w:rPr>
          <w:rStyle w:val="a6"/>
        </w:rPr>
        <w:commentReference w:id="93"/>
      </w:r>
    </w:p>
    <w:p w14:paraId="33EAA120" w14:textId="70837506" w:rsidR="004E53A7" w:rsidRPr="004E53A7" w:rsidRDefault="004E53A7" w:rsidP="004E53A7">
      <w:pPr>
        <w:rPr>
          <w:lang w:val="en-US"/>
        </w:rPr>
      </w:pPr>
    </w:p>
    <w:p w14:paraId="2D553A2A" w14:textId="77777777" w:rsidR="00E17822" w:rsidRPr="00E17822" w:rsidRDefault="00E17822" w:rsidP="00E17822">
      <w:pPr>
        <w:rPr>
          <w:lang w:val="en-US"/>
        </w:rPr>
      </w:pP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D2DB76B" w14:textId="1A338B59" w:rsidR="00CD740F" w:rsidRPr="004E53A7" w:rsidRDefault="00BD6971" w:rsidP="004E53A7">
      <w:pPr>
        <w:ind w:firstLineChars="100" w:firstLine="241"/>
        <w:jc w:val="center"/>
        <w:rPr>
          <w:rFonts w:eastAsia="宋体"/>
          <w:bCs/>
          <w:noProof/>
          <w:lang w:val="en-US" w:eastAsia="zh-TW"/>
        </w:rPr>
      </w:pPr>
      <w:r w:rsidRPr="004E53A7">
        <w:rPr>
          <w:rFonts w:eastAsia="宋体"/>
          <w:b/>
          <w:noProof/>
          <w:lang w:val="en-US" w:eastAsia="zh-TW"/>
        </w:rPr>
        <w:t xml:space="preserve">Supplementary Fig. </w:t>
      </w:r>
      <w:r w:rsidR="00E17822" w:rsidRPr="004E53A7">
        <w:rPr>
          <w:rFonts w:eastAsia="宋体"/>
          <w:b/>
          <w:noProof/>
          <w:lang w:val="en-US" w:eastAsia="zh-TW"/>
        </w:rPr>
        <w:t>2</w:t>
      </w:r>
      <w:r w:rsidRPr="004E53A7">
        <w:rPr>
          <w:rFonts w:eastAsia="宋体"/>
          <w:b/>
          <w:noProof/>
          <w:lang w:val="en-US" w:eastAsia="zh-TW"/>
        </w:rPr>
        <w:t xml:space="preserve"> </w:t>
      </w:r>
      <w:r w:rsidR="00CD740F" w:rsidRPr="004E53A7">
        <w:rPr>
          <w:rFonts w:eastAsia="宋体"/>
          <w:bCs/>
          <w:noProof/>
          <w:lang w:val="en-US" w:eastAsia="zh-TW"/>
        </w:rPr>
        <w:t>WASR for SPE measures using other</w:t>
      </w:r>
      <w:r w:rsidR="0027313F" w:rsidRPr="004E53A7">
        <w:rPr>
          <w:rFonts w:eastAsia="宋体"/>
          <w:bCs/>
          <w:noProof/>
          <w:lang w:val="en-US" w:eastAsia="zh-TW"/>
        </w:rPr>
        <w:t xml:space="preserve"> </w:t>
      </w:r>
      <w:r w:rsidR="00CD740F" w:rsidRPr="004E53A7">
        <w:rPr>
          <w:rFonts w:eastAsia="宋体"/>
          <w:bCs/>
          <w:noProof/>
          <w:lang w:val="en-US" w:eastAsia="zh-TW"/>
        </w:rPr>
        <w:t>three</w:t>
      </w:r>
      <w:r w:rsidR="0027313F" w:rsidRPr="004E53A7">
        <w:rPr>
          <w:rFonts w:eastAsia="宋体"/>
          <w:bCs/>
          <w:noProof/>
          <w:lang w:val="en-US" w:eastAsia="zh-TW"/>
        </w:rPr>
        <w:t xml:space="preserve"> </w:t>
      </w:r>
      <w:r w:rsidR="00CD740F" w:rsidRPr="004E53A7">
        <w:rPr>
          <w:rFonts w:eastAsia="宋体"/>
          <w:bCs/>
          <w:noProof/>
          <w:lang w:val="en-US" w:eastAsia="zh-TW"/>
        </w:rPr>
        <w:t>s</w:t>
      </w:r>
      <w:r w:rsidRPr="004E53A7">
        <w:rPr>
          <w:rFonts w:eastAsia="宋体"/>
          <w:bCs/>
          <w:noProof/>
          <w:lang w:val="en-US" w:eastAsia="zh-TW"/>
        </w:rPr>
        <w:t>plit-</w:t>
      </w:r>
      <w:r w:rsidR="00CD740F" w:rsidRPr="004E53A7">
        <w:rPr>
          <w:rFonts w:eastAsia="宋体"/>
          <w:bCs/>
          <w:noProof/>
          <w:lang w:val="en-US" w:eastAsia="zh-TW"/>
        </w:rPr>
        <w:t>h</w:t>
      </w:r>
      <w:r w:rsidRPr="004E53A7">
        <w:rPr>
          <w:rFonts w:eastAsia="宋体"/>
          <w:bCs/>
          <w:noProof/>
          <w:lang w:val="en-US" w:eastAsia="zh-TW"/>
        </w:rPr>
        <w:t xml:space="preserve">alf </w:t>
      </w:r>
      <w:r w:rsidR="00CD740F" w:rsidRPr="004E53A7">
        <w:rPr>
          <w:rFonts w:eastAsia="宋体"/>
          <w:bCs/>
          <w:noProof/>
          <w:lang w:val="en-US" w:eastAsia="zh-TW"/>
        </w:rPr>
        <w:t>methods</w:t>
      </w:r>
      <w:r w:rsidR="004E53A7">
        <w:rPr>
          <w:rFonts w:eastAsia="宋体"/>
          <w:bCs/>
          <w:noProof/>
          <w:lang w:val="en-US" w:eastAsia="zh-TW"/>
        </w:rPr>
        <w:t>.</w:t>
      </w:r>
    </w:p>
    <w:p w14:paraId="5099C4CE" w14:textId="4A440167" w:rsidR="00CD740F" w:rsidRDefault="00CD740F" w:rsidP="00CD740F">
      <w:pPr>
        <w:spacing w:beforeLines="100" w:before="240" w:afterLines="100" w:after="240"/>
        <w:jc w:val="center"/>
        <w:rPr>
          <w:rFonts w:eastAsia="宋体"/>
          <w:bCs/>
          <w:noProof/>
          <w:lang w:val="en-US" w:eastAsia="zh-TW"/>
        </w:rPr>
      </w:pPr>
      <w:r w:rsidRPr="00CD740F">
        <w:rPr>
          <w:rFonts w:eastAsia="宋体"/>
          <w:bCs/>
          <w:i/>
          <w:iCs/>
          <w:noProof/>
          <w:lang w:val="en-US" w:eastAsia="zh-TW"/>
        </w:rPr>
        <w:t>Note:</w:t>
      </w:r>
      <w:r>
        <w:rPr>
          <w:rFonts w:eastAsia="宋体"/>
          <w:bCs/>
          <w:i/>
          <w:iCs/>
          <w:noProof/>
          <w:lang w:val="en-US" w:eastAsia="zh-TW"/>
        </w:rPr>
        <w:t xml:space="preserve"> </w:t>
      </w:r>
      <w:r w:rsidRPr="00CD740F">
        <w:rPr>
          <w:rFonts w:eastAsia="宋体"/>
          <w:bCs/>
          <w:noProof/>
          <w:lang w:val="en-US" w:eastAsia="zh-TW"/>
        </w:rPr>
        <w:t>The vertical axis of the graph illustrates eight distinct outcome variables, which includes two additional indices from the DDM, implemented using the "hausekeep" package. The line and dots on the graph represent the weighted average split-half reliability values along with their corresponding 95% confidence intervals. In cases where only one point is visible, it signifies that the confidence interval for that specific point estimate extends beyond the range of our coordinate axes (0, 1). The figure is divided into separate facets arranged from left to right, each representing WASR calculated using three distinct methods: first-second, odd-even, and permuted. Moving from top to bottom, each facet in the graph corresponds to a different target for the SPE measures, specifically friend, stranger, celebrity, and non-person.</w:t>
      </w:r>
    </w:p>
    <w:p w14:paraId="3744DEB1" w14:textId="54A84AB7" w:rsidR="00E17822" w:rsidRDefault="00E17822" w:rsidP="00E17822">
      <w:pPr>
        <w:pStyle w:val="2"/>
        <w:numPr>
          <w:ilvl w:val="1"/>
          <w:numId w:val="39"/>
        </w:numPr>
        <w:spacing w:after="120"/>
        <w:rPr>
          <w:rFonts w:ascii="Times New Roman" w:hAnsi="Times New Roman"/>
          <w:lang w:val="en-US"/>
        </w:rPr>
      </w:pPr>
      <w:commentRangeStart w:id="94"/>
      <w:commentRangeStart w:id="95"/>
      <w:r>
        <w:rPr>
          <w:rFonts w:ascii="Times New Roman" w:hAnsi="Times New Roman"/>
          <w:lang w:val="en-US"/>
        </w:rPr>
        <w:lastRenderedPageBreak/>
        <w:t xml:space="preserve"> </w:t>
      </w:r>
      <w:r w:rsidRPr="00E17822">
        <w:rPr>
          <w:rFonts w:ascii="Times New Roman" w:hAnsi="Times New Roman" w:hint="eastAsia"/>
          <w:lang w:val="en-US"/>
        </w:rPr>
        <w:t>SHR</w:t>
      </w:r>
      <w:r w:rsidRPr="00E17822">
        <w:rPr>
          <w:rFonts w:ascii="Times New Roman" w:hAnsi="Times New Roman"/>
          <w:lang w:val="en-US"/>
        </w:rPr>
        <w:t xml:space="preserve"> for SPE </w:t>
      </w:r>
      <w:r>
        <w:rPr>
          <w:rFonts w:ascii="Times New Roman" w:hAnsi="Times New Roman" w:hint="eastAsia"/>
          <w:lang w:val="en-US"/>
        </w:rPr>
        <w:t>M</w:t>
      </w:r>
      <w:r>
        <w:rPr>
          <w:rFonts w:ascii="Times New Roman" w:hAnsi="Times New Roman"/>
          <w:lang w:val="en-US"/>
        </w:rPr>
        <w:t>e</w:t>
      </w:r>
      <w:r w:rsidRPr="00E17822">
        <w:rPr>
          <w:rFonts w:ascii="Times New Roman" w:hAnsi="Times New Roman"/>
          <w:lang w:val="en-US"/>
        </w:rPr>
        <w:t xml:space="preserve">asures </w:t>
      </w:r>
      <w:r>
        <w:rPr>
          <w:rFonts w:ascii="Times New Roman" w:hAnsi="Times New Roman"/>
          <w:lang w:val="en-US"/>
        </w:rPr>
        <w:t>U</w:t>
      </w:r>
      <w:r w:rsidRPr="00E17822">
        <w:rPr>
          <w:rFonts w:ascii="Times New Roman" w:hAnsi="Times New Roman"/>
          <w:lang w:val="en-US"/>
        </w:rPr>
        <w:t xml:space="preserve">sing </w:t>
      </w:r>
      <w:r w:rsidR="0075550B">
        <w:rPr>
          <w:rFonts w:ascii="Times New Roman" w:hAnsi="Times New Roman"/>
          <w:lang w:val="en-US"/>
        </w:rPr>
        <w:t>Four</w:t>
      </w:r>
      <w:r w:rsidRPr="00E17822">
        <w:rPr>
          <w:rFonts w:ascii="Times New Roman" w:hAnsi="Times New Roman"/>
          <w:lang w:val="en-US"/>
        </w:rPr>
        <w:t xml:space="preserve"> </w:t>
      </w:r>
      <w:r>
        <w:rPr>
          <w:rFonts w:ascii="Times New Roman" w:hAnsi="Times New Roman"/>
          <w:lang w:val="en-US"/>
        </w:rPr>
        <w:t>S</w:t>
      </w:r>
      <w:r w:rsidRPr="00E17822">
        <w:rPr>
          <w:rFonts w:ascii="Times New Roman" w:hAnsi="Times New Roman"/>
          <w:lang w:val="en-US"/>
        </w:rPr>
        <w:t xml:space="preserve">plit-half </w:t>
      </w:r>
      <w:r>
        <w:rPr>
          <w:rFonts w:ascii="Times New Roman" w:hAnsi="Times New Roman"/>
          <w:lang w:val="en-US"/>
        </w:rPr>
        <w:t>M</w:t>
      </w:r>
      <w:r w:rsidRPr="00E17822">
        <w:rPr>
          <w:rFonts w:ascii="Times New Roman" w:hAnsi="Times New Roman"/>
          <w:lang w:val="en-US"/>
        </w:rPr>
        <w:t>ethods</w:t>
      </w:r>
      <w:commentRangeEnd w:id="94"/>
      <w:r w:rsidR="005F18D3">
        <w:rPr>
          <w:rStyle w:val="a6"/>
          <w:rFonts w:ascii="Times New Roman" w:eastAsia="Times New Roman" w:hAnsi="Times New Roman"/>
          <w:b w:val="0"/>
        </w:rPr>
        <w:commentReference w:id="94"/>
      </w:r>
      <w:commentRangeEnd w:id="95"/>
      <w:r w:rsidR="00E80224">
        <w:rPr>
          <w:rStyle w:val="a6"/>
          <w:rFonts w:ascii="Times New Roman" w:eastAsia="Times New Roman" w:hAnsi="Times New Roman"/>
          <w:b w:val="0"/>
        </w:rPr>
        <w:commentReference w:id="95"/>
      </w:r>
    </w:p>
    <w:p w14:paraId="023EE31F" w14:textId="522862CB" w:rsidR="0075550B" w:rsidRPr="0075550B" w:rsidRDefault="0075550B" w:rsidP="0075550B">
      <w:pPr>
        <w:ind w:firstLineChars="100" w:firstLine="240"/>
        <w:rPr>
          <w:rFonts w:eastAsiaTheme="minorEastAsia"/>
          <w:color w:val="000000" w:themeColor="text1"/>
        </w:rPr>
      </w:pPr>
      <w:r w:rsidRPr="0075550B">
        <w:rPr>
          <w:rFonts w:eastAsiaTheme="minorEastAsia"/>
          <w:color w:val="000000" w:themeColor="text1"/>
        </w:rPr>
        <w:t xml:space="preserve">In this section, we present the results of Monte Carlo SHR </w:t>
      </w:r>
      <w:r w:rsidR="005F18D3">
        <w:rPr>
          <w:rFonts w:eastAsiaTheme="minorEastAsia"/>
          <w:color w:val="000000" w:themeColor="text1"/>
        </w:rPr>
        <w:t xml:space="preserve">(figure 3) </w:t>
      </w:r>
      <w:r w:rsidRPr="0075550B">
        <w:rPr>
          <w:rFonts w:eastAsiaTheme="minorEastAsia"/>
          <w:color w:val="000000" w:themeColor="text1"/>
        </w:rPr>
        <w:t xml:space="preserve">and SHR obtained using the other three split-half methods </w:t>
      </w:r>
      <w:r w:rsidR="005F18D3">
        <w:rPr>
          <w:rFonts w:eastAsiaTheme="minorEastAsia"/>
          <w:color w:val="000000" w:themeColor="text1"/>
        </w:rPr>
        <w:t xml:space="preserve">(figure 4) </w:t>
      </w:r>
      <w:r w:rsidRPr="0075550B">
        <w:rPr>
          <w:rFonts w:eastAsiaTheme="minorEastAsia"/>
          <w:color w:val="000000" w:themeColor="text1"/>
        </w:rPr>
        <w:t>for estimating the drift rate (v) and starting point (z) from the ezDDM ("hausekeep"</w:t>
      </w:r>
      <w:r w:rsidR="00C038E6">
        <w:rPr>
          <w:rFonts w:eastAsiaTheme="minorEastAsia"/>
          <w:color w:val="000000" w:themeColor="text1"/>
          <w:lang w:val="en-US"/>
        </w:rPr>
        <w:t xml:space="preserve"> package</w:t>
      </w:r>
      <w:r w:rsidRPr="0075550B">
        <w:rPr>
          <w:rFonts w:eastAsiaTheme="minorEastAsia" w:hint="eastAsia"/>
          <w:color w:val="000000" w:themeColor="text1"/>
        </w:rPr>
        <w:t>)</w:t>
      </w:r>
      <w:r w:rsidRPr="0075550B">
        <w:rPr>
          <w:rFonts w:eastAsiaTheme="minorEastAsia"/>
          <w:color w:val="000000" w:themeColor="text1"/>
        </w:rPr>
        <w:t>.</w:t>
      </w:r>
      <w:r>
        <w:rPr>
          <w:rFonts w:eastAsiaTheme="minorEastAsia"/>
          <w:color w:val="000000" w:themeColor="text1"/>
        </w:rPr>
        <w:t xml:space="preserve"> It</w:t>
      </w:r>
      <w:r w:rsidRPr="00E17822">
        <w:rPr>
          <w:rFonts w:eastAsiaTheme="minorEastAsia"/>
          <w:color w:val="000000" w:themeColor="text1"/>
        </w:rPr>
        <w:t xml:space="preserve"> should be noted that the estimation of parameter "a" in hausekeep is highly </w:t>
      </w:r>
      <w:r w:rsidR="00C038E6">
        <w:rPr>
          <w:rFonts w:eastAsiaTheme="minorEastAsia"/>
          <w:color w:val="000000" w:themeColor="text1"/>
        </w:rPr>
        <w:t>deviant from HDDM</w:t>
      </w:r>
      <w:r w:rsidRPr="00E17822">
        <w:rPr>
          <w:rFonts w:eastAsiaTheme="minorEastAsia"/>
          <w:color w:val="000000" w:themeColor="text1"/>
        </w:rPr>
        <w:t xml:space="preserve"> due to the assumption of z = a / 2</w:t>
      </w:r>
      <w:r>
        <w:rPr>
          <w:rFonts w:eastAsiaTheme="minorEastAsia"/>
          <w:color w:val="000000" w:themeColor="text1"/>
        </w:rPr>
        <w:t xml:space="preserve"> (see supple figure 1)</w:t>
      </w:r>
      <w:r w:rsidRPr="00E17822">
        <w:rPr>
          <w:rFonts w:eastAsiaTheme="minorEastAsia"/>
          <w:color w:val="000000" w:themeColor="text1"/>
        </w:rPr>
        <w:t xml:space="preserve">. Consequently, we </w:t>
      </w:r>
      <w:r w:rsidR="00C038E6">
        <w:rPr>
          <w:rFonts w:eastAsiaTheme="minorEastAsia"/>
          <w:color w:val="000000" w:themeColor="text1"/>
        </w:rPr>
        <w:t>do not report</w:t>
      </w:r>
      <w:r w:rsidRPr="00E17822">
        <w:rPr>
          <w:rFonts w:eastAsiaTheme="minorEastAsia"/>
          <w:color w:val="000000" w:themeColor="text1"/>
        </w:rPr>
        <w:t xml:space="preserve"> the results obtained from this package in the main text.</w:t>
      </w:r>
    </w:p>
    <w:p w14:paraId="4F6574CE" w14:textId="77777777" w:rsidR="0075550B" w:rsidRPr="0075550B" w:rsidRDefault="0075550B" w:rsidP="0075550B"/>
    <w:p w14:paraId="2C21ECAC" w14:textId="1C68B762" w:rsidR="00366F6F" w:rsidRPr="005F18D3" w:rsidRDefault="00E17822" w:rsidP="005F18D3">
      <w:pPr>
        <w:rPr>
          <w:rFonts w:eastAsia="宋体"/>
          <w:lang w:val="en-US"/>
        </w:rPr>
      </w:pPr>
      <w:r>
        <w:rPr>
          <w:rFonts w:eastAsia="宋体"/>
          <w:lang w:val="en-US"/>
        </w:rPr>
        <w:t xml:space="preserve"> </w:t>
      </w:r>
    </w:p>
    <w:p w14:paraId="29A9B252" w14:textId="172A2840" w:rsidR="00BD6971" w:rsidRDefault="002F3744" w:rsidP="0075550B">
      <w:pPr>
        <w:rPr>
          <w:rFonts w:eastAsia="宋体"/>
          <w:bCs/>
          <w:noProof/>
          <w:lang w:val="en-US" w:eastAsia="zh-TW"/>
        </w:rPr>
      </w:pPr>
      <w:r>
        <w:rPr>
          <w:rFonts w:eastAsia="宋体"/>
          <w:bCs/>
          <w:noProof/>
          <w:lang w:val="en-US" w:eastAsia="zh-TW"/>
        </w:rPr>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B4FA6A" w14:textId="77777777" w:rsidR="004E53A7" w:rsidRDefault="00EB2BE6"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5F18D3" w:rsidRPr="004E53A7">
        <w:rPr>
          <w:rFonts w:eastAsia="宋体"/>
          <w:b/>
          <w:noProof/>
          <w:lang w:val="en-US" w:eastAsia="zh-TW"/>
        </w:rPr>
        <w:t>3</w:t>
      </w:r>
      <w:r w:rsidRPr="004E53A7">
        <w:rPr>
          <w:rFonts w:eastAsia="宋体"/>
          <w:b/>
          <w:noProof/>
          <w:lang w:val="en-US" w:eastAsia="zh-TW"/>
        </w:rPr>
        <w:t xml:space="preserve">. </w:t>
      </w:r>
      <w:r w:rsidRPr="004E53A7">
        <w:rPr>
          <w:rFonts w:eastAsia="宋体"/>
          <w:bCs/>
          <w:noProof/>
          <w:lang w:val="en-US" w:eastAsia="zh-TW"/>
        </w:rPr>
        <w:t xml:space="preserve">Monte Carlo </w:t>
      </w:r>
      <w:r w:rsidR="00BA265E" w:rsidRPr="004E53A7">
        <w:rPr>
          <w:rFonts w:eastAsia="宋体" w:hint="eastAsia"/>
          <w:bCs/>
          <w:noProof/>
          <w:lang w:val="en-US" w:eastAsia="zh-TW"/>
        </w:rPr>
        <w:t>SHR</w:t>
      </w:r>
      <w:r w:rsidRPr="004E53A7">
        <w:rPr>
          <w:rFonts w:eastAsia="宋体"/>
          <w:bCs/>
          <w:noProof/>
          <w:lang w:val="en-US" w:eastAsia="zh-TW"/>
        </w:rPr>
        <w:t xml:space="preserve"> </w:t>
      </w:r>
      <w:r w:rsidR="00BA265E" w:rsidRPr="004E53A7">
        <w:rPr>
          <w:rFonts w:eastAsia="宋体"/>
          <w:bCs/>
          <w:noProof/>
          <w:lang w:val="en-US" w:eastAsia="zh-TW"/>
        </w:rPr>
        <w:t>for SPE measures</w:t>
      </w:r>
      <w:r w:rsidR="004E53A7">
        <w:rPr>
          <w:rFonts w:eastAsia="宋体"/>
          <w:bCs/>
          <w:noProof/>
          <w:lang w:val="en-US" w:eastAsia="zh-TW"/>
        </w:rPr>
        <w:t xml:space="preserve">. </w:t>
      </w:r>
    </w:p>
    <w:p w14:paraId="6831D1EE" w14:textId="16B42325" w:rsidR="00EB2BE6" w:rsidRPr="004E53A7" w:rsidRDefault="00C038E6" w:rsidP="004E53A7">
      <w:pPr>
        <w:ind w:firstLineChars="100" w:firstLine="240"/>
        <w:jc w:val="center"/>
        <w:rPr>
          <w:rFonts w:eastAsia="宋体"/>
          <w:b/>
          <w:noProof/>
          <w:lang w:val="en-US" w:eastAsia="zh-TW"/>
        </w:rPr>
      </w:pPr>
      <w:r w:rsidRPr="00C038E6">
        <w:rPr>
          <w:rFonts w:eastAsia="宋体"/>
          <w:bCs/>
          <w:i/>
          <w:iCs/>
          <w:noProof/>
          <w:lang w:val="en-US" w:eastAsia="zh-TW"/>
        </w:rPr>
        <w:t>Note:</w:t>
      </w:r>
      <w:r>
        <w:rPr>
          <w:rFonts w:eastAsia="宋体"/>
          <w:bCs/>
          <w:noProof/>
          <w:lang w:val="en-US" w:eastAsia="zh-TW"/>
        </w:rPr>
        <w:t xml:space="preserve"> </w:t>
      </w:r>
      <w:r w:rsidR="00044360" w:rsidRPr="00CD740F">
        <w:rPr>
          <w:rFonts w:eastAsia="宋体"/>
          <w:bCs/>
          <w:noProof/>
          <w:lang w:val="en-US" w:eastAsia="zh-TW"/>
        </w:rPr>
        <w:t>The vertical axis of the graph illustrates eight distinct outcome variables, which includes two additional indices from the DDM, implemented using the "hausekeep" package</w:t>
      </w:r>
      <w:r w:rsidR="00044360">
        <w:rPr>
          <w:rFonts w:eastAsia="宋体"/>
          <w:bCs/>
          <w:noProof/>
          <w:lang w:val="en-US" w:eastAsia="zh-TW"/>
        </w:rPr>
        <w:t xml:space="preserve">. </w:t>
      </w:r>
      <w:r w:rsidR="00044360" w:rsidRPr="00CD740F">
        <w:rPr>
          <w:rFonts w:eastAsia="宋体"/>
          <w:bCs/>
          <w:noProof/>
          <w:lang w:val="en-US" w:eastAsia="zh-TW"/>
        </w:rPr>
        <w:t xml:space="preserve">The line and dots on the graph represent the split-half reliability </w:t>
      </w:r>
      <w:r w:rsidR="00044360">
        <w:rPr>
          <w:rFonts w:eastAsia="宋体" w:hint="eastAsia"/>
          <w:bCs/>
          <w:noProof/>
          <w:lang w:val="en-US" w:eastAsia="zh-TW"/>
        </w:rPr>
        <w:t>estimated</w:t>
      </w:r>
      <w:r w:rsidR="00044360">
        <w:rPr>
          <w:rFonts w:eastAsia="宋体"/>
          <w:bCs/>
          <w:noProof/>
          <w:lang w:val="en-US" w:eastAsia="zh-TW"/>
        </w:rPr>
        <w:t xml:space="preserve"> </w:t>
      </w:r>
      <w:r w:rsidR="00044360">
        <w:rPr>
          <w:rFonts w:eastAsia="宋体" w:hint="eastAsia"/>
          <w:bCs/>
          <w:noProof/>
          <w:lang w:val="en-US" w:eastAsia="zh-TW"/>
        </w:rPr>
        <w:t>using</w:t>
      </w:r>
      <w:r w:rsidR="00044360">
        <w:rPr>
          <w:rFonts w:eastAsia="宋体"/>
          <w:bCs/>
          <w:noProof/>
          <w:lang w:val="en-US" w:eastAsia="zh-TW"/>
        </w:rPr>
        <w:t xml:space="preserve"> </w:t>
      </w:r>
      <w:r w:rsidR="00044360" w:rsidRPr="00044360">
        <w:rPr>
          <w:rFonts w:eastAsia="宋体"/>
          <w:bCs/>
          <w:noProof/>
          <w:lang w:val="en-US" w:eastAsia="zh-TW"/>
        </w:rPr>
        <w:t xml:space="preserve">Monte Carlo </w:t>
      </w:r>
      <w:r w:rsidR="00044360" w:rsidRPr="00044360">
        <w:rPr>
          <w:rFonts w:eastAsia="宋体" w:hint="eastAsia"/>
          <w:bCs/>
          <w:noProof/>
          <w:lang w:val="en-US" w:eastAsia="zh-TW"/>
        </w:rPr>
        <w:t xml:space="preserve">split-half </w:t>
      </w:r>
      <w:r w:rsidR="00044360" w:rsidRPr="00044360">
        <w:rPr>
          <w:rFonts w:eastAsia="宋体" w:hint="eastAsia"/>
          <w:bCs/>
          <w:noProof/>
          <w:lang w:val="en-US" w:eastAsia="zh-TW"/>
        </w:rPr>
        <w:lastRenderedPageBreak/>
        <w:t>method</w:t>
      </w:r>
      <w:r w:rsidR="00044360" w:rsidRPr="00044360">
        <w:rPr>
          <w:rFonts w:eastAsia="宋体"/>
          <w:bCs/>
          <w:noProof/>
          <w:lang w:val="en-US" w:eastAsia="zh-TW"/>
        </w:rPr>
        <w:t xml:space="preserve">, </w:t>
      </w:r>
      <w:r w:rsidR="00044360" w:rsidRPr="00CD740F">
        <w:rPr>
          <w:rFonts w:eastAsia="宋体"/>
          <w:bCs/>
          <w:noProof/>
          <w:lang w:val="en-US" w:eastAsia="zh-TW"/>
        </w:rPr>
        <w:t>along with their corresponding 95% confidence intervals</w:t>
      </w:r>
      <w:r w:rsidR="00044360">
        <w:rPr>
          <w:rFonts w:eastAsia="宋体"/>
          <w:bCs/>
          <w:noProof/>
          <w:lang w:val="en-US" w:eastAsia="zh-TW"/>
        </w:rPr>
        <w:t xml:space="preserve">. </w:t>
      </w:r>
      <w:r w:rsidR="00C277F5" w:rsidRPr="00747642">
        <w:rPr>
          <w:lang w:val="en-US"/>
        </w:rPr>
        <w:t xml:space="preserve">If only </w:t>
      </w:r>
      <w:r w:rsidR="00044360">
        <w:rPr>
          <w:lang w:val="en-US"/>
        </w:rPr>
        <w:t>the</w:t>
      </w:r>
      <w:r w:rsidR="00C277F5" w:rsidRPr="00747642">
        <w:rPr>
          <w:lang w:val="en-US"/>
        </w:rPr>
        <w:t xml:space="preserve"> point is shown in the graph, it indicates that the confidence interval for that point estimate extends beyond the range of our coordinate axes (0, 1).</w:t>
      </w:r>
    </w:p>
    <w:p w14:paraId="44F5145A" w14:textId="091A8DCD" w:rsidR="005F18D3" w:rsidRDefault="005F18D3" w:rsidP="00044360">
      <w:pPr>
        <w:spacing w:beforeLines="100" w:before="240" w:afterLines="100" w:after="240"/>
        <w:ind w:firstLineChars="100" w:firstLine="240"/>
        <w:jc w:val="center"/>
        <w:rPr>
          <w:lang w:val="en-US"/>
        </w:rPr>
      </w:pPr>
    </w:p>
    <w:p w14:paraId="5E43B607" w14:textId="77777777" w:rsidR="005F18D3" w:rsidRDefault="005F18D3" w:rsidP="005F18D3">
      <w:pPr>
        <w:rPr>
          <w:rFonts w:eastAsia="PMingLiU"/>
          <w:bCs/>
          <w:noProof/>
          <w:lang w:val="en-US" w:eastAsia="zh-TW"/>
        </w:rPr>
      </w:pPr>
      <w:r>
        <w:rPr>
          <w:rFonts w:eastAsia="宋体"/>
          <w:bCs/>
          <w:noProof/>
          <w:lang w:val="en-US" w:eastAsia="zh-TW"/>
        </w:rPr>
        <w:drawing>
          <wp:inline distT="0" distB="0" distL="0" distR="0" wp14:anchorId="12AF33BF" wp14:editId="6660D55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B8A4C07" w14:textId="77777777" w:rsidR="004E53A7" w:rsidRDefault="005F18D3"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4 </w:t>
      </w:r>
      <w:r w:rsidRPr="004E53A7">
        <w:rPr>
          <w:rFonts w:eastAsia="宋体" w:hint="eastAsia"/>
          <w:b/>
          <w:noProof/>
          <w:lang w:val="en-US" w:eastAsia="zh-TW"/>
        </w:rPr>
        <w:t>SHR</w:t>
      </w:r>
      <w:r w:rsidRPr="004E53A7">
        <w:rPr>
          <w:rFonts w:eastAsia="宋体"/>
          <w:b/>
          <w:noProof/>
          <w:lang w:val="en-US" w:eastAsia="zh-TW"/>
        </w:rPr>
        <w:t xml:space="preserve"> for SPE measures using other three split-half methods</w:t>
      </w:r>
      <w:r w:rsidR="004E53A7">
        <w:rPr>
          <w:rFonts w:eastAsia="宋体"/>
          <w:b/>
          <w:noProof/>
          <w:lang w:val="en-US" w:eastAsia="zh-TW"/>
        </w:rPr>
        <w:t xml:space="preserve">. </w:t>
      </w:r>
    </w:p>
    <w:p w14:paraId="4A0A92D1" w14:textId="73FB521E" w:rsidR="005F18D3" w:rsidRPr="004E53A7" w:rsidRDefault="005F18D3" w:rsidP="004E53A7">
      <w:pPr>
        <w:ind w:firstLineChars="100" w:firstLine="240"/>
        <w:jc w:val="center"/>
        <w:rPr>
          <w:rFonts w:eastAsia="宋体"/>
          <w:b/>
          <w:noProof/>
          <w:lang w:val="en-US" w:eastAsia="zh-TW"/>
        </w:rPr>
      </w:pPr>
      <w:r w:rsidRPr="00CD740F">
        <w:rPr>
          <w:rFonts w:eastAsia="宋体"/>
          <w:bCs/>
          <w:i/>
          <w:iCs/>
          <w:noProof/>
          <w:lang w:val="en-US" w:eastAsia="zh-TW"/>
        </w:rPr>
        <w:t>Note:</w:t>
      </w:r>
      <w:r>
        <w:rPr>
          <w:rFonts w:eastAsia="宋体"/>
          <w:bCs/>
          <w:i/>
          <w:iCs/>
          <w:noProof/>
          <w:lang w:val="en-US" w:eastAsia="zh-TW"/>
        </w:rPr>
        <w:t xml:space="preserve"> </w:t>
      </w:r>
      <w:r w:rsidRPr="00CD740F">
        <w:rPr>
          <w:rFonts w:eastAsia="宋体"/>
          <w:bCs/>
          <w:noProof/>
          <w:lang w:val="en-US" w:eastAsia="zh-TW"/>
        </w:rPr>
        <w:t>The vertical axis of the graph illustrates eight distinct outcome variables, which includes two additional indices from the DDM, implemented using the "hausekeep" package.</w:t>
      </w:r>
      <w:r>
        <w:rPr>
          <w:rFonts w:eastAsia="宋体"/>
          <w:bCs/>
          <w:noProof/>
          <w:lang w:val="en-US" w:eastAsia="zh-TW"/>
        </w:rPr>
        <w:t xml:space="preserve"> </w:t>
      </w:r>
      <w:r w:rsidRPr="00CD740F">
        <w:rPr>
          <w:rFonts w:eastAsia="宋体"/>
          <w:bCs/>
          <w:noProof/>
          <w:lang w:val="en-US" w:eastAsia="zh-TW"/>
        </w:rPr>
        <w:t xml:space="preserve">The figure is divided into separate facets arranged from left to right, each representing </w:t>
      </w:r>
      <w:r>
        <w:rPr>
          <w:rFonts w:eastAsia="宋体" w:hint="eastAsia"/>
          <w:bCs/>
          <w:noProof/>
          <w:lang w:val="en-US"/>
        </w:rPr>
        <w:t>SHR</w:t>
      </w:r>
      <w:r>
        <w:rPr>
          <w:rFonts w:eastAsia="宋体"/>
          <w:bCs/>
          <w:noProof/>
          <w:lang w:val="en-US"/>
        </w:rPr>
        <w:t xml:space="preserve"> </w:t>
      </w:r>
      <w:r w:rsidRPr="00CD740F">
        <w:rPr>
          <w:rFonts w:eastAsia="宋体"/>
          <w:bCs/>
          <w:noProof/>
          <w:lang w:val="en-US" w:eastAsia="zh-TW"/>
        </w:rPr>
        <w:t>calculated using three distinct methods: first-second, odd-even, and permuted. Moving from top to bottom, each facet in the graph corresponds to a different target for the SPE measures, specifically friend, stranger, celebrity, and non-person.</w:t>
      </w:r>
    </w:p>
    <w:p w14:paraId="5ABEA16D" w14:textId="77777777" w:rsidR="005F18D3" w:rsidRDefault="005F18D3" w:rsidP="00044360">
      <w:pPr>
        <w:spacing w:beforeLines="100" w:before="240" w:afterLines="100" w:after="240"/>
        <w:ind w:firstLineChars="100" w:firstLine="240"/>
        <w:jc w:val="center"/>
        <w:rPr>
          <w:lang w:val="en-US"/>
        </w:rPr>
      </w:pPr>
    </w:p>
    <w:p w14:paraId="2E8F40CE" w14:textId="48B5D83B" w:rsidR="0075550B" w:rsidRDefault="0075550B" w:rsidP="00044360">
      <w:pPr>
        <w:spacing w:beforeLines="100" w:before="240" w:afterLines="100" w:after="240"/>
        <w:ind w:firstLineChars="100" w:firstLine="240"/>
        <w:jc w:val="center"/>
        <w:rPr>
          <w:lang w:val="en-US"/>
        </w:rPr>
      </w:pPr>
    </w:p>
    <w:p w14:paraId="03352E86" w14:textId="2A466B0D" w:rsidR="0075550B" w:rsidRDefault="0075550B" w:rsidP="00044360">
      <w:pPr>
        <w:spacing w:beforeLines="100" w:before="240" w:afterLines="100" w:after="240"/>
        <w:ind w:firstLineChars="100" w:firstLine="240"/>
        <w:jc w:val="center"/>
        <w:rPr>
          <w:lang w:val="en-US"/>
        </w:rPr>
      </w:pPr>
    </w:p>
    <w:p w14:paraId="031BA926" w14:textId="009BA01A" w:rsidR="0075550B" w:rsidRDefault="0075550B" w:rsidP="00C038E6">
      <w:pPr>
        <w:ind w:firstLineChars="100" w:firstLine="240"/>
        <w:rPr>
          <w:rFonts w:eastAsiaTheme="minorEastAsia"/>
          <w:color w:val="000000" w:themeColor="text1"/>
        </w:rPr>
      </w:pPr>
      <w:r w:rsidRPr="00E17822">
        <w:rPr>
          <w:rFonts w:eastAsiaTheme="minorEastAsia"/>
          <w:color w:val="000000" w:themeColor="text1"/>
        </w:rPr>
        <w:t xml:space="preserve">From the </w:t>
      </w:r>
      <w:r w:rsidR="00C038E6">
        <w:rPr>
          <w:rFonts w:eastAsiaTheme="minorEastAsia"/>
          <w:color w:val="000000" w:themeColor="text1"/>
        </w:rPr>
        <w:t>result</w:t>
      </w:r>
      <w:r w:rsidRPr="00E17822">
        <w:rPr>
          <w:rFonts w:eastAsiaTheme="minorEastAsia"/>
          <w:color w:val="000000" w:themeColor="text1"/>
        </w:rPr>
        <w:t>, it is evident that ezDDM demonstrates higher stability in estimating the drift rate (v). This may be attributed to the estimation method used in "hausekeep," which relies on average reaction time and accuracy, as opposed to the method employed in "RWiener," which relies on individual trial-level reaction times and correctness. The chosen split-half procedure may have a greater impact on the estimation by "RWiener," leading to lower split-half reliabilities for both of its indices.</w:t>
      </w:r>
      <w:r w:rsidR="00C038E6">
        <w:rPr>
          <w:rFonts w:eastAsiaTheme="minorEastAsia"/>
          <w:color w:val="000000" w:themeColor="text1"/>
        </w:rPr>
        <w:t xml:space="preserve"> </w:t>
      </w:r>
      <w:r w:rsidRPr="00E17822">
        <w:rPr>
          <w:rFonts w:eastAsiaTheme="minorEastAsia"/>
          <w:color w:val="000000" w:themeColor="text1"/>
        </w:rPr>
        <w:t>These observations imply that the reliability of calculating DDM parameters through split-half reliabilities is influenced by two key factors. Firstly, the stability of the parameter itself plays a significant role, and secondly, the stability of the package used to compute that parameter is equally crucial.</w:t>
      </w:r>
    </w:p>
    <w:p w14:paraId="3A91447D" w14:textId="77777777" w:rsidR="00C038E6" w:rsidRPr="00C038E6" w:rsidRDefault="00C038E6" w:rsidP="00C038E6">
      <w:pPr>
        <w:ind w:firstLineChars="100" w:firstLine="240"/>
        <w:rPr>
          <w:rFonts w:eastAsiaTheme="minorEastAsia"/>
          <w:color w:val="000000" w:themeColor="text1"/>
        </w:rPr>
      </w:pPr>
    </w:p>
    <w:p w14:paraId="6E77D8AA" w14:textId="4F87C4C3" w:rsidR="0075550B" w:rsidRDefault="00C038E6" w:rsidP="00C038E6">
      <w:pPr>
        <w:pStyle w:val="2"/>
        <w:numPr>
          <w:ilvl w:val="1"/>
          <w:numId w:val="39"/>
        </w:numPr>
        <w:spacing w:after="120"/>
        <w:rPr>
          <w:rFonts w:ascii="Times New Roman" w:hAnsi="Times New Roman"/>
          <w:lang w:val="en-US"/>
        </w:rPr>
      </w:pPr>
      <w:r w:rsidRPr="00C038E6">
        <w:rPr>
          <w:rFonts w:ascii="Times New Roman" w:hAnsi="Times New Roman" w:hint="eastAsia"/>
          <w:lang w:val="en-US"/>
        </w:rPr>
        <w:t>ICCs</w:t>
      </w:r>
      <w:r w:rsidRPr="00C038E6">
        <w:rPr>
          <w:rFonts w:ascii="Times New Roman" w:hAnsi="Times New Roman"/>
          <w:lang w:val="en-US"/>
        </w:rPr>
        <w:t xml:space="preserve"> for different SPE indices.</w:t>
      </w:r>
    </w:p>
    <w:p w14:paraId="26943CA4" w14:textId="77777777" w:rsidR="004E53A7" w:rsidRPr="004E53A7" w:rsidRDefault="004E53A7" w:rsidP="004E53A7">
      <w:pPr>
        <w:rPr>
          <w:rFonts w:eastAsia="宋体"/>
          <w:lang w:val="en-US"/>
        </w:rPr>
      </w:pP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6A8E5AF5" w14:textId="6EFE2662" w:rsidR="004E53A7" w:rsidRDefault="00EB2BE6" w:rsidP="004E53A7">
      <w:pPr>
        <w:ind w:firstLineChars="100" w:firstLine="241"/>
        <w:jc w:val="center"/>
        <w:rPr>
          <w:rFonts w:eastAsia="宋体"/>
          <w:b/>
          <w:noProof/>
          <w:lang w:val="en-US" w:eastAsia="zh-TW"/>
        </w:rPr>
      </w:pPr>
      <w:r w:rsidRPr="004E53A7">
        <w:rPr>
          <w:rFonts w:eastAsia="宋体"/>
          <w:b/>
          <w:noProof/>
          <w:lang w:val="en-US" w:eastAsia="zh-TW"/>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sidR="004E53A7">
        <w:rPr>
          <w:rFonts w:eastAsia="宋体"/>
          <w:b/>
          <w:noProof/>
          <w:lang w:val="en-US" w:eastAsia="zh-TW"/>
        </w:rPr>
        <w:t>5</w:t>
      </w:r>
      <w:r w:rsidRPr="004E53A7">
        <w:rPr>
          <w:rFonts w:eastAsia="宋体"/>
          <w:b/>
          <w:noProof/>
          <w:lang w:val="en-US" w:eastAsia="zh-TW"/>
        </w:rPr>
        <w:t xml:space="preserve"> </w:t>
      </w:r>
      <w:r w:rsidR="00044360" w:rsidRPr="004E53A7">
        <w:rPr>
          <w:rFonts w:eastAsia="宋体" w:hint="eastAsia"/>
          <w:bCs/>
          <w:noProof/>
          <w:lang w:val="en-US" w:eastAsia="zh-TW"/>
        </w:rPr>
        <w:t>ICCs</w:t>
      </w:r>
      <w:r w:rsidR="00044360" w:rsidRPr="004E53A7">
        <w:rPr>
          <w:rFonts w:eastAsia="宋体"/>
          <w:bCs/>
          <w:noProof/>
          <w:lang w:val="en-US" w:eastAsia="zh-TW"/>
        </w:rPr>
        <w:t xml:space="preserve"> </w:t>
      </w:r>
      <w:r w:rsidR="0027313F" w:rsidRPr="004E53A7">
        <w:rPr>
          <w:rFonts w:eastAsia="宋体"/>
          <w:bCs/>
          <w:noProof/>
          <w:lang w:val="en-US" w:eastAsia="zh-TW"/>
        </w:rPr>
        <w:t>for different SPE indices.</w:t>
      </w:r>
    </w:p>
    <w:p w14:paraId="7F839FF8" w14:textId="45444BBD" w:rsidR="00C038E6" w:rsidRPr="004E53A7" w:rsidRDefault="004E53A7" w:rsidP="004E53A7">
      <w:pPr>
        <w:ind w:firstLineChars="100" w:firstLine="200"/>
        <w:jc w:val="center"/>
        <w:rPr>
          <w:rFonts w:eastAsia="宋体"/>
          <w:b/>
          <w:noProof/>
          <w:lang w:val="en-US" w:eastAsia="zh-TW"/>
        </w:rPr>
      </w:pPr>
      <w:r w:rsidRPr="004E53A7">
        <w:rPr>
          <w:rFonts w:eastAsia="宋体"/>
          <w:bCs/>
          <w:i/>
          <w:iCs/>
          <w:noProof/>
          <w:sz w:val="20"/>
          <w:szCs w:val="20"/>
          <w:lang w:val="en-US" w:eastAsia="zh-TW"/>
        </w:rPr>
        <w:t>Note:</w:t>
      </w:r>
      <w:r>
        <w:rPr>
          <w:rFonts w:eastAsia="宋体"/>
          <w:b/>
          <w:noProof/>
          <w:lang w:val="en-US" w:eastAsia="zh-TW"/>
        </w:rPr>
        <w:t xml:space="preserve"> </w:t>
      </w:r>
      <w:r w:rsidR="00C038E6" w:rsidRPr="004E53A7">
        <w:rPr>
          <w:rFonts w:eastAsia="宋体"/>
          <w:bCs/>
          <w:noProof/>
          <w:sz w:val="20"/>
          <w:szCs w:val="20"/>
          <w:lang w:val="en-US" w:eastAsia="zh-TW"/>
        </w:rPr>
        <w:t xml:space="preserve">The vertical axis of the graph illustrates eight distinct outcome variables, which includes two </w:t>
      </w:r>
      <w:r w:rsidR="00C038E6" w:rsidRPr="00C038E6">
        <w:rPr>
          <w:rFonts w:eastAsia="宋体"/>
          <w:bCs/>
          <w:noProof/>
          <w:sz w:val="20"/>
          <w:szCs w:val="20"/>
          <w:lang w:val="en-US" w:eastAsia="zh-TW"/>
        </w:rPr>
        <w:t xml:space="preserve">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w:t>
      </w:r>
      <w:r w:rsidR="00C038E6" w:rsidRPr="007D50DA">
        <w:rPr>
          <w:rFonts w:eastAsia="宋体"/>
          <w:bCs/>
          <w:noProof/>
          <w:sz w:val="20"/>
          <w:szCs w:val="20"/>
          <w:lang w:val="en-US" w:eastAsia="zh-TW"/>
        </w:rPr>
        <w:t>The upper facet of the figure presents the results for ICC2</w:t>
      </w:r>
      <w:r w:rsidR="00C038E6">
        <w:rPr>
          <w:rFonts w:eastAsia="宋体"/>
          <w:bCs/>
          <w:noProof/>
          <w:sz w:val="20"/>
          <w:szCs w:val="20"/>
          <w:lang w:val="en-US" w:eastAsia="zh-TW"/>
        </w:rPr>
        <w:t>k</w:t>
      </w:r>
      <w:r w:rsidR="00C038E6" w:rsidRPr="007D50DA">
        <w:rPr>
          <w:rFonts w:eastAsia="宋体"/>
          <w:bCs/>
          <w:noProof/>
          <w:sz w:val="20"/>
          <w:szCs w:val="20"/>
          <w:lang w:val="en-US" w:eastAsia="zh-TW"/>
        </w:rPr>
        <w:t>, while the lower facet displays the results for ICC.</w:t>
      </w:r>
    </w:p>
    <w:p w14:paraId="4066C299" w14:textId="414436A2" w:rsidR="00366F6F" w:rsidRDefault="00366F6F" w:rsidP="0025117B">
      <w:pPr>
        <w:rPr>
          <w:lang w:val="en-US"/>
        </w:rPr>
      </w:pPr>
    </w:p>
    <w:p w14:paraId="541636D5" w14:textId="3A40D265" w:rsidR="0025117B" w:rsidRDefault="00366F6F" w:rsidP="0025117B">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Pr="00366F6F">
        <w:rPr>
          <w:rFonts w:ascii="Times New Roman" w:hAnsi="Times New Roman" w:hint="eastAsia"/>
          <w:lang w:val="en-US"/>
        </w:rPr>
        <w:t>SHR</w:t>
      </w:r>
      <w:r w:rsidRPr="00366F6F">
        <w:rPr>
          <w:rFonts w:ascii="Times New Roman" w:hAnsi="Times New Roman"/>
          <w:lang w:val="en-US"/>
        </w:rPr>
        <w:t xml:space="preserve"> and Trial Numbers </w:t>
      </w:r>
    </w:p>
    <w:p w14:paraId="7B7B6AB6" w14:textId="1094BEC7" w:rsidR="00366F6F" w:rsidRDefault="00366F6F" w:rsidP="00366F6F">
      <w:pPr>
        <w:ind w:firstLineChars="100" w:firstLine="240"/>
        <w:rPr>
          <w:rFonts w:eastAsiaTheme="minorEastAsia"/>
          <w:color w:val="000000" w:themeColor="text1"/>
        </w:rPr>
      </w:pPr>
      <w:r w:rsidRPr="00366F6F">
        <w:rPr>
          <w:rFonts w:eastAsiaTheme="minorEastAsia"/>
          <w:color w:val="000000" w:themeColor="text1"/>
        </w:rPr>
        <w:t xml:space="preserve">In this section, we present the results of the correlation between Monte Carlo SHR and </w:t>
      </w:r>
      <w:r w:rsidRPr="00366F6F">
        <w:rPr>
          <w:rFonts w:eastAsiaTheme="minorEastAsia" w:hint="eastAsia"/>
          <w:color w:val="000000" w:themeColor="text1"/>
        </w:rPr>
        <w:t>t</w:t>
      </w:r>
      <w:r w:rsidRPr="00366F6F">
        <w:rPr>
          <w:rFonts w:eastAsiaTheme="minorEastAsia"/>
          <w:color w:val="000000" w:themeColor="text1"/>
        </w:rPr>
        <w:t>rial numbers</w:t>
      </w:r>
      <w:r w:rsidR="00B54225">
        <w:rPr>
          <w:rFonts w:eastAsiaTheme="minorEastAsia"/>
          <w:color w:val="000000" w:themeColor="text1"/>
        </w:rPr>
        <w:t xml:space="preserve"> (figure </w:t>
      </w:r>
      <w:r w:rsidR="00236678">
        <w:rPr>
          <w:rFonts w:eastAsiaTheme="minorEastAsia"/>
          <w:color w:val="000000" w:themeColor="text1"/>
        </w:rPr>
        <w:t>6</w:t>
      </w:r>
      <w:r w:rsidR="00B54225">
        <w:rPr>
          <w:rFonts w:eastAsiaTheme="minorEastAsia"/>
          <w:color w:val="000000" w:themeColor="text1"/>
        </w:rPr>
        <w:t>)</w:t>
      </w:r>
      <w:r w:rsidRPr="00366F6F">
        <w:rPr>
          <w:rFonts w:eastAsiaTheme="minorEastAsia"/>
          <w:color w:val="000000" w:themeColor="text1"/>
        </w:rPr>
        <w:t xml:space="preserve">. Some outcome variables, such as RT, </w:t>
      </w:r>
      <w:r w:rsidR="0075550B">
        <w:rPr>
          <w:rFonts w:eastAsiaTheme="minorEastAsia"/>
          <w:color w:val="000000" w:themeColor="text1"/>
        </w:rPr>
        <w:t>e</w:t>
      </w:r>
      <w:r w:rsidRPr="00366F6F">
        <w:rPr>
          <w:rFonts w:eastAsiaTheme="minorEastAsia"/>
          <w:color w:val="000000" w:themeColor="text1"/>
        </w:rPr>
        <w:t xml:space="preserve">fficiency shown significant </w:t>
      </w:r>
      <w:r w:rsidR="0075550B" w:rsidRPr="00366F6F">
        <w:rPr>
          <w:rFonts w:eastAsiaTheme="minorEastAsia"/>
          <w:color w:val="000000" w:themeColor="text1"/>
        </w:rPr>
        <w:t>correlation</w:t>
      </w:r>
      <w:r w:rsidRPr="00366F6F">
        <w:rPr>
          <w:rFonts w:eastAsiaTheme="minorEastAsia"/>
          <w:color w:val="000000" w:themeColor="text1"/>
        </w:rPr>
        <w:t xml:space="preserve"> between Monte Carlo SHR and </w:t>
      </w:r>
      <w:r w:rsidRPr="00366F6F">
        <w:rPr>
          <w:rFonts w:eastAsiaTheme="minorEastAsia" w:hint="eastAsia"/>
          <w:color w:val="000000" w:themeColor="text1"/>
        </w:rPr>
        <w:t>t</w:t>
      </w:r>
      <w:r w:rsidRPr="00366F6F">
        <w:rPr>
          <w:rFonts w:eastAsiaTheme="minorEastAsia"/>
          <w:color w:val="000000" w:themeColor="text1"/>
        </w:rPr>
        <w:t xml:space="preserve">rial numbers. However, for </w:t>
      </w:r>
      <w:r w:rsidR="0075550B">
        <w:rPr>
          <w:rFonts w:eastAsiaTheme="minorEastAsia"/>
          <w:color w:val="000000" w:themeColor="text1"/>
        </w:rPr>
        <w:t>outcome variables</w:t>
      </w:r>
      <w:r w:rsidRPr="00366F6F">
        <w:rPr>
          <w:rFonts w:eastAsiaTheme="minorEastAsia"/>
          <w:color w:val="000000" w:themeColor="text1"/>
        </w:rPr>
        <w:t xml:space="preserve"> like </w:t>
      </w:r>
      <w:r w:rsidRPr="00366F6F">
        <w:rPr>
          <w:rFonts w:eastAsiaTheme="minorEastAsia"/>
          <w:i/>
          <w:iCs/>
          <w:color w:val="000000" w:themeColor="text1"/>
        </w:rPr>
        <w:t>d’</w:t>
      </w:r>
      <w:r w:rsidRPr="00366F6F">
        <w:rPr>
          <w:rFonts w:eastAsiaTheme="minorEastAsia"/>
          <w:color w:val="000000" w:themeColor="text1"/>
        </w:rPr>
        <w:t xml:space="preserve"> and</w:t>
      </w:r>
      <w:r>
        <w:rPr>
          <w:rFonts w:eastAsiaTheme="minorEastAsia"/>
          <w:color w:val="000000" w:themeColor="text1"/>
        </w:rPr>
        <w:t xml:space="preserve"> </w:t>
      </w:r>
      <w:r w:rsidRPr="00366F6F">
        <w:rPr>
          <w:rFonts w:eastAsiaTheme="minorEastAsia"/>
          <w:i/>
          <w:iCs/>
          <w:color w:val="000000" w:themeColor="text1"/>
        </w:rPr>
        <w:t>v</w:t>
      </w:r>
      <w:r w:rsidRPr="00366F6F">
        <w:rPr>
          <w:rFonts w:eastAsiaTheme="minorEastAsia"/>
          <w:color w:val="000000" w:themeColor="text1"/>
        </w:rPr>
        <w:t xml:space="preserve">, there is minimal correlation between trial numbers and </w:t>
      </w:r>
      <w:r>
        <w:rPr>
          <w:rFonts w:eastAsiaTheme="minorEastAsia"/>
          <w:color w:val="000000" w:themeColor="text1"/>
        </w:rPr>
        <w:t>SHR</w:t>
      </w:r>
      <w:r w:rsidRPr="00366F6F">
        <w:rPr>
          <w:rFonts w:eastAsiaTheme="minorEastAsia"/>
          <w:color w:val="000000" w:themeColor="text1"/>
        </w:rPr>
        <w:t xml:space="preserve">. </w:t>
      </w:r>
      <w:r>
        <w:rPr>
          <w:rFonts w:eastAsiaTheme="minorEastAsia"/>
          <w:color w:val="000000" w:themeColor="text1"/>
        </w:rPr>
        <w:t>It is found that the</w:t>
      </w:r>
      <w:r w:rsidRPr="00366F6F">
        <w:rPr>
          <w:rFonts w:eastAsiaTheme="minorEastAsia"/>
          <w:color w:val="000000" w:themeColor="text1"/>
        </w:rPr>
        <w:t xml:space="preserve"> SPMT paradigm requires approximately 80 trials to achieve a Monte Carlo </w:t>
      </w:r>
      <w:r w:rsidR="0075550B">
        <w:rPr>
          <w:rFonts w:eastAsiaTheme="minorEastAsia"/>
          <w:color w:val="000000" w:themeColor="text1"/>
        </w:rPr>
        <w:t xml:space="preserve">SHR </w:t>
      </w:r>
      <w:r w:rsidR="0075550B" w:rsidRPr="00366F6F">
        <w:rPr>
          <w:rFonts w:eastAsiaTheme="minorEastAsia"/>
          <w:color w:val="000000" w:themeColor="text1"/>
        </w:rPr>
        <w:t>of</w:t>
      </w:r>
      <w:r w:rsidRPr="00366F6F">
        <w:rPr>
          <w:rFonts w:eastAsiaTheme="minorEastAsia"/>
          <w:color w:val="000000" w:themeColor="text1"/>
        </w:rPr>
        <w:t xml:space="preserve"> 0.8 when </w:t>
      </w:r>
      <w:r w:rsidR="0075550B">
        <w:rPr>
          <w:rFonts w:eastAsiaTheme="minorEastAsia"/>
          <w:color w:val="000000" w:themeColor="text1"/>
        </w:rPr>
        <w:t xml:space="preserve">the SPE measure is RT under </w:t>
      </w:r>
      <w:r w:rsidRPr="00366F6F">
        <w:rPr>
          <w:rFonts w:eastAsiaTheme="minorEastAsia"/>
          <w:color w:val="000000" w:themeColor="text1"/>
        </w:rPr>
        <w:t>'Stranger'</w:t>
      </w:r>
      <w:r w:rsidR="0075550B">
        <w:rPr>
          <w:rFonts w:eastAsiaTheme="minorEastAsia"/>
          <w:color w:val="000000" w:themeColor="text1"/>
        </w:rPr>
        <w:t>,</w:t>
      </w:r>
      <w:r w:rsidRPr="00366F6F">
        <w:rPr>
          <w:rFonts w:eastAsiaTheme="minorEastAsia"/>
          <w:color w:val="000000" w:themeColor="text1"/>
        </w:rPr>
        <w:t xml:space="preserve"> and about 120 trials </w:t>
      </w:r>
      <w:r w:rsidR="0075550B">
        <w:rPr>
          <w:rFonts w:eastAsiaTheme="minorEastAsia"/>
          <w:color w:val="000000" w:themeColor="text1"/>
        </w:rPr>
        <w:t>under</w:t>
      </w:r>
      <w:r w:rsidRPr="00366F6F">
        <w:rPr>
          <w:rFonts w:eastAsiaTheme="minorEastAsia"/>
          <w:color w:val="000000" w:themeColor="text1"/>
        </w:rPr>
        <w:t xml:space="preserve"> 'Close.' Additionally, achieving a Monte Carlo split-half reliability of 0.8 for </w:t>
      </w:r>
      <w:r w:rsidRPr="0075550B">
        <w:rPr>
          <w:rFonts w:eastAsiaTheme="minorEastAsia"/>
          <w:i/>
          <w:iCs/>
          <w:color w:val="000000" w:themeColor="text1"/>
        </w:rPr>
        <w:t>v</w:t>
      </w:r>
      <w:r w:rsidRPr="00366F6F">
        <w:rPr>
          <w:rFonts w:eastAsiaTheme="minorEastAsia"/>
          <w:color w:val="000000" w:themeColor="text1"/>
        </w:rPr>
        <w:t xml:space="preserve"> may require more than 130 trials.</w:t>
      </w:r>
      <w:r>
        <w:rPr>
          <w:rFonts w:eastAsiaTheme="minorEastAsia"/>
          <w:color w:val="000000" w:themeColor="text1"/>
        </w:rPr>
        <w:t xml:space="preserve"> </w:t>
      </w:r>
      <w:r w:rsidRPr="00366F6F">
        <w:rPr>
          <w:rFonts w:eastAsia="宋体"/>
          <w:bCs/>
          <w:noProof/>
          <w:lang w:val="en-US" w:eastAsia="zh-TW"/>
        </w:rPr>
        <w:t xml:space="preserve">On the </w:t>
      </w:r>
      <w:r w:rsidRPr="00B54225">
        <w:rPr>
          <w:rFonts w:eastAsiaTheme="minorEastAsia"/>
          <w:color w:val="000000" w:themeColor="text1"/>
        </w:rPr>
        <w:t xml:space="preserve">other hand, high Monte Carlo SHR is challenging to achieve for the remaining three </w:t>
      </w:r>
      <w:r w:rsidR="0075550B">
        <w:rPr>
          <w:rFonts w:eastAsiaTheme="minorEastAsia"/>
          <w:color w:val="000000" w:themeColor="text1"/>
        </w:rPr>
        <w:t>outcome variables</w:t>
      </w:r>
      <w:r w:rsidRPr="00B54225">
        <w:rPr>
          <w:rFonts w:eastAsiaTheme="minorEastAsia"/>
          <w:color w:val="000000" w:themeColor="text1"/>
        </w:rPr>
        <w:t xml:space="preserve">, particularly for the </w:t>
      </w:r>
      <w:r w:rsidRPr="0075550B">
        <w:rPr>
          <w:rFonts w:eastAsiaTheme="minorEastAsia"/>
          <w:i/>
          <w:iCs/>
          <w:color w:val="000000" w:themeColor="text1"/>
        </w:rPr>
        <w:t>z</w:t>
      </w:r>
      <w:r w:rsidRPr="00B54225">
        <w:rPr>
          <w:rFonts w:eastAsiaTheme="minorEastAsia"/>
          <w:color w:val="000000" w:themeColor="text1"/>
        </w:rPr>
        <w:t>, even with 150 or more trials.</w:t>
      </w:r>
    </w:p>
    <w:p w14:paraId="03871368" w14:textId="3639AD88" w:rsidR="0027313F" w:rsidRPr="00B54225" w:rsidRDefault="00366F6F" w:rsidP="00B54225">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120 trials under each experimental condition.</w:t>
      </w:r>
    </w:p>
    <w:p w14:paraId="372443B1" w14:textId="1DA3E2D8"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17BEFBA" w14:textId="77777777" w:rsidR="004E53A7" w:rsidRPr="004E53A7" w:rsidRDefault="000A2C97" w:rsidP="004E53A7">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236678" w:rsidRPr="004E53A7">
        <w:rPr>
          <w:rFonts w:eastAsia="宋体"/>
          <w:b/>
          <w:noProof/>
          <w:lang w:val="en-US" w:eastAsia="zh-TW"/>
        </w:rPr>
        <w:t xml:space="preserve">6 </w:t>
      </w:r>
      <w:r w:rsidR="00366F6F" w:rsidRPr="004E53A7">
        <w:rPr>
          <w:rFonts w:eastAsia="宋体"/>
          <w:b/>
          <w:noProof/>
          <w:lang w:val="en-US" w:eastAsia="zh-TW"/>
        </w:rPr>
        <w:t>R</w:t>
      </w:r>
      <w:r w:rsidRPr="004E53A7">
        <w:rPr>
          <w:rFonts w:eastAsia="宋体"/>
          <w:b/>
          <w:noProof/>
          <w:lang w:val="en-US" w:eastAsia="zh-TW"/>
        </w:rPr>
        <w:t>egression</w:t>
      </w:r>
      <w:r w:rsidR="00366F6F" w:rsidRPr="004E53A7">
        <w:rPr>
          <w:rFonts w:eastAsia="宋体"/>
          <w:b/>
          <w:noProof/>
          <w:lang w:val="en-US" w:eastAsia="zh-TW"/>
        </w:rPr>
        <w:t xml:space="preserve"> analysis</w:t>
      </w:r>
      <w:r w:rsidRPr="004E53A7">
        <w:rPr>
          <w:rFonts w:eastAsia="宋体"/>
          <w:b/>
          <w:noProof/>
          <w:lang w:val="en-US" w:eastAsia="zh-TW"/>
        </w:rPr>
        <w:t xml:space="preserve"> between Monte Carlo </w:t>
      </w:r>
      <w:r w:rsidR="00BA265E" w:rsidRPr="004E53A7">
        <w:rPr>
          <w:rFonts w:eastAsia="宋体" w:hint="eastAsia"/>
          <w:b/>
          <w:noProof/>
          <w:lang w:val="en-US" w:eastAsia="zh-TW"/>
        </w:rPr>
        <w:t>SHR</w:t>
      </w:r>
      <w:r w:rsidR="00BA265E" w:rsidRPr="004E53A7">
        <w:rPr>
          <w:rFonts w:eastAsia="宋体"/>
          <w:b/>
          <w:noProof/>
          <w:lang w:val="en-US" w:eastAsia="zh-TW"/>
        </w:rPr>
        <w:t xml:space="preserve"> </w:t>
      </w:r>
      <w:r w:rsidRPr="004E53A7">
        <w:rPr>
          <w:rFonts w:eastAsia="宋体"/>
          <w:b/>
          <w:noProof/>
          <w:lang w:val="en-US" w:eastAsia="zh-TW"/>
        </w:rPr>
        <w:t>and trial numbers</w:t>
      </w:r>
      <w:r w:rsidR="004E53A7">
        <w:rPr>
          <w:rFonts w:eastAsia="宋体"/>
          <w:b/>
          <w:noProof/>
          <w:lang w:val="en-US" w:eastAsia="zh-TW"/>
        </w:rPr>
        <w:t xml:space="preserve"> </w:t>
      </w:r>
      <w:r w:rsidR="00366F6F" w:rsidRPr="004E53A7">
        <w:rPr>
          <w:rFonts w:eastAsia="宋体"/>
          <w:b/>
          <w:noProof/>
          <w:lang w:val="en-US" w:eastAsia="zh-TW"/>
        </w:rPr>
        <w:t xml:space="preserve">using </w:t>
      </w:r>
      <w:r w:rsidRPr="004E53A7">
        <w:rPr>
          <w:rFonts w:eastAsia="宋体"/>
          <w:b/>
          <w:noProof/>
          <w:lang w:val="en-US" w:eastAsia="zh-TW"/>
        </w:rPr>
        <w:t xml:space="preserve">different SPE </w:t>
      </w:r>
      <w:r w:rsidR="00BA265E" w:rsidRPr="004E53A7">
        <w:rPr>
          <w:rFonts w:eastAsia="宋体" w:hint="eastAsia"/>
          <w:b/>
          <w:noProof/>
          <w:lang w:val="en-US" w:eastAsia="zh-TW"/>
        </w:rPr>
        <w:t>measure</w:t>
      </w:r>
      <w:r w:rsidR="0075550B" w:rsidRPr="004E53A7">
        <w:rPr>
          <w:rFonts w:eastAsia="宋体"/>
          <w:b/>
          <w:noProof/>
          <w:lang w:val="en-US" w:eastAsia="zh-TW"/>
        </w:rPr>
        <w:t xml:space="preserve">s. </w:t>
      </w:r>
    </w:p>
    <w:p w14:paraId="216D894B" w14:textId="51D2DD2D" w:rsidR="000A2C97" w:rsidRPr="0075550B" w:rsidRDefault="0075550B" w:rsidP="0075550B">
      <w:pPr>
        <w:spacing w:beforeLines="100" w:before="240" w:afterLines="100" w:after="240"/>
        <w:ind w:firstLineChars="100" w:firstLine="220"/>
        <w:jc w:val="center"/>
        <w:rPr>
          <w:rFonts w:eastAsiaTheme="minorEastAsia"/>
          <w:b/>
          <w:bCs/>
          <w:sz w:val="22"/>
          <w:szCs w:val="22"/>
          <w:lang w:val="en-US"/>
        </w:rPr>
      </w:pPr>
      <w:r w:rsidRPr="0075550B">
        <w:rPr>
          <w:rFonts w:eastAsia="宋体"/>
          <w:bCs/>
          <w:i/>
          <w:iCs/>
          <w:noProof/>
          <w:sz w:val="22"/>
          <w:szCs w:val="22"/>
          <w:lang w:val="en-US"/>
        </w:rPr>
        <w:t>Note:</w:t>
      </w:r>
      <w:r w:rsidRPr="0075550B">
        <w:rPr>
          <w:rFonts w:eastAsia="宋体"/>
          <w:bCs/>
          <w:noProof/>
          <w:sz w:val="22"/>
          <w:szCs w:val="22"/>
          <w:lang w:val="en-US"/>
        </w:rPr>
        <w:t xml:space="preserve"> </w:t>
      </w:r>
      <w:r w:rsidR="000A2C97" w:rsidRPr="0075550B">
        <w:rPr>
          <w:sz w:val="22"/>
          <w:szCs w:val="22"/>
          <w:lang w:val="en-US"/>
        </w:rPr>
        <w:t xml:space="preserve">The vertical axis represents Monte-Carlo split-half reliability, and the </w:t>
      </w:r>
      <w:r w:rsidR="003F50DB" w:rsidRPr="0075550B">
        <w:rPr>
          <w:sz w:val="22"/>
          <w:szCs w:val="22"/>
          <w:lang w:val="en-US"/>
        </w:rPr>
        <w:t>horizontal axis</w:t>
      </w:r>
      <w:r w:rsidR="000A2C97" w:rsidRPr="0075550B">
        <w:rPr>
          <w:sz w:val="22"/>
          <w:szCs w:val="22"/>
          <w:lang w:val="en-US"/>
        </w:rPr>
        <w:t xml:space="preserve"> represents the </w:t>
      </w:r>
      <w:r w:rsidR="000B7C95" w:rsidRPr="0075550B">
        <w:rPr>
          <w:sz w:val="22"/>
          <w:szCs w:val="22"/>
          <w:lang w:val="en-US"/>
        </w:rPr>
        <w:t>number of trials</w:t>
      </w:r>
      <w:r w:rsidR="003F50DB" w:rsidRPr="0075550B">
        <w:rPr>
          <w:sz w:val="22"/>
          <w:szCs w:val="22"/>
          <w:lang w:val="en-US"/>
        </w:rPr>
        <w:t xml:space="preserve">. Each facet represents one SPE </w:t>
      </w:r>
      <w:r w:rsidRPr="0075550B">
        <w:rPr>
          <w:sz w:val="22"/>
          <w:szCs w:val="22"/>
          <w:lang w:val="en-US"/>
        </w:rPr>
        <w:t>measures</w:t>
      </w:r>
      <w:r w:rsidR="003F50DB" w:rsidRPr="0075550B">
        <w:rPr>
          <w:sz w:val="22"/>
          <w:szCs w:val="22"/>
          <w:lang w:val="en-US"/>
        </w:rPr>
        <w:t>.</w:t>
      </w:r>
    </w:p>
    <w:p w14:paraId="7C208255" w14:textId="0634EED8" w:rsidR="003F50DB" w:rsidRDefault="003F50DB" w:rsidP="000A2C97">
      <w:pPr>
        <w:rPr>
          <w:rFonts w:eastAsiaTheme="minorEastAsia"/>
          <w:lang w:val="en-US"/>
        </w:rPr>
      </w:pPr>
    </w:p>
    <w:p w14:paraId="5CB8C117" w14:textId="36D485E5" w:rsidR="00044360" w:rsidRDefault="00044360" w:rsidP="0027313F"/>
    <w:p w14:paraId="3923219A" w14:textId="4FDC5F1D" w:rsidR="002F4F19" w:rsidRPr="006A5A80" w:rsidRDefault="00BA6702" w:rsidP="0027313F">
      <w:pPr>
        <w:spacing w:line="276" w:lineRule="auto"/>
        <w:rPr>
          <w:rFonts w:eastAsia="Calibri"/>
          <w:b/>
          <w:sz w:val="42"/>
          <w:szCs w:val="42"/>
        </w:rPr>
      </w:pPr>
      <w:bookmarkStart w:id="96" w:name="_Toc129530178"/>
      <w:bookmarkStart w:id="97" w:name="_Toc129530208"/>
      <w:bookmarkStart w:id="98" w:name="_Toc139718171"/>
      <w:r w:rsidRPr="006A5A80">
        <w:rPr>
          <w:rFonts w:eastAsia="Calibri"/>
          <w:b/>
          <w:sz w:val="42"/>
          <w:szCs w:val="42"/>
        </w:rPr>
        <w:t>References</w:t>
      </w:r>
      <w:bookmarkEnd w:id="96"/>
      <w:bookmarkEnd w:id="97"/>
      <w:bookmarkEnd w:id="98"/>
      <w:r w:rsidRPr="006A5A80">
        <w:rPr>
          <w:rFonts w:eastAsia="Calibri"/>
          <w:b/>
          <w:sz w:val="42"/>
          <w:szCs w:val="42"/>
        </w:rPr>
        <w:t xml:space="preserve"> </w:t>
      </w:r>
    </w:p>
    <w:p w14:paraId="59DD3D1A" w14:textId="77777777" w:rsidR="00B03D7E" w:rsidRPr="006A5A80" w:rsidRDefault="00B03D7E">
      <w:pPr>
        <w:rPr>
          <w:rFonts w:eastAsiaTheme="minorEastAsia"/>
        </w:rPr>
      </w:pPr>
    </w:p>
    <w:p w14:paraId="0EA6C12D" w14:textId="77777777" w:rsidR="00F350B2" w:rsidRPr="00F350B2" w:rsidRDefault="00B03D7E" w:rsidP="00F350B2">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350B2" w:rsidRPr="00F350B2">
        <w:rPr>
          <w:noProof/>
        </w:rPr>
        <w:t xml:space="preserve">Braun, A., Urai, A. E., &amp; Donner, T. H. (2018). Adaptive history biases result from confidence-weighted accumulation of past choices. </w:t>
      </w:r>
      <w:r w:rsidR="00F350B2" w:rsidRPr="00F350B2">
        <w:rPr>
          <w:i/>
          <w:noProof/>
        </w:rPr>
        <w:t>Journal of Neuroscience, 38</w:t>
      </w:r>
      <w:r w:rsidR="00F350B2" w:rsidRPr="00F350B2">
        <w:rPr>
          <w:noProof/>
        </w:rPr>
        <w:t xml:space="preserve">(10), 2418-2429. </w:t>
      </w:r>
    </w:p>
    <w:p w14:paraId="70982462" w14:textId="77777777" w:rsidR="00F350B2" w:rsidRPr="00F350B2" w:rsidRDefault="00F350B2" w:rsidP="00F350B2">
      <w:pPr>
        <w:pStyle w:val="EndNoteBibliography"/>
        <w:rPr>
          <w:noProof/>
        </w:rPr>
      </w:pPr>
    </w:p>
    <w:p w14:paraId="11696C7F" w14:textId="6E828FC7" w:rsidR="00F350B2" w:rsidRPr="00F350B2" w:rsidRDefault="00F350B2" w:rsidP="00F350B2">
      <w:pPr>
        <w:pStyle w:val="EndNoteBibliography"/>
        <w:ind w:left="720" w:hanging="720"/>
        <w:rPr>
          <w:noProof/>
        </w:rPr>
      </w:pPr>
      <w:r w:rsidRPr="00F350B2">
        <w:rPr>
          <w:noProof/>
        </w:rPr>
        <w:t xml:space="preserve">Bukowski, H., Todorova, B., Boch, M., Silani, G., &amp; Lamm, C. (2021). Socio-cognitive training impacts emotional and perceptual self-salience but not self-other distinction. </w:t>
      </w:r>
      <w:r w:rsidRPr="00F350B2">
        <w:rPr>
          <w:i/>
          <w:noProof/>
        </w:rPr>
        <w:t>Acta psychologica, 216</w:t>
      </w:r>
      <w:r w:rsidRPr="00F350B2">
        <w:rPr>
          <w:noProof/>
        </w:rPr>
        <w:t xml:space="preserve">, 103297. </w:t>
      </w:r>
      <w:hyperlink r:id="rId33" w:history="1">
        <w:r w:rsidRPr="00F350B2">
          <w:rPr>
            <w:rStyle w:val="ac"/>
            <w:noProof/>
          </w:rPr>
          <w:t>https://doi.org/10.1016/j.actpsy.2021.103297</w:t>
        </w:r>
      </w:hyperlink>
      <w:r w:rsidRPr="00F350B2">
        <w:rPr>
          <w:noProof/>
        </w:rPr>
        <w:t xml:space="preserve"> </w:t>
      </w:r>
    </w:p>
    <w:p w14:paraId="4347AD2B" w14:textId="77777777" w:rsidR="00F350B2" w:rsidRPr="00F350B2" w:rsidRDefault="00F350B2" w:rsidP="00F350B2">
      <w:pPr>
        <w:pStyle w:val="EndNoteBibliography"/>
        <w:rPr>
          <w:noProof/>
        </w:rPr>
      </w:pPr>
    </w:p>
    <w:p w14:paraId="2CFC54D6" w14:textId="6EDAA6F7" w:rsidR="00F350B2" w:rsidRPr="00F350B2" w:rsidRDefault="00F350B2" w:rsidP="00F350B2">
      <w:pPr>
        <w:pStyle w:val="EndNoteBibliography"/>
        <w:ind w:left="720" w:hanging="720"/>
        <w:rPr>
          <w:noProof/>
        </w:rPr>
      </w:pPr>
      <w:r w:rsidRPr="00F350B2">
        <w:rPr>
          <w:noProof/>
        </w:rPr>
        <w:t xml:space="preserve">Cheng, M., &amp; Tseng, C.-h. (2019). Saliency at first sight: instant identity referential advantage toward a newly met partner. </w:t>
      </w:r>
      <w:r w:rsidRPr="00F350B2">
        <w:rPr>
          <w:i/>
          <w:noProof/>
        </w:rPr>
        <w:t>Cognitive Research: Principles and Implications, 4</w:t>
      </w:r>
      <w:r w:rsidRPr="00F350B2">
        <w:rPr>
          <w:noProof/>
        </w:rPr>
        <w:t xml:space="preserve">(1), 1-18. </w:t>
      </w:r>
      <w:hyperlink r:id="rId34" w:history="1">
        <w:r w:rsidRPr="00F350B2">
          <w:rPr>
            <w:rStyle w:val="ac"/>
            <w:noProof/>
          </w:rPr>
          <w:t>https://doi.org/10.1186/s41235-019-0186-z</w:t>
        </w:r>
      </w:hyperlink>
      <w:r w:rsidRPr="00F350B2">
        <w:rPr>
          <w:noProof/>
        </w:rPr>
        <w:t xml:space="preserve"> </w:t>
      </w:r>
    </w:p>
    <w:p w14:paraId="6B0E749A" w14:textId="77777777" w:rsidR="00F350B2" w:rsidRPr="00F350B2" w:rsidRDefault="00F350B2" w:rsidP="00F350B2">
      <w:pPr>
        <w:pStyle w:val="EndNoteBibliography"/>
        <w:rPr>
          <w:noProof/>
        </w:rPr>
      </w:pPr>
    </w:p>
    <w:p w14:paraId="122439C1" w14:textId="29A34E86" w:rsidR="00F350B2" w:rsidRPr="00F350B2" w:rsidRDefault="00F350B2" w:rsidP="00F350B2">
      <w:pPr>
        <w:pStyle w:val="EndNoteBibliography"/>
        <w:ind w:left="720" w:hanging="720"/>
        <w:rPr>
          <w:noProof/>
        </w:rPr>
      </w:pPr>
      <w:r w:rsidRPr="00F350B2">
        <w:rPr>
          <w:noProof/>
        </w:rPr>
        <w:t xml:space="preserve">Cherry, E. C. (1953). Some experiments on the recognition of speech, with one and with two ears. </w:t>
      </w:r>
      <w:r w:rsidRPr="00F350B2">
        <w:rPr>
          <w:i/>
          <w:noProof/>
        </w:rPr>
        <w:t>The Journal of the acoustical society of America, 25</w:t>
      </w:r>
      <w:r w:rsidRPr="00F350B2">
        <w:rPr>
          <w:noProof/>
        </w:rPr>
        <w:t xml:space="preserve">(5), 975-979. </w:t>
      </w:r>
      <w:hyperlink r:id="rId35" w:history="1">
        <w:r w:rsidRPr="00F350B2">
          <w:rPr>
            <w:rStyle w:val="ac"/>
            <w:noProof/>
          </w:rPr>
          <w:t>https://doi.org/10.1121/1.1907229</w:t>
        </w:r>
      </w:hyperlink>
      <w:r w:rsidRPr="00F350B2">
        <w:rPr>
          <w:noProof/>
        </w:rPr>
        <w:t xml:space="preserve"> </w:t>
      </w:r>
    </w:p>
    <w:p w14:paraId="29D23CFF" w14:textId="77777777" w:rsidR="00F350B2" w:rsidRPr="00F350B2" w:rsidRDefault="00F350B2" w:rsidP="00F350B2">
      <w:pPr>
        <w:pStyle w:val="EndNoteBibliography"/>
        <w:rPr>
          <w:noProof/>
        </w:rPr>
      </w:pPr>
    </w:p>
    <w:p w14:paraId="4AE00E87" w14:textId="456E2B09" w:rsidR="00F350B2" w:rsidRPr="00F350B2" w:rsidRDefault="00F350B2" w:rsidP="00F350B2">
      <w:pPr>
        <w:pStyle w:val="EndNoteBibliography"/>
        <w:ind w:left="720" w:hanging="720"/>
        <w:rPr>
          <w:noProof/>
        </w:rPr>
      </w:pPr>
      <w:r w:rsidRPr="00F350B2">
        <w:rPr>
          <w:noProof/>
        </w:rPr>
        <w:t xml:space="preserve">Cicchetti, D. V., &amp; Sparrow, S. A. (1981). Developing criteria for establishing interrater reliability of specific items: applications to assessment of adaptive behavior. </w:t>
      </w:r>
      <w:r w:rsidRPr="00F350B2">
        <w:rPr>
          <w:i/>
          <w:noProof/>
        </w:rPr>
        <w:t>Am J Ment Defic, 86</w:t>
      </w:r>
      <w:r w:rsidRPr="00F350B2">
        <w:rPr>
          <w:noProof/>
        </w:rPr>
        <w:t xml:space="preserve">(2), 127-137. </w:t>
      </w:r>
      <w:hyperlink r:id="rId36" w:history="1">
        <w:r w:rsidRPr="00F350B2">
          <w:rPr>
            <w:rStyle w:val="ac"/>
            <w:noProof/>
          </w:rPr>
          <w:t>https://psycnet.apa.org/record/1982-00095-001</w:t>
        </w:r>
      </w:hyperlink>
      <w:r w:rsidRPr="00F350B2">
        <w:rPr>
          <w:noProof/>
        </w:rPr>
        <w:t xml:space="preserve"> </w:t>
      </w:r>
    </w:p>
    <w:p w14:paraId="043B3F7C" w14:textId="77777777" w:rsidR="00F350B2" w:rsidRPr="00F350B2" w:rsidRDefault="00F350B2" w:rsidP="00F350B2">
      <w:pPr>
        <w:pStyle w:val="EndNoteBibliography"/>
        <w:rPr>
          <w:noProof/>
        </w:rPr>
      </w:pPr>
    </w:p>
    <w:p w14:paraId="7419123D" w14:textId="77777777" w:rsidR="00F350B2" w:rsidRPr="00F350B2" w:rsidRDefault="00F350B2" w:rsidP="00F350B2">
      <w:pPr>
        <w:pStyle w:val="EndNoteBibliography"/>
        <w:ind w:left="720" w:hanging="720"/>
        <w:rPr>
          <w:noProof/>
        </w:rPr>
      </w:pPr>
      <w:r w:rsidRPr="00F350B2">
        <w:rPr>
          <w:noProof/>
        </w:rPr>
        <w:t xml:space="preserve">Clark, K., Birch-Hurst, K., Pennington, C. R., Petrie, A. C., Lee, J. T., &amp; Hedge, C. (2022). Test-retest reliability for common tasks in vision science. </w:t>
      </w:r>
      <w:r w:rsidRPr="00F350B2">
        <w:rPr>
          <w:i/>
          <w:noProof/>
        </w:rPr>
        <w:t>Journal of Vision, 22</w:t>
      </w:r>
      <w:r w:rsidRPr="00F350B2">
        <w:rPr>
          <w:noProof/>
        </w:rPr>
        <w:t xml:space="preserve">(8), 18-18. </w:t>
      </w:r>
    </w:p>
    <w:p w14:paraId="53181BE0" w14:textId="77777777" w:rsidR="00F350B2" w:rsidRPr="00F350B2" w:rsidRDefault="00F350B2" w:rsidP="00F350B2">
      <w:pPr>
        <w:pStyle w:val="EndNoteBibliography"/>
        <w:rPr>
          <w:noProof/>
        </w:rPr>
      </w:pPr>
    </w:p>
    <w:p w14:paraId="662BBD10" w14:textId="0445062E" w:rsidR="00F350B2" w:rsidRPr="00F350B2" w:rsidRDefault="00F350B2" w:rsidP="00F350B2">
      <w:pPr>
        <w:pStyle w:val="EndNoteBibliography"/>
        <w:ind w:left="720" w:hanging="720"/>
        <w:rPr>
          <w:noProof/>
        </w:rPr>
      </w:pPr>
      <w:r w:rsidRPr="00F350B2">
        <w:rPr>
          <w:noProof/>
        </w:rPr>
        <w:t xml:space="preserve">Constable, M. D., Becker, M. L., Oh, Y.-I., &amp; Knoblich, G. (2021). Affective compatibility with the self modulates the self-prioritisation effect. </w:t>
      </w:r>
      <w:r w:rsidRPr="00F350B2">
        <w:rPr>
          <w:i/>
          <w:noProof/>
        </w:rPr>
        <w:t>Cognition and Emotion, 35</w:t>
      </w:r>
      <w:r w:rsidRPr="00F350B2">
        <w:rPr>
          <w:noProof/>
        </w:rPr>
        <w:t xml:space="preserve">(2), 291-304. </w:t>
      </w:r>
      <w:hyperlink r:id="rId37" w:history="1">
        <w:r w:rsidRPr="00F350B2">
          <w:rPr>
            <w:rStyle w:val="ac"/>
            <w:noProof/>
          </w:rPr>
          <w:t>https://doi.org/10.1080/02699931.2020.1839383</w:t>
        </w:r>
      </w:hyperlink>
      <w:r w:rsidRPr="00F350B2">
        <w:rPr>
          <w:noProof/>
        </w:rPr>
        <w:t xml:space="preserve"> </w:t>
      </w:r>
    </w:p>
    <w:p w14:paraId="3D314F11" w14:textId="77777777" w:rsidR="00F350B2" w:rsidRPr="00F350B2" w:rsidRDefault="00F350B2" w:rsidP="00F350B2">
      <w:pPr>
        <w:pStyle w:val="EndNoteBibliography"/>
        <w:rPr>
          <w:noProof/>
        </w:rPr>
      </w:pPr>
    </w:p>
    <w:p w14:paraId="1D2C9C1E" w14:textId="6D796E76" w:rsidR="00F350B2" w:rsidRPr="00F350B2" w:rsidRDefault="00F350B2" w:rsidP="00F350B2">
      <w:pPr>
        <w:pStyle w:val="EndNoteBibliography"/>
        <w:ind w:left="720" w:hanging="720"/>
        <w:rPr>
          <w:noProof/>
        </w:rPr>
      </w:pPr>
      <w:r w:rsidRPr="00F350B2">
        <w:rPr>
          <w:noProof/>
        </w:rPr>
        <w:t xml:space="preserve">Constable, M. D., Elekes, F., Sebanz, N., &amp; Knoblich, G. (2019). Relevant for us? We-prioritization in cognitive processing. </w:t>
      </w:r>
      <w:r w:rsidRPr="00F350B2">
        <w:rPr>
          <w:i/>
          <w:noProof/>
        </w:rPr>
        <w:t>Journal of Experimental Psychology: Human Perception and Performance, 45</w:t>
      </w:r>
      <w:r w:rsidRPr="00F350B2">
        <w:rPr>
          <w:noProof/>
        </w:rPr>
        <w:t xml:space="preserve">(12). </w:t>
      </w:r>
      <w:hyperlink r:id="rId38" w:history="1">
        <w:r w:rsidRPr="00F350B2">
          <w:rPr>
            <w:rStyle w:val="ac"/>
            <w:noProof/>
          </w:rPr>
          <w:t>https://doi.org/10.1037/xhp0000691</w:t>
        </w:r>
      </w:hyperlink>
      <w:r w:rsidRPr="00F350B2">
        <w:rPr>
          <w:noProof/>
        </w:rPr>
        <w:t xml:space="preserve"> </w:t>
      </w:r>
    </w:p>
    <w:p w14:paraId="3CC18EF7" w14:textId="77777777" w:rsidR="00F350B2" w:rsidRPr="00F350B2" w:rsidRDefault="00F350B2" w:rsidP="00F350B2">
      <w:pPr>
        <w:pStyle w:val="EndNoteBibliography"/>
        <w:rPr>
          <w:noProof/>
        </w:rPr>
      </w:pPr>
    </w:p>
    <w:p w14:paraId="273AFE6D" w14:textId="59EAF443" w:rsidR="00F350B2" w:rsidRPr="00F350B2" w:rsidRDefault="00F350B2" w:rsidP="00F350B2">
      <w:pPr>
        <w:pStyle w:val="EndNoteBibliography"/>
        <w:ind w:left="720" w:hanging="720"/>
        <w:rPr>
          <w:noProof/>
        </w:rPr>
      </w:pPr>
      <w:r w:rsidRPr="00F350B2">
        <w:rPr>
          <w:noProof/>
        </w:rPr>
        <w:t xml:space="preserve">Constable, M. D., &amp; Knoblich, G. (2020). Sticking together? Re-binding previous other-associated stimuli interferes with self-verification but not partner-verification. </w:t>
      </w:r>
      <w:r w:rsidRPr="00F350B2">
        <w:rPr>
          <w:i/>
          <w:noProof/>
        </w:rPr>
        <w:t>Acta psychologica, 210</w:t>
      </w:r>
      <w:r w:rsidRPr="00F350B2">
        <w:rPr>
          <w:noProof/>
        </w:rPr>
        <w:t xml:space="preserve">, 103167. </w:t>
      </w:r>
      <w:hyperlink r:id="rId39" w:history="1">
        <w:r w:rsidRPr="00F350B2">
          <w:rPr>
            <w:rStyle w:val="ac"/>
            <w:noProof/>
          </w:rPr>
          <w:t>https://doi.org/10.1016/j.actpsy.2020.103167</w:t>
        </w:r>
      </w:hyperlink>
      <w:r w:rsidRPr="00F350B2">
        <w:rPr>
          <w:noProof/>
        </w:rPr>
        <w:t xml:space="preserve"> </w:t>
      </w:r>
    </w:p>
    <w:p w14:paraId="246CB3AD" w14:textId="77777777" w:rsidR="00F350B2" w:rsidRPr="00F350B2" w:rsidRDefault="00F350B2" w:rsidP="00F350B2">
      <w:pPr>
        <w:pStyle w:val="EndNoteBibliography"/>
        <w:rPr>
          <w:noProof/>
        </w:rPr>
      </w:pPr>
    </w:p>
    <w:p w14:paraId="114515C4" w14:textId="09C452B7" w:rsidR="00F350B2" w:rsidRPr="00F350B2" w:rsidRDefault="00F350B2" w:rsidP="00F350B2">
      <w:pPr>
        <w:pStyle w:val="EndNoteBibliography"/>
        <w:ind w:left="720" w:hanging="720"/>
        <w:rPr>
          <w:noProof/>
        </w:rPr>
      </w:pPr>
      <w:r w:rsidRPr="00F350B2">
        <w:rPr>
          <w:noProof/>
        </w:rPr>
        <w:lastRenderedPageBreak/>
        <w:t xml:space="preserve">Constable, M. D., Rajsic, J., Welsh, T. N., &amp; Pratt, J. (2019). It is not in the details: Self-related shapes are rapidly classified but their features are not better remembered. </w:t>
      </w:r>
      <w:r w:rsidRPr="00F350B2">
        <w:rPr>
          <w:i/>
          <w:noProof/>
        </w:rPr>
        <w:t>Memory &amp; Cognition, 47</w:t>
      </w:r>
      <w:r w:rsidRPr="00F350B2">
        <w:rPr>
          <w:noProof/>
        </w:rPr>
        <w:t xml:space="preserve">, 1145-1157. </w:t>
      </w:r>
      <w:hyperlink r:id="rId40" w:history="1">
        <w:r w:rsidRPr="00F350B2">
          <w:rPr>
            <w:rStyle w:val="ac"/>
            <w:noProof/>
          </w:rPr>
          <w:t>https://doi.org/10.3758/s13421-019-00924-6</w:t>
        </w:r>
      </w:hyperlink>
      <w:r w:rsidRPr="00F350B2">
        <w:rPr>
          <w:noProof/>
        </w:rPr>
        <w:t xml:space="preserve"> </w:t>
      </w:r>
    </w:p>
    <w:p w14:paraId="76636324" w14:textId="77777777" w:rsidR="00F350B2" w:rsidRPr="00F350B2" w:rsidRDefault="00F350B2" w:rsidP="00F350B2">
      <w:pPr>
        <w:pStyle w:val="EndNoteBibliography"/>
        <w:rPr>
          <w:noProof/>
        </w:rPr>
      </w:pPr>
    </w:p>
    <w:p w14:paraId="5E3B02FC" w14:textId="5F6C8C7B" w:rsidR="00F350B2" w:rsidRPr="00F350B2" w:rsidRDefault="00F350B2" w:rsidP="00F350B2">
      <w:pPr>
        <w:pStyle w:val="EndNoteBibliography"/>
        <w:ind w:left="720" w:hanging="720"/>
        <w:rPr>
          <w:noProof/>
        </w:rPr>
      </w:pPr>
      <w:r w:rsidRPr="00F350B2">
        <w:rPr>
          <w:noProof/>
        </w:rPr>
        <w:t xml:space="preserve">Conway, M. A., &amp; Dewhurst, S. A. (1995). The self and recollective experience. </w:t>
      </w:r>
      <w:r w:rsidRPr="00F350B2">
        <w:rPr>
          <w:i/>
          <w:noProof/>
        </w:rPr>
        <w:t>Applied Cognitive Psychology, 9</w:t>
      </w:r>
      <w:r w:rsidRPr="00F350B2">
        <w:rPr>
          <w:noProof/>
        </w:rPr>
        <w:t xml:space="preserve">(1), 1-19. </w:t>
      </w:r>
      <w:hyperlink r:id="rId41" w:history="1">
        <w:r w:rsidRPr="00F350B2">
          <w:rPr>
            <w:rStyle w:val="ac"/>
            <w:noProof/>
          </w:rPr>
          <w:t>https://doi.org/10.1002/acp.2350090102</w:t>
        </w:r>
      </w:hyperlink>
      <w:r w:rsidRPr="00F350B2">
        <w:rPr>
          <w:noProof/>
        </w:rPr>
        <w:t xml:space="preserve"> </w:t>
      </w:r>
    </w:p>
    <w:p w14:paraId="0D3064E5" w14:textId="77777777" w:rsidR="00F350B2" w:rsidRPr="00F350B2" w:rsidRDefault="00F350B2" w:rsidP="00F350B2">
      <w:pPr>
        <w:pStyle w:val="EndNoteBibliography"/>
        <w:rPr>
          <w:noProof/>
        </w:rPr>
      </w:pPr>
    </w:p>
    <w:p w14:paraId="3A73FA64" w14:textId="7214F002" w:rsidR="00F350B2" w:rsidRPr="00F350B2" w:rsidRDefault="00F350B2" w:rsidP="00F350B2">
      <w:pPr>
        <w:pStyle w:val="EndNoteBibliography"/>
        <w:ind w:left="720" w:hanging="720"/>
        <w:rPr>
          <w:noProof/>
        </w:rPr>
      </w:pPr>
      <w:r w:rsidRPr="00F350B2">
        <w:rPr>
          <w:noProof/>
        </w:rPr>
        <w:t xml:space="preserve">Craik, F. I. M., &amp; Tulving, E. (1975). Depth of processing and the retention of words in episodic memory. </w:t>
      </w:r>
      <w:r w:rsidRPr="00F350B2">
        <w:rPr>
          <w:i/>
          <w:noProof/>
        </w:rPr>
        <w:t>Journal of Experimental Psychology: General, 104</w:t>
      </w:r>
      <w:r w:rsidRPr="00F350B2">
        <w:rPr>
          <w:noProof/>
        </w:rPr>
        <w:t xml:space="preserve">(3), 268-294. </w:t>
      </w:r>
      <w:hyperlink r:id="rId42" w:history="1">
        <w:r w:rsidRPr="00F350B2">
          <w:rPr>
            <w:rStyle w:val="ac"/>
            <w:noProof/>
          </w:rPr>
          <w:t>https://doi.org/10.1037/0096-3445.104.3.268</w:t>
        </w:r>
      </w:hyperlink>
      <w:r w:rsidRPr="00F350B2">
        <w:rPr>
          <w:noProof/>
        </w:rPr>
        <w:t xml:space="preserve"> </w:t>
      </w:r>
    </w:p>
    <w:p w14:paraId="212DA471" w14:textId="77777777" w:rsidR="00F350B2" w:rsidRPr="00F350B2" w:rsidRDefault="00F350B2" w:rsidP="00F350B2">
      <w:pPr>
        <w:pStyle w:val="EndNoteBibliography"/>
        <w:rPr>
          <w:noProof/>
        </w:rPr>
      </w:pPr>
    </w:p>
    <w:p w14:paraId="6C5C7D6F" w14:textId="309DA13E" w:rsidR="00F350B2" w:rsidRPr="00F350B2" w:rsidRDefault="00F350B2" w:rsidP="00F350B2">
      <w:pPr>
        <w:pStyle w:val="EndNoteBibliography"/>
        <w:ind w:left="720" w:hanging="720"/>
        <w:rPr>
          <w:noProof/>
        </w:rPr>
      </w:pPr>
      <w:r w:rsidRPr="00F350B2">
        <w:rPr>
          <w:noProof/>
        </w:rPr>
        <w:t xml:space="preserve">Cunningham, S. J., &amp; Turk, D. J. (2017, Jun). Editorial: A review of self-processing biases in cognition. </w:t>
      </w:r>
      <w:r w:rsidRPr="00F350B2">
        <w:rPr>
          <w:i/>
          <w:noProof/>
        </w:rPr>
        <w:t>Quarterly journal of experimental psychology, 70</w:t>
      </w:r>
      <w:r w:rsidRPr="00F350B2">
        <w:rPr>
          <w:noProof/>
        </w:rPr>
        <w:t xml:space="preserve">(6), 987-995. </w:t>
      </w:r>
      <w:hyperlink r:id="rId43" w:history="1">
        <w:r w:rsidRPr="00F350B2">
          <w:rPr>
            <w:rStyle w:val="ac"/>
            <w:noProof/>
          </w:rPr>
          <w:t>https://doi.org/10.1080/17470218.2016.1276609</w:t>
        </w:r>
      </w:hyperlink>
      <w:r w:rsidRPr="00F350B2">
        <w:rPr>
          <w:noProof/>
        </w:rPr>
        <w:t xml:space="preserve"> </w:t>
      </w:r>
    </w:p>
    <w:p w14:paraId="77237677" w14:textId="77777777" w:rsidR="00F350B2" w:rsidRPr="00F350B2" w:rsidRDefault="00F350B2" w:rsidP="00F350B2">
      <w:pPr>
        <w:pStyle w:val="EndNoteBibliography"/>
        <w:rPr>
          <w:noProof/>
        </w:rPr>
      </w:pPr>
    </w:p>
    <w:p w14:paraId="17ACB95A" w14:textId="6D6FF6E7" w:rsidR="00F350B2" w:rsidRPr="00F350B2" w:rsidRDefault="00F350B2" w:rsidP="00F350B2">
      <w:pPr>
        <w:pStyle w:val="EndNoteBibliography"/>
        <w:ind w:left="720" w:hanging="720"/>
        <w:rPr>
          <w:noProof/>
        </w:rPr>
      </w:pPr>
      <w:r w:rsidRPr="00F350B2">
        <w:rPr>
          <w:noProof/>
        </w:rPr>
        <w:t xml:space="preserve">Cunningham, S. J., Turk, D. J., Macdonald, L. M., &amp; Macrae, C. N. (2008). Yours or mine? Ownership and memory. </w:t>
      </w:r>
      <w:r w:rsidRPr="00F350B2">
        <w:rPr>
          <w:i/>
          <w:noProof/>
        </w:rPr>
        <w:t>Consciousness and cognition, 17</w:t>
      </w:r>
      <w:r w:rsidRPr="00F350B2">
        <w:rPr>
          <w:noProof/>
        </w:rPr>
        <w:t xml:space="preserve">(1), 312-318. </w:t>
      </w:r>
      <w:hyperlink r:id="rId44" w:history="1">
        <w:r w:rsidRPr="00F350B2">
          <w:rPr>
            <w:rStyle w:val="ac"/>
            <w:noProof/>
          </w:rPr>
          <w:t>https://doi.org/10.1016/j.concog.2007.04.003</w:t>
        </w:r>
      </w:hyperlink>
      <w:r w:rsidRPr="00F350B2">
        <w:rPr>
          <w:noProof/>
        </w:rPr>
        <w:t xml:space="preserve"> </w:t>
      </w:r>
    </w:p>
    <w:p w14:paraId="77B8685D" w14:textId="77777777" w:rsidR="00F350B2" w:rsidRPr="00F350B2" w:rsidRDefault="00F350B2" w:rsidP="00F350B2">
      <w:pPr>
        <w:pStyle w:val="EndNoteBibliography"/>
        <w:rPr>
          <w:noProof/>
        </w:rPr>
      </w:pPr>
    </w:p>
    <w:p w14:paraId="2C6F600B" w14:textId="377BBCA1" w:rsidR="00F350B2" w:rsidRPr="00F350B2" w:rsidRDefault="00F350B2" w:rsidP="00F350B2">
      <w:pPr>
        <w:pStyle w:val="EndNoteBibliography"/>
        <w:ind w:left="720" w:hanging="720"/>
        <w:rPr>
          <w:noProof/>
        </w:rPr>
      </w:pPr>
      <w:r w:rsidRPr="00F350B2">
        <w:rPr>
          <w:noProof/>
        </w:rPr>
        <w:t xml:space="preserve">Desebrock, C., Sui, J., &amp; Spence, C. (2018). Self-reference in action: Arm-movement responses are enhanced in perceptual matching. </w:t>
      </w:r>
      <w:r w:rsidRPr="00F350B2">
        <w:rPr>
          <w:i/>
          <w:noProof/>
        </w:rPr>
        <w:t>Acta psychologica, 190</w:t>
      </w:r>
      <w:r w:rsidRPr="00F350B2">
        <w:rPr>
          <w:noProof/>
        </w:rPr>
        <w:t xml:space="preserve">, 258-266. </w:t>
      </w:r>
      <w:hyperlink r:id="rId45" w:history="1">
        <w:r w:rsidRPr="00F350B2">
          <w:rPr>
            <w:rStyle w:val="ac"/>
            <w:noProof/>
          </w:rPr>
          <w:t>https://doi.org/10.1016/j.actpsy.2018.08.009</w:t>
        </w:r>
      </w:hyperlink>
      <w:r w:rsidRPr="00F350B2">
        <w:rPr>
          <w:noProof/>
        </w:rPr>
        <w:t xml:space="preserve"> </w:t>
      </w:r>
    </w:p>
    <w:p w14:paraId="5102846B" w14:textId="77777777" w:rsidR="00F350B2" w:rsidRPr="00F350B2" w:rsidRDefault="00F350B2" w:rsidP="00F350B2">
      <w:pPr>
        <w:pStyle w:val="EndNoteBibliography"/>
        <w:rPr>
          <w:noProof/>
        </w:rPr>
      </w:pPr>
    </w:p>
    <w:p w14:paraId="2E3278CE" w14:textId="2DFE7CD8" w:rsidR="00F350B2" w:rsidRPr="00F350B2" w:rsidRDefault="00F350B2" w:rsidP="00F350B2">
      <w:pPr>
        <w:pStyle w:val="EndNoteBibliography"/>
        <w:ind w:left="720" w:hanging="720"/>
        <w:rPr>
          <w:noProof/>
        </w:rPr>
      </w:pPr>
      <w:r w:rsidRPr="00F350B2">
        <w:rPr>
          <w:noProof/>
        </w:rPr>
        <w:t xml:space="preserve">Enock, F., Sui, J., Hewstone, M., &amp; Humphreys, G. W. (2018). Self and team prioritisation effects in perceptual matching: Evidence for a shared representation. </w:t>
      </w:r>
      <w:r w:rsidRPr="00F350B2">
        <w:rPr>
          <w:i/>
          <w:noProof/>
        </w:rPr>
        <w:t>Acta psychologica, 182</w:t>
      </w:r>
      <w:r w:rsidRPr="00F350B2">
        <w:rPr>
          <w:noProof/>
        </w:rPr>
        <w:t xml:space="preserve">, 107-118. </w:t>
      </w:r>
      <w:hyperlink r:id="rId46" w:history="1">
        <w:r w:rsidRPr="00F350B2">
          <w:rPr>
            <w:rStyle w:val="ac"/>
            <w:noProof/>
          </w:rPr>
          <w:t>https://doi.org/10.1016/j.actpsy.2017.11.011</w:t>
        </w:r>
      </w:hyperlink>
      <w:r w:rsidRPr="00F350B2">
        <w:rPr>
          <w:noProof/>
        </w:rPr>
        <w:t xml:space="preserve"> </w:t>
      </w:r>
    </w:p>
    <w:p w14:paraId="033E2050" w14:textId="77777777" w:rsidR="00F350B2" w:rsidRPr="00F350B2" w:rsidRDefault="00F350B2" w:rsidP="00F350B2">
      <w:pPr>
        <w:pStyle w:val="EndNoteBibliography"/>
        <w:rPr>
          <w:noProof/>
        </w:rPr>
      </w:pPr>
    </w:p>
    <w:p w14:paraId="7768F8DE" w14:textId="4B47C352" w:rsidR="00F350B2" w:rsidRPr="00F350B2" w:rsidRDefault="00F350B2" w:rsidP="00F350B2">
      <w:pPr>
        <w:pStyle w:val="EndNoteBibliography"/>
        <w:ind w:left="720" w:hanging="720"/>
        <w:rPr>
          <w:noProof/>
        </w:rPr>
      </w:pPr>
      <w:r w:rsidRPr="00F350B2">
        <w:rPr>
          <w:noProof/>
        </w:rPr>
        <w:t xml:space="preserve">Enock, F. E., Hewstone, M. R., Lockwood, P. L., &amp; Sui, J. (2020). Overlap in processing advantages for minimal ingroups and the self. </w:t>
      </w:r>
      <w:r w:rsidRPr="00F350B2">
        <w:rPr>
          <w:i/>
          <w:noProof/>
        </w:rPr>
        <w:t>Scientific Reports, 10</w:t>
      </w:r>
      <w:r w:rsidRPr="00F350B2">
        <w:rPr>
          <w:noProof/>
        </w:rPr>
        <w:t xml:space="preserve">(1), 18933. </w:t>
      </w:r>
      <w:hyperlink r:id="rId47" w:history="1">
        <w:r w:rsidRPr="00F350B2">
          <w:rPr>
            <w:rStyle w:val="ac"/>
            <w:noProof/>
          </w:rPr>
          <w:t>https://doi.org/10.1038/s41598-020-76001-9</w:t>
        </w:r>
      </w:hyperlink>
      <w:r w:rsidRPr="00F350B2">
        <w:rPr>
          <w:noProof/>
        </w:rPr>
        <w:t xml:space="preserve"> </w:t>
      </w:r>
    </w:p>
    <w:p w14:paraId="1FD0BD61" w14:textId="77777777" w:rsidR="00F350B2" w:rsidRPr="00F350B2" w:rsidRDefault="00F350B2" w:rsidP="00F350B2">
      <w:pPr>
        <w:pStyle w:val="EndNoteBibliography"/>
        <w:rPr>
          <w:noProof/>
        </w:rPr>
      </w:pPr>
    </w:p>
    <w:p w14:paraId="05633694" w14:textId="3C03A42B" w:rsidR="00F350B2" w:rsidRPr="00F350B2" w:rsidRDefault="00F350B2" w:rsidP="00F350B2">
      <w:pPr>
        <w:pStyle w:val="EndNoteBibliography"/>
        <w:ind w:left="720" w:hanging="720"/>
        <w:rPr>
          <w:noProof/>
        </w:rPr>
      </w:pPr>
      <w:r w:rsidRPr="00F350B2">
        <w:rPr>
          <w:noProof/>
        </w:rPr>
        <w:t xml:space="preserve">Feng, C., Yan, X., Huang, W., Han, S., &amp; Ma, Y. (2018). Neural representations of the multidimensional self in the cortical midline structures. </w:t>
      </w:r>
      <w:r w:rsidRPr="00F350B2">
        <w:rPr>
          <w:i/>
          <w:noProof/>
        </w:rPr>
        <w:t>NeuroImage, 183</w:t>
      </w:r>
      <w:r w:rsidRPr="00F350B2">
        <w:rPr>
          <w:noProof/>
        </w:rPr>
        <w:t xml:space="preserve">, 291-299. </w:t>
      </w:r>
      <w:hyperlink r:id="rId48" w:history="1">
        <w:r w:rsidRPr="00F350B2">
          <w:rPr>
            <w:rStyle w:val="ac"/>
            <w:noProof/>
          </w:rPr>
          <w:t>https://doi.org/10.1016/j.neuroimage.2018.08.018</w:t>
        </w:r>
      </w:hyperlink>
      <w:r w:rsidRPr="00F350B2">
        <w:rPr>
          <w:noProof/>
        </w:rPr>
        <w:t xml:space="preserve"> </w:t>
      </w:r>
    </w:p>
    <w:p w14:paraId="6A46E409" w14:textId="77777777" w:rsidR="00F350B2" w:rsidRPr="00F350B2" w:rsidRDefault="00F350B2" w:rsidP="00F350B2">
      <w:pPr>
        <w:pStyle w:val="EndNoteBibliography"/>
        <w:rPr>
          <w:noProof/>
        </w:rPr>
      </w:pPr>
    </w:p>
    <w:p w14:paraId="639FCDCD" w14:textId="38E6F255" w:rsidR="00F350B2" w:rsidRPr="00F350B2" w:rsidRDefault="00F350B2" w:rsidP="00F350B2">
      <w:pPr>
        <w:pStyle w:val="EndNoteBibliography"/>
        <w:ind w:left="720" w:hanging="720"/>
        <w:rPr>
          <w:noProof/>
        </w:rPr>
      </w:pPr>
      <w:r w:rsidRPr="00F350B2">
        <w:rPr>
          <w:noProof/>
        </w:rPr>
        <w:t xml:space="preserve">Feng, C., Zhou, X., Zhu, X., Zhu, R., Han, S., &amp; Luo, Y.-J. (2020). Effect of intranasal oxytocin administration on self-other distinction: Modulations by psychological distance and gender. </w:t>
      </w:r>
      <w:r w:rsidRPr="00F350B2">
        <w:rPr>
          <w:i/>
          <w:noProof/>
        </w:rPr>
        <w:t>Psychoneuroendocrinology, 120</w:t>
      </w:r>
      <w:r w:rsidRPr="00F350B2">
        <w:rPr>
          <w:noProof/>
        </w:rPr>
        <w:t xml:space="preserve">, 104804. </w:t>
      </w:r>
      <w:hyperlink r:id="rId49" w:history="1">
        <w:r w:rsidRPr="00F350B2">
          <w:rPr>
            <w:rStyle w:val="ac"/>
            <w:noProof/>
          </w:rPr>
          <w:t>https://doi.org/10.1016/j.psyneuen.2020.104804</w:t>
        </w:r>
      </w:hyperlink>
      <w:r w:rsidRPr="00F350B2">
        <w:rPr>
          <w:noProof/>
        </w:rPr>
        <w:t xml:space="preserve"> </w:t>
      </w:r>
    </w:p>
    <w:p w14:paraId="1C49559C" w14:textId="77777777" w:rsidR="00F350B2" w:rsidRPr="00F350B2" w:rsidRDefault="00F350B2" w:rsidP="00F350B2">
      <w:pPr>
        <w:pStyle w:val="EndNoteBibliography"/>
        <w:rPr>
          <w:noProof/>
        </w:rPr>
      </w:pPr>
    </w:p>
    <w:p w14:paraId="70EED927" w14:textId="77777777" w:rsidR="00F350B2" w:rsidRPr="00F350B2" w:rsidRDefault="00F350B2" w:rsidP="00F350B2">
      <w:pPr>
        <w:pStyle w:val="EndNoteBibliography"/>
        <w:ind w:left="720" w:hanging="720"/>
        <w:rPr>
          <w:noProof/>
        </w:rPr>
      </w:pPr>
      <w:r w:rsidRPr="00F350B2">
        <w:rPr>
          <w:noProof/>
        </w:rPr>
        <w:t xml:space="preserve">Fischer, J., &amp; Whitney, D. (2014). Serial dependence in visual perception. </w:t>
      </w:r>
      <w:r w:rsidRPr="00F350B2">
        <w:rPr>
          <w:i/>
          <w:noProof/>
        </w:rPr>
        <w:t>Nature neuroscience, 17</w:t>
      </w:r>
      <w:r w:rsidRPr="00F350B2">
        <w:rPr>
          <w:noProof/>
        </w:rPr>
        <w:t xml:space="preserve">(5), 738-743. </w:t>
      </w:r>
    </w:p>
    <w:p w14:paraId="2311E618" w14:textId="77777777" w:rsidR="00F350B2" w:rsidRPr="00F350B2" w:rsidRDefault="00F350B2" w:rsidP="00F350B2">
      <w:pPr>
        <w:pStyle w:val="EndNoteBibliography"/>
        <w:rPr>
          <w:noProof/>
        </w:rPr>
      </w:pPr>
    </w:p>
    <w:p w14:paraId="38F1F5FF" w14:textId="1D80492D" w:rsidR="00F350B2" w:rsidRPr="00F350B2" w:rsidRDefault="00F350B2" w:rsidP="00F350B2">
      <w:pPr>
        <w:pStyle w:val="EndNoteBibliography"/>
        <w:ind w:left="720" w:hanging="720"/>
        <w:rPr>
          <w:noProof/>
        </w:rPr>
      </w:pPr>
      <w:r w:rsidRPr="00F350B2">
        <w:rPr>
          <w:noProof/>
        </w:rPr>
        <w:t xml:space="preserve">Fisher, R. A. (1992). Statistical methods for research workers. </w:t>
      </w:r>
      <w:r w:rsidRPr="00F350B2">
        <w:rPr>
          <w:i/>
          <w:noProof/>
        </w:rPr>
        <w:t>Springer New York</w:t>
      </w:r>
      <w:r w:rsidRPr="00F350B2">
        <w:rPr>
          <w:noProof/>
        </w:rPr>
        <w:t xml:space="preserve">. </w:t>
      </w:r>
      <w:hyperlink r:id="rId50" w:history="1">
        <w:r w:rsidRPr="00F350B2">
          <w:rPr>
            <w:rStyle w:val="ac"/>
            <w:noProof/>
          </w:rPr>
          <w:t>https://doi.org/10.1007/978-1-4612-4380-9_6</w:t>
        </w:r>
      </w:hyperlink>
      <w:r w:rsidRPr="00F350B2">
        <w:rPr>
          <w:noProof/>
        </w:rPr>
        <w:t xml:space="preserve"> </w:t>
      </w:r>
    </w:p>
    <w:p w14:paraId="3170CEC8" w14:textId="77777777" w:rsidR="00F350B2" w:rsidRPr="00F350B2" w:rsidRDefault="00F350B2" w:rsidP="00F350B2">
      <w:pPr>
        <w:pStyle w:val="EndNoteBibliography"/>
        <w:rPr>
          <w:noProof/>
        </w:rPr>
      </w:pPr>
    </w:p>
    <w:p w14:paraId="57D55A83" w14:textId="77777777" w:rsidR="00F350B2" w:rsidRPr="00F350B2" w:rsidRDefault="00F350B2" w:rsidP="00F350B2">
      <w:pPr>
        <w:pStyle w:val="EndNoteBibliography"/>
        <w:ind w:left="720" w:hanging="720"/>
        <w:rPr>
          <w:noProof/>
        </w:rPr>
      </w:pPr>
      <w:r w:rsidRPr="00F350B2">
        <w:rPr>
          <w:noProof/>
        </w:rPr>
        <w:lastRenderedPageBreak/>
        <w:t xml:space="preserve">Friehs, M. A., Dechant, M., Vedress, S., Frings, C., &amp; Mandryk, R. L. (2020). Effective gamification of the stop-signal task: two controlled laboratory experiments. </w:t>
      </w:r>
      <w:r w:rsidRPr="00F350B2">
        <w:rPr>
          <w:i/>
          <w:noProof/>
        </w:rPr>
        <w:t>JMIR Serious Games, 8</w:t>
      </w:r>
      <w:r w:rsidRPr="00F350B2">
        <w:rPr>
          <w:noProof/>
        </w:rPr>
        <w:t xml:space="preserve">(3), e17810. </w:t>
      </w:r>
    </w:p>
    <w:p w14:paraId="69667804" w14:textId="77777777" w:rsidR="00F350B2" w:rsidRPr="00F350B2" w:rsidRDefault="00F350B2" w:rsidP="00F350B2">
      <w:pPr>
        <w:pStyle w:val="EndNoteBibliography"/>
        <w:rPr>
          <w:noProof/>
        </w:rPr>
      </w:pPr>
    </w:p>
    <w:p w14:paraId="63DDB832" w14:textId="72DA3240" w:rsidR="00F350B2" w:rsidRPr="00F350B2" w:rsidRDefault="00F350B2" w:rsidP="00F350B2">
      <w:pPr>
        <w:pStyle w:val="EndNoteBibliography"/>
        <w:ind w:left="720" w:hanging="720"/>
        <w:rPr>
          <w:noProof/>
        </w:rPr>
      </w:pPr>
      <w:r w:rsidRPr="00F350B2">
        <w:rPr>
          <w:noProof/>
        </w:rPr>
        <w:t xml:space="preserve">Gillespie‐Smith, K., Ballantyne, C., Branigan, H. P., Turk, D. J., &amp; Cunningham, S. J. (2018). The I in autism: Severity and social functioning in autism are related to self‐processing. </w:t>
      </w:r>
      <w:r w:rsidRPr="00F350B2">
        <w:rPr>
          <w:i/>
          <w:noProof/>
        </w:rPr>
        <w:t>British journal of developmental psychology, 36</w:t>
      </w:r>
      <w:r w:rsidRPr="00F350B2">
        <w:rPr>
          <w:noProof/>
        </w:rPr>
        <w:t xml:space="preserve">(1), 127-141. </w:t>
      </w:r>
      <w:hyperlink r:id="rId51" w:history="1">
        <w:r w:rsidRPr="00F350B2">
          <w:rPr>
            <w:rStyle w:val="ac"/>
            <w:noProof/>
          </w:rPr>
          <w:t>https://doi.org/10.1111/bjdp.12219</w:t>
        </w:r>
      </w:hyperlink>
      <w:r w:rsidRPr="00F350B2">
        <w:rPr>
          <w:noProof/>
        </w:rPr>
        <w:t xml:space="preserve"> </w:t>
      </w:r>
    </w:p>
    <w:p w14:paraId="5DDDA971" w14:textId="77777777" w:rsidR="00F350B2" w:rsidRPr="00F350B2" w:rsidRDefault="00F350B2" w:rsidP="00F350B2">
      <w:pPr>
        <w:pStyle w:val="EndNoteBibliography"/>
        <w:rPr>
          <w:noProof/>
        </w:rPr>
      </w:pPr>
    </w:p>
    <w:p w14:paraId="6373151B" w14:textId="29BA0ED7" w:rsidR="00F350B2" w:rsidRPr="00F350B2" w:rsidRDefault="00F350B2" w:rsidP="00F350B2">
      <w:pPr>
        <w:pStyle w:val="EndNoteBibliography"/>
        <w:ind w:left="720" w:hanging="720"/>
        <w:rPr>
          <w:noProof/>
        </w:rPr>
      </w:pPr>
      <w:r w:rsidRPr="00F350B2">
        <w:rPr>
          <w:noProof/>
        </w:rPr>
        <w:t xml:space="preserve">Golubickis, M., Falbén, J. K., Ho, N. S., Sui, J., Cunningham, W. A., &amp; Macrae, C. N. (2020). Parts of me: Identity-relevance moderates self-prioritization. </w:t>
      </w:r>
      <w:r w:rsidRPr="00F350B2">
        <w:rPr>
          <w:i/>
          <w:noProof/>
        </w:rPr>
        <w:t>Consciousness and cognition, 77</w:t>
      </w:r>
      <w:r w:rsidRPr="00F350B2">
        <w:rPr>
          <w:noProof/>
        </w:rPr>
        <w:t xml:space="preserve">, 102848. </w:t>
      </w:r>
      <w:hyperlink r:id="rId52" w:history="1">
        <w:r w:rsidRPr="00F350B2">
          <w:rPr>
            <w:rStyle w:val="ac"/>
            <w:noProof/>
          </w:rPr>
          <w:t>https://doi.org/10.1016/j.concog.2019.102848</w:t>
        </w:r>
      </w:hyperlink>
      <w:r w:rsidRPr="00F350B2">
        <w:rPr>
          <w:noProof/>
        </w:rPr>
        <w:t xml:space="preserve"> </w:t>
      </w:r>
    </w:p>
    <w:p w14:paraId="2D08D31A" w14:textId="77777777" w:rsidR="00F350B2" w:rsidRPr="00F350B2" w:rsidRDefault="00F350B2" w:rsidP="00F350B2">
      <w:pPr>
        <w:pStyle w:val="EndNoteBibliography"/>
        <w:rPr>
          <w:noProof/>
        </w:rPr>
      </w:pPr>
    </w:p>
    <w:p w14:paraId="743FF343" w14:textId="303F7D7F" w:rsidR="00F350B2" w:rsidRPr="00F350B2" w:rsidRDefault="00F350B2" w:rsidP="00F350B2">
      <w:pPr>
        <w:pStyle w:val="EndNoteBibliography"/>
        <w:ind w:left="720" w:hanging="720"/>
        <w:rPr>
          <w:noProof/>
        </w:rPr>
      </w:pPr>
      <w:r w:rsidRPr="00F350B2">
        <w:rPr>
          <w:noProof/>
        </w:rPr>
        <w:t xml:space="preserve">Golubickis, M., Falben, J. K., Sahraie, A., Visokomogilski, A., Cunningham, W. A., Sui, J., &amp; Macrae, C. N. (2017). Self-prioritization and perceptual matching: The effects of temporal construal. </w:t>
      </w:r>
      <w:r w:rsidRPr="00F350B2">
        <w:rPr>
          <w:i/>
          <w:noProof/>
        </w:rPr>
        <w:t>Mem Cognit, 45</w:t>
      </w:r>
      <w:r w:rsidRPr="00F350B2">
        <w:rPr>
          <w:noProof/>
        </w:rPr>
        <w:t xml:space="preserve">(7), 1223-1239. </w:t>
      </w:r>
      <w:hyperlink r:id="rId53" w:history="1">
        <w:r w:rsidRPr="00F350B2">
          <w:rPr>
            <w:rStyle w:val="ac"/>
            <w:noProof/>
          </w:rPr>
          <w:t>https://doi.org/10.3758/s13421-017-0722-3</w:t>
        </w:r>
      </w:hyperlink>
      <w:r w:rsidRPr="00F350B2">
        <w:rPr>
          <w:noProof/>
        </w:rPr>
        <w:t xml:space="preserve"> </w:t>
      </w:r>
    </w:p>
    <w:p w14:paraId="235A8421" w14:textId="77777777" w:rsidR="00F350B2" w:rsidRPr="00F350B2" w:rsidRDefault="00F350B2" w:rsidP="00F350B2">
      <w:pPr>
        <w:pStyle w:val="EndNoteBibliography"/>
        <w:rPr>
          <w:noProof/>
        </w:rPr>
      </w:pPr>
    </w:p>
    <w:p w14:paraId="1BB81CE7" w14:textId="0AD1B6B6" w:rsidR="00F350B2" w:rsidRPr="00F350B2" w:rsidRDefault="00F350B2" w:rsidP="00F350B2">
      <w:pPr>
        <w:pStyle w:val="EndNoteBibliography"/>
        <w:ind w:left="720" w:hanging="720"/>
        <w:rPr>
          <w:noProof/>
        </w:rPr>
      </w:pPr>
      <w:r w:rsidRPr="00F350B2">
        <w:rPr>
          <w:noProof/>
        </w:rPr>
        <w:t xml:space="preserve">Golubickis, M., &amp; Macrae, C. N. (2021). Judging me and you: Task design modulates self-prioritization. </w:t>
      </w:r>
      <w:r w:rsidRPr="00F350B2">
        <w:rPr>
          <w:i/>
          <w:noProof/>
        </w:rPr>
        <w:t>Acta psychologica, 218</w:t>
      </w:r>
      <w:r w:rsidRPr="00F350B2">
        <w:rPr>
          <w:noProof/>
        </w:rPr>
        <w:t xml:space="preserve">, 103350. </w:t>
      </w:r>
      <w:hyperlink r:id="rId54" w:history="1">
        <w:r w:rsidRPr="00F350B2">
          <w:rPr>
            <w:rStyle w:val="ac"/>
            <w:noProof/>
          </w:rPr>
          <w:t>https://doi.org/10.1016/j.actpsy.2021.103350</w:t>
        </w:r>
      </w:hyperlink>
      <w:r w:rsidRPr="00F350B2">
        <w:rPr>
          <w:noProof/>
        </w:rPr>
        <w:t xml:space="preserve"> </w:t>
      </w:r>
    </w:p>
    <w:p w14:paraId="18D97758" w14:textId="77777777" w:rsidR="00F350B2" w:rsidRPr="00F350B2" w:rsidRDefault="00F350B2" w:rsidP="00F350B2">
      <w:pPr>
        <w:pStyle w:val="EndNoteBibliography"/>
        <w:rPr>
          <w:noProof/>
        </w:rPr>
      </w:pPr>
    </w:p>
    <w:p w14:paraId="3747E3C0" w14:textId="77777777" w:rsidR="00F350B2" w:rsidRPr="00F350B2" w:rsidRDefault="00F350B2" w:rsidP="00F350B2">
      <w:pPr>
        <w:pStyle w:val="EndNoteBibliography"/>
        <w:ind w:left="720" w:hanging="720"/>
        <w:rPr>
          <w:noProof/>
        </w:rPr>
      </w:pPr>
      <w:r w:rsidRPr="00F350B2">
        <w:rPr>
          <w:noProof/>
        </w:rPr>
        <w:t xml:space="preserve">Green, S. B., Yang, Y., Alt, M., Brinkley, S., Gray, S., Hogan, T., &amp; Cowan, N. (2016). Use of internal consistency coefficients for estimating reliability of experimental task scores. </w:t>
      </w:r>
      <w:r w:rsidRPr="00F350B2">
        <w:rPr>
          <w:i/>
          <w:noProof/>
        </w:rPr>
        <w:t>Psychonomic Bulletin &amp; Review, 23</w:t>
      </w:r>
      <w:r w:rsidRPr="00F350B2">
        <w:rPr>
          <w:noProof/>
        </w:rPr>
        <w:t xml:space="preserve">, 750-763. </w:t>
      </w:r>
    </w:p>
    <w:p w14:paraId="7EBEE6B2" w14:textId="77777777" w:rsidR="00F350B2" w:rsidRPr="00F350B2" w:rsidRDefault="00F350B2" w:rsidP="00F350B2">
      <w:pPr>
        <w:pStyle w:val="EndNoteBibliography"/>
        <w:rPr>
          <w:noProof/>
        </w:rPr>
      </w:pPr>
    </w:p>
    <w:p w14:paraId="68CD7408" w14:textId="77777777" w:rsidR="00F350B2" w:rsidRPr="00F350B2" w:rsidRDefault="00F350B2" w:rsidP="00F350B2">
      <w:pPr>
        <w:pStyle w:val="EndNoteBibliography"/>
        <w:ind w:left="720" w:hanging="720"/>
        <w:rPr>
          <w:noProof/>
        </w:rPr>
      </w:pPr>
      <w:r w:rsidRPr="00F350B2">
        <w:rPr>
          <w:noProof/>
        </w:rPr>
        <w:t xml:space="preserve">Hedge, C., Powell, G., &amp; Sumner, P. (2018). The reliability paradox: Why robust cognitive tasks do not produce reliable individual differences. </w:t>
      </w:r>
      <w:r w:rsidRPr="00F350B2">
        <w:rPr>
          <w:i/>
          <w:noProof/>
        </w:rPr>
        <w:t>Behavior Research Methods, 50</w:t>
      </w:r>
      <w:r w:rsidRPr="00F350B2">
        <w:rPr>
          <w:noProof/>
        </w:rPr>
        <w:t xml:space="preserve">, 1166-1186. </w:t>
      </w:r>
    </w:p>
    <w:p w14:paraId="0DD3E974" w14:textId="77777777" w:rsidR="00F350B2" w:rsidRPr="00F350B2" w:rsidRDefault="00F350B2" w:rsidP="00F350B2">
      <w:pPr>
        <w:pStyle w:val="EndNoteBibliography"/>
        <w:rPr>
          <w:noProof/>
        </w:rPr>
      </w:pPr>
    </w:p>
    <w:p w14:paraId="1EDBB44D" w14:textId="5B536D60" w:rsidR="00F350B2" w:rsidRPr="00F350B2" w:rsidRDefault="00F350B2" w:rsidP="00F350B2">
      <w:pPr>
        <w:pStyle w:val="EndNoteBibliography"/>
        <w:ind w:left="720" w:hanging="720"/>
        <w:rPr>
          <w:noProof/>
        </w:rPr>
      </w:pPr>
      <w:r w:rsidRPr="00F350B2">
        <w:rPr>
          <w:noProof/>
        </w:rPr>
        <w:t xml:space="preserve">Hu, C.-P., Lan, Y., Macrae, C. N., &amp; Sui, J. (2020). Good Me Bad Me: Prioritization of the Good-Self During Perceptual Decision-Making. </w:t>
      </w:r>
      <w:r w:rsidRPr="00F350B2">
        <w:rPr>
          <w:i/>
          <w:noProof/>
        </w:rPr>
        <w:t>Collabra. Psychology, 6</w:t>
      </w:r>
      <w:r w:rsidRPr="00F350B2">
        <w:rPr>
          <w:noProof/>
        </w:rPr>
        <w:t xml:space="preserve">(1), 20. </w:t>
      </w:r>
      <w:hyperlink r:id="rId55" w:history="1">
        <w:r w:rsidRPr="00F350B2">
          <w:rPr>
            <w:rStyle w:val="ac"/>
            <w:noProof/>
          </w:rPr>
          <w:t>https://doi.org/10.1525/collabra.301</w:t>
        </w:r>
      </w:hyperlink>
      <w:r w:rsidRPr="00F350B2">
        <w:rPr>
          <w:noProof/>
        </w:rPr>
        <w:t xml:space="preserve"> </w:t>
      </w:r>
    </w:p>
    <w:p w14:paraId="4A49BD50" w14:textId="77777777" w:rsidR="00F350B2" w:rsidRPr="00F350B2" w:rsidRDefault="00F350B2" w:rsidP="00F350B2">
      <w:pPr>
        <w:pStyle w:val="EndNoteBibliography"/>
        <w:rPr>
          <w:noProof/>
        </w:rPr>
      </w:pPr>
    </w:p>
    <w:p w14:paraId="68D96841" w14:textId="7CD81979" w:rsidR="00F350B2" w:rsidRPr="00F350B2" w:rsidRDefault="00F350B2" w:rsidP="00F350B2">
      <w:pPr>
        <w:pStyle w:val="EndNoteBibliography"/>
        <w:ind w:left="720" w:hanging="720"/>
        <w:rPr>
          <w:noProof/>
        </w:rPr>
      </w:pPr>
      <w:r w:rsidRPr="00F350B2">
        <w:rPr>
          <w:noProof/>
        </w:rPr>
        <w:t xml:space="preserve">Hu, C.-P., Peng, K., &amp; Sui, J. (2023, 2023-05-06). Data for Training Effect of Self Prioritization[DS/OL]. V1. </w:t>
      </w:r>
      <w:r w:rsidRPr="00F350B2">
        <w:rPr>
          <w:i/>
          <w:noProof/>
        </w:rPr>
        <w:t>Science Data Bank</w:t>
      </w:r>
      <w:r w:rsidRPr="00F350B2">
        <w:rPr>
          <w:noProof/>
        </w:rPr>
        <w:t xml:space="preserve">. </w:t>
      </w:r>
      <w:hyperlink r:id="rId56" w:history="1">
        <w:r w:rsidRPr="00F350B2">
          <w:rPr>
            <w:rStyle w:val="ac"/>
            <w:noProof/>
          </w:rPr>
          <w:t>https://doi.org/10.57760/sciencedb.08117</w:t>
        </w:r>
      </w:hyperlink>
      <w:r w:rsidRPr="00F350B2">
        <w:rPr>
          <w:noProof/>
        </w:rPr>
        <w:t xml:space="preserve">. </w:t>
      </w:r>
    </w:p>
    <w:p w14:paraId="3A5CE99F" w14:textId="77777777" w:rsidR="00F350B2" w:rsidRPr="00F350B2" w:rsidRDefault="00F350B2" w:rsidP="00F350B2">
      <w:pPr>
        <w:pStyle w:val="EndNoteBibliography"/>
        <w:rPr>
          <w:noProof/>
        </w:rPr>
      </w:pPr>
    </w:p>
    <w:p w14:paraId="6AF0B809" w14:textId="636F63D8" w:rsidR="00F350B2" w:rsidRPr="00F350B2" w:rsidRDefault="00F350B2" w:rsidP="00F350B2">
      <w:pPr>
        <w:pStyle w:val="EndNoteBibliography"/>
        <w:ind w:left="720" w:hanging="720"/>
        <w:rPr>
          <w:noProof/>
        </w:rPr>
      </w:pPr>
      <w:r w:rsidRPr="00F350B2">
        <w:rPr>
          <w:noProof/>
        </w:rPr>
        <w:t xml:space="preserve">Hughes, S. M., &amp; Harrison, M. A. (2013). I like my voice better: Self-enhancement bias in perceptions of voice attractiveness. </w:t>
      </w:r>
      <w:r w:rsidRPr="00F350B2">
        <w:rPr>
          <w:i/>
          <w:noProof/>
        </w:rPr>
        <w:t>Perception, 42</w:t>
      </w:r>
      <w:r w:rsidRPr="00F350B2">
        <w:rPr>
          <w:noProof/>
        </w:rPr>
        <w:t xml:space="preserve">(9), 941-949. </w:t>
      </w:r>
      <w:hyperlink r:id="rId57" w:history="1">
        <w:r w:rsidRPr="00F350B2">
          <w:rPr>
            <w:rStyle w:val="ac"/>
            <w:noProof/>
          </w:rPr>
          <w:t>https://doi.org/10.1068/p7526</w:t>
        </w:r>
      </w:hyperlink>
      <w:r w:rsidRPr="00F350B2">
        <w:rPr>
          <w:noProof/>
        </w:rPr>
        <w:t xml:space="preserve"> </w:t>
      </w:r>
    </w:p>
    <w:p w14:paraId="068C2A55" w14:textId="77777777" w:rsidR="00F350B2" w:rsidRPr="00F350B2" w:rsidRDefault="00F350B2" w:rsidP="00F350B2">
      <w:pPr>
        <w:pStyle w:val="EndNoteBibliography"/>
        <w:rPr>
          <w:noProof/>
        </w:rPr>
      </w:pPr>
    </w:p>
    <w:p w14:paraId="2F493BC2" w14:textId="77777777" w:rsidR="00F350B2" w:rsidRPr="00F350B2" w:rsidRDefault="00F350B2" w:rsidP="00F350B2">
      <w:pPr>
        <w:pStyle w:val="EndNoteBibliography"/>
        <w:ind w:left="720" w:hanging="720"/>
        <w:rPr>
          <w:noProof/>
        </w:rPr>
      </w:pPr>
      <w:r w:rsidRPr="00F350B2">
        <w:rPr>
          <w:noProof/>
        </w:rPr>
        <w:t xml:space="preserve">Huitema, B. E. (1986). Autocorrelation in behavioral research: Wherefore art thou? In </w:t>
      </w:r>
      <w:r w:rsidRPr="00F350B2">
        <w:rPr>
          <w:i/>
          <w:noProof/>
        </w:rPr>
        <w:t>Research methods in applied behavior analysis: Issues and advances</w:t>
      </w:r>
      <w:r w:rsidRPr="00F350B2">
        <w:rPr>
          <w:noProof/>
        </w:rPr>
        <w:t xml:space="preserve"> (pp. 187-208). Springer. </w:t>
      </w:r>
    </w:p>
    <w:p w14:paraId="65A4040A" w14:textId="77777777" w:rsidR="00F350B2" w:rsidRPr="00F350B2" w:rsidRDefault="00F350B2" w:rsidP="00F350B2">
      <w:pPr>
        <w:pStyle w:val="EndNoteBibliography"/>
        <w:rPr>
          <w:noProof/>
        </w:rPr>
      </w:pPr>
    </w:p>
    <w:p w14:paraId="3932A6AF" w14:textId="4011153A" w:rsidR="00F350B2" w:rsidRPr="00F350B2" w:rsidRDefault="00F350B2" w:rsidP="00F350B2">
      <w:pPr>
        <w:pStyle w:val="EndNoteBibliography"/>
        <w:ind w:left="720" w:hanging="720"/>
        <w:rPr>
          <w:noProof/>
        </w:rPr>
      </w:pPr>
      <w:r w:rsidRPr="00F350B2">
        <w:rPr>
          <w:noProof/>
        </w:rPr>
        <w:lastRenderedPageBreak/>
        <w:t xml:space="preserve">Humphreys, G. W., &amp; Sui, J. (2015). The salient self: Social saliency effects based on self-bias. </w:t>
      </w:r>
      <w:r w:rsidRPr="00F350B2">
        <w:rPr>
          <w:i/>
          <w:noProof/>
        </w:rPr>
        <w:t>Journal of cognitive psychology, 27</w:t>
      </w:r>
      <w:r w:rsidRPr="00F350B2">
        <w:rPr>
          <w:noProof/>
        </w:rPr>
        <w:t xml:space="preserve">(2), 129-140. </w:t>
      </w:r>
      <w:hyperlink r:id="rId58" w:history="1">
        <w:r w:rsidRPr="00F350B2">
          <w:rPr>
            <w:rStyle w:val="ac"/>
            <w:noProof/>
          </w:rPr>
          <w:t>https://doi.org/10.1080/20445911.2014.996156</w:t>
        </w:r>
      </w:hyperlink>
      <w:r w:rsidRPr="00F350B2">
        <w:rPr>
          <w:noProof/>
        </w:rPr>
        <w:t xml:space="preserve"> </w:t>
      </w:r>
    </w:p>
    <w:p w14:paraId="6E335D01" w14:textId="77777777" w:rsidR="00F350B2" w:rsidRPr="00F350B2" w:rsidRDefault="00F350B2" w:rsidP="00F350B2">
      <w:pPr>
        <w:pStyle w:val="EndNoteBibliography"/>
        <w:rPr>
          <w:noProof/>
        </w:rPr>
      </w:pPr>
    </w:p>
    <w:p w14:paraId="1A1C99AC" w14:textId="4A6407F9" w:rsidR="00F350B2" w:rsidRPr="00F350B2" w:rsidRDefault="00F350B2" w:rsidP="00F350B2">
      <w:pPr>
        <w:pStyle w:val="EndNoteBibliography"/>
        <w:ind w:left="720" w:hanging="720"/>
        <w:rPr>
          <w:noProof/>
        </w:rPr>
      </w:pPr>
      <w:r w:rsidRPr="00F350B2">
        <w:rPr>
          <w:noProof/>
        </w:rPr>
        <w:t xml:space="preserve">Jiang, M., Wong, S. K. M., Chung, H. K. S., Sun, Y., Hsiao, J. H., Sui, J., &amp; Humphreys, G. W. (2019). Cultural Orientation of Self-Bias in Perceptual Matching. </w:t>
      </w:r>
      <w:r w:rsidRPr="00F350B2">
        <w:rPr>
          <w:i/>
          <w:noProof/>
        </w:rPr>
        <w:t>Front Psychol, 10</w:t>
      </w:r>
      <w:r w:rsidRPr="00F350B2">
        <w:rPr>
          <w:noProof/>
        </w:rPr>
        <w:t xml:space="preserve">, 1469. </w:t>
      </w:r>
      <w:hyperlink r:id="rId59" w:history="1">
        <w:r w:rsidRPr="00F350B2">
          <w:rPr>
            <w:rStyle w:val="ac"/>
            <w:noProof/>
          </w:rPr>
          <w:t>https://doi.org/10.3389/fpsyg.2019.01469</w:t>
        </w:r>
      </w:hyperlink>
      <w:r w:rsidRPr="00F350B2">
        <w:rPr>
          <w:noProof/>
        </w:rPr>
        <w:t xml:space="preserve"> </w:t>
      </w:r>
    </w:p>
    <w:p w14:paraId="76CF13E4" w14:textId="77777777" w:rsidR="00F350B2" w:rsidRPr="00F350B2" w:rsidRDefault="00F350B2" w:rsidP="00F350B2">
      <w:pPr>
        <w:pStyle w:val="EndNoteBibliography"/>
        <w:rPr>
          <w:noProof/>
        </w:rPr>
      </w:pPr>
    </w:p>
    <w:p w14:paraId="11280FA1" w14:textId="77777777" w:rsidR="00F350B2" w:rsidRPr="00F350B2" w:rsidRDefault="00F350B2" w:rsidP="00F350B2">
      <w:pPr>
        <w:pStyle w:val="EndNoteBibliography"/>
        <w:ind w:left="720" w:hanging="720"/>
        <w:rPr>
          <w:noProof/>
        </w:rPr>
      </w:pPr>
      <w:r w:rsidRPr="00F350B2">
        <w:rPr>
          <w:noProof/>
        </w:rPr>
        <w:t xml:space="preserve">John-Saaltink, E. S., Kok, P., Lau, H. C., &amp; De Lange, F. P. (2016). Serial dependence in perceptual decisions is reflected in activity patterns in primary visual cortex. </w:t>
      </w:r>
      <w:r w:rsidRPr="00F350B2">
        <w:rPr>
          <w:i/>
          <w:noProof/>
        </w:rPr>
        <w:t>Journal of Neuroscience, 36</w:t>
      </w:r>
      <w:r w:rsidRPr="00F350B2">
        <w:rPr>
          <w:noProof/>
        </w:rPr>
        <w:t xml:space="preserve">(23), 6186-6192. </w:t>
      </w:r>
    </w:p>
    <w:p w14:paraId="29DBB561" w14:textId="77777777" w:rsidR="00F350B2" w:rsidRPr="00F350B2" w:rsidRDefault="00F350B2" w:rsidP="00F350B2">
      <w:pPr>
        <w:pStyle w:val="EndNoteBibliography"/>
        <w:rPr>
          <w:noProof/>
        </w:rPr>
      </w:pPr>
    </w:p>
    <w:p w14:paraId="22D2AF23" w14:textId="3A8B9712" w:rsidR="00F350B2" w:rsidRPr="00F350B2" w:rsidRDefault="00F350B2" w:rsidP="00F350B2">
      <w:pPr>
        <w:pStyle w:val="EndNoteBibliography"/>
        <w:ind w:left="720" w:hanging="720"/>
        <w:rPr>
          <w:noProof/>
        </w:rPr>
      </w:pPr>
      <w:r w:rsidRPr="00F350B2">
        <w:rPr>
          <w:noProof/>
        </w:rPr>
        <w:t xml:space="preserve">Johnson, D. J., Hopwood, C. J., Cesario, J., &amp; Pleskac, T. J. (2017). Advancing Research on Cognitive Processes in Social and Personality Psychology:A Hierarchical Drift Diffusion Model Primer. </w:t>
      </w:r>
      <w:r w:rsidRPr="00F350B2">
        <w:rPr>
          <w:i/>
          <w:noProof/>
        </w:rPr>
        <w:t>Social Psychological and Personality Science, 8</w:t>
      </w:r>
      <w:r w:rsidRPr="00F350B2">
        <w:rPr>
          <w:noProof/>
        </w:rPr>
        <w:t xml:space="preserve">(4), 413-423. </w:t>
      </w:r>
      <w:hyperlink r:id="rId60" w:history="1">
        <w:r w:rsidRPr="00F350B2">
          <w:rPr>
            <w:rStyle w:val="ac"/>
            <w:noProof/>
          </w:rPr>
          <w:t>https://doi.org/10.1177/1948550617703174</w:t>
        </w:r>
      </w:hyperlink>
      <w:r w:rsidRPr="00F350B2">
        <w:rPr>
          <w:noProof/>
        </w:rPr>
        <w:t xml:space="preserve"> </w:t>
      </w:r>
    </w:p>
    <w:p w14:paraId="10E3BACA" w14:textId="77777777" w:rsidR="00F350B2" w:rsidRPr="00F350B2" w:rsidRDefault="00F350B2" w:rsidP="00F350B2">
      <w:pPr>
        <w:pStyle w:val="EndNoteBibliography"/>
        <w:rPr>
          <w:noProof/>
        </w:rPr>
      </w:pPr>
    </w:p>
    <w:p w14:paraId="288AE01B" w14:textId="69F7E3F6" w:rsidR="00F350B2" w:rsidRPr="00F350B2" w:rsidRDefault="00F350B2" w:rsidP="00F350B2">
      <w:pPr>
        <w:pStyle w:val="EndNoteBibliography"/>
        <w:ind w:left="720" w:hanging="720"/>
        <w:rPr>
          <w:noProof/>
        </w:rPr>
      </w:pPr>
      <w:r w:rsidRPr="00F350B2">
        <w:rPr>
          <w:noProof/>
        </w:rPr>
        <w:t xml:space="preserve">Kahveci, S., Bathke, A., &amp; Blechert, J. (2022). Reliability of reaction time tasks: how should it be computed? </w:t>
      </w:r>
      <w:hyperlink r:id="rId61" w:history="1">
        <w:r w:rsidRPr="00F350B2">
          <w:rPr>
            <w:rStyle w:val="ac"/>
            <w:noProof/>
          </w:rPr>
          <w:t>https://doi.org/10.31234/osf.io/ta59r</w:t>
        </w:r>
      </w:hyperlink>
      <w:r w:rsidRPr="00F350B2">
        <w:rPr>
          <w:noProof/>
        </w:rPr>
        <w:t xml:space="preserve"> </w:t>
      </w:r>
    </w:p>
    <w:p w14:paraId="6EF5BFDF" w14:textId="77777777" w:rsidR="00F350B2" w:rsidRPr="00F350B2" w:rsidRDefault="00F350B2" w:rsidP="00F350B2">
      <w:pPr>
        <w:pStyle w:val="EndNoteBibliography"/>
        <w:rPr>
          <w:noProof/>
        </w:rPr>
      </w:pPr>
    </w:p>
    <w:p w14:paraId="696B8C86" w14:textId="5552E4D8" w:rsidR="00F350B2" w:rsidRPr="00F350B2" w:rsidRDefault="00F350B2" w:rsidP="00F350B2">
      <w:pPr>
        <w:pStyle w:val="EndNoteBibliography"/>
        <w:ind w:left="720" w:hanging="720"/>
        <w:rPr>
          <w:noProof/>
        </w:rPr>
      </w:pPr>
      <w:r w:rsidRPr="00F350B2">
        <w:rPr>
          <w:noProof/>
        </w:rPr>
        <w:t xml:space="preserve">Keenan, J. P., Wheeler, M. A., Gallup, G. G., &amp; Pascual-Leone, A. (2000). Self-recognition and the right prefrontal cortex. </w:t>
      </w:r>
      <w:r w:rsidRPr="00F350B2">
        <w:rPr>
          <w:i/>
          <w:noProof/>
        </w:rPr>
        <w:t>Trends in cognitive sciences, 4</w:t>
      </w:r>
      <w:r w:rsidRPr="00F350B2">
        <w:rPr>
          <w:noProof/>
        </w:rPr>
        <w:t xml:space="preserve">(9), 338-344. </w:t>
      </w:r>
      <w:hyperlink r:id="rId62" w:history="1">
        <w:r w:rsidRPr="00F350B2">
          <w:rPr>
            <w:rStyle w:val="ac"/>
            <w:noProof/>
          </w:rPr>
          <w:t>https://doi.org/10.1016/S1364-6613</w:t>
        </w:r>
      </w:hyperlink>
      <w:r w:rsidRPr="00F350B2">
        <w:rPr>
          <w:noProof/>
        </w:rPr>
        <w:t xml:space="preserve"> (00)01521-7 </w:t>
      </w:r>
    </w:p>
    <w:p w14:paraId="7B7FA7BB" w14:textId="77777777" w:rsidR="00F350B2" w:rsidRPr="00F350B2" w:rsidRDefault="00F350B2" w:rsidP="00F350B2">
      <w:pPr>
        <w:pStyle w:val="EndNoteBibliography"/>
        <w:rPr>
          <w:noProof/>
        </w:rPr>
      </w:pPr>
    </w:p>
    <w:p w14:paraId="5FC30C03" w14:textId="62C9C32B" w:rsidR="00F350B2" w:rsidRPr="00F350B2" w:rsidRDefault="00F350B2" w:rsidP="00F350B2">
      <w:pPr>
        <w:pStyle w:val="EndNoteBibliography"/>
        <w:ind w:left="720" w:hanging="720"/>
        <w:rPr>
          <w:noProof/>
        </w:rPr>
      </w:pPr>
      <w:r w:rsidRPr="00F350B2">
        <w:rPr>
          <w:noProof/>
        </w:rPr>
        <w:t xml:space="preserve">Kircher, T. T., Senior, C., Phillips, M. L., Benson, P. J., Bullmore, E. T., Brammer, M., ..., &amp; David, A. S. (2000). Towards a functional neuroanatomy of self processing: effects of faces and words. </w:t>
      </w:r>
      <w:r w:rsidRPr="00F350B2">
        <w:rPr>
          <w:i/>
          <w:noProof/>
        </w:rPr>
        <w:t>Cognitive Brain Research, 10</w:t>
      </w:r>
      <w:r w:rsidRPr="00F350B2">
        <w:rPr>
          <w:noProof/>
        </w:rPr>
        <w:t xml:space="preserve">(1-2), 133-144. </w:t>
      </w:r>
      <w:hyperlink r:id="rId63" w:history="1">
        <w:r w:rsidRPr="00F350B2">
          <w:rPr>
            <w:rStyle w:val="ac"/>
            <w:noProof/>
          </w:rPr>
          <w:t>https://doi.org/10.1016/S0926-6410(00)00036-7</w:t>
        </w:r>
      </w:hyperlink>
      <w:r w:rsidRPr="00F350B2">
        <w:rPr>
          <w:noProof/>
        </w:rPr>
        <w:t xml:space="preserve"> </w:t>
      </w:r>
    </w:p>
    <w:p w14:paraId="0C3C44EA" w14:textId="77777777" w:rsidR="00F350B2" w:rsidRPr="00F350B2" w:rsidRDefault="00F350B2" w:rsidP="00F350B2">
      <w:pPr>
        <w:pStyle w:val="EndNoteBibliography"/>
        <w:rPr>
          <w:noProof/>
        </w:rPr>
      </w:pPr>
    </w:p>
    <w:p w14:paraId="5980EEF0" w14:textId="36E50CCB" w:rsidR="00F350B2" w:rsidRPr="00F350B2" w:rsidRDefault="00F350B2" w:rsidP="00F350B2">
      <w:pPr>
        <w:pStyle w:val="EndNoteBibliography"/>
        <w:ind w:left="720" w:hanging="720"/>
        <w:rPr>
          <w:noProof/>
        </w:rPr>
      </w:pPr>
      <w:r w:rsidRPr="00F350B2">
        <w:rPr>
          <w:noProof/>
        </w:rPr>
        <w:t xml:space="preserve">Kolvoort, I. R., Wainio‐Theberge, S., Wolff, A., &amp; Northoff, G. (2020). Temporal integration as “common currency” of brain and self‐scale‐free activity in resting‐state EEG correlates with temporal delay effects on self‐relatedness. </w:t>
      </w:r>
      <w:r w:rsidRPr="00F350B2">
        <w:rPr>
          <w:i/>
          <w:noProof/>
        </w:rPr>
        <w:t>Human brain mapping, 41</w:t>
      </w:r>
      <w:r w:rsidRPr="00F350B2">
        <w:rPr>
          <w:noProof/>
        </w:rPr>
        <w:t xml:space="preserve">(15), 4355-4374. </w:t>
      </w:r>
      <w:hyperlink r:id="rId64" w:history="1">
        <w:r w:rsidRPr="00F350B2">
          <w:rPr>
            <w:rStyle w:val="ac"/>
            <w:noProof/>
          </w:rPr>
          <w:t>https://doi.org/10.1002/hbm.25129</w:t>
        </w:r>
      </w:hyperlink>
      <w:r w:rsidRPr="00F350B2">
        <w:rPr>
          <w:noProof/>
        </w:rPr>
        <w:t xml:space="preserve"> </w:t>
      </w:r>
    </w:p>
    <w:p w14:paraId="440B3A58" w14:textId="77777777" w:rsidR="00F350B2" w:rsidRPr="00F350B2" w:rsidRDefault="00F350B2" w:rsidP="00F350B2">
      <w:pPr>
        <w:pStyle w:val="EndNoteBibliography"/>
        <w:rPr>
          <w:noProof/>
        </w:rPr>
      </w:pPr>
    </w:p>
    <w:p w14:paraId="0D0DDBED" w14:textId="28833402" w:rsidR="00F350B2" w:rsidRPr="00F350B2" w:rsidRDefault="00F350B2" w:rsidP="00F350B2">
      <w:pPr>
        <w:pStyle w:val="EndNoteBibliography"/>
        <w:ind w:left="720" w:hanging="720"/>
        <w:rPr>
          <w:noProof/>
        </w:rPr>
      </w:pPr>
      <w:r w:rsidRPr="00F350B2">
        <w:rPr>
          <w:noProof/>
        </w:rPr>
        <w:t xml:space="preserve">Koo, T. K., &amp; Li, M. Y. (2016). A Guideline of Selecting and Reporting Intraclass Correlation Coefficients for Reliability Research. </w:t>
      </w:r>
      <w:r w:rsidRPr="00F350B2">
        <w:rPr>
          <w:i/>
          <w:noProof/>
        </w:rPr>
        <w:t>Journal of chiropractic medicine, 15</w:t>
      </w:r>
      <w:r w:rsidRPr="00F350B2">
        <w:rPr>
          <w:noProof/>
        </w:rPr>
        <w:t xml:space="preserve">(2), 155-163. </w:t>
      </w:r>
      <w:hyperlink r:id="rId65" w:history="1">
        <w:r w:rsidRPr="00F350B2">
          <w:rPr>
            <w:rStyle w:val="ac"/>
            <w:noProof/>
          </w:rPr>
          <w:t>https://doi.org/10.1016/j.jcm.2016.02.012</w:t>
        </w:r>
      </w:hyperlink>
      <w:r w:rsidRPr="00F350B2">
        <w:rPr>
          <w:noProof/>
        </w:rPr>
        <w:t xml:space="preserve"> </w:t>
      </w:r>
    </w:p>
    <w:p w14:paraId="03AE6396" w14:textId="77777777" w:rsidR="00F350B2" w:rsidRPr="00F350B2" w:rsidRDefault="00F350B2" w:rsidP="00F350B2">
      <w:pPr>
        <w:pStyle w:val="EndNoteBibliography"/>
        <w:rPr>
          <w:noProof/>
        </w:rPr>
      </w:pPr>
    </w:p>
    <w:p w14:paraId="0C8C48AD" w14:textId="77777777" w:rsidR="00F350B2" w:rsidRPr="00F350B2" w:rsidRDefault="00F350B2" w:rsidP="00F350B2">
      <w:pPr>
        <w:pStyle w:val="EndNoteBibliography"/>
        <w:ind w:left="720" w:hanging="720"/>
        <w:rPr>
          <w:noProof/>
        </w:rPr>
      </w:pPr>
      <w:r w:rsidRPr="00F350B2">
        <w:rPr>
          <w:noProof/>
        </w:rPr>
        <w:t xml:space="preserve">Kucina, T., Wells, L., Lewis, I., de Salas, K., Kohl, A., Palmer, M. A., Sauer, J. D., Matzke, D., Aidman, E., &amp; Heathcote, A. (2023). Calibration of cognitive tests to address the reliability paradox for decision-conflict tasks. </w:t>
      </w:r>
      <w:r w:rsidRPr="00F350B2">
        <w:rPr>
          <w:i/>
          <w:noProof/>
        </w:rPr>
        <w:t>Nature Communications, 14</w:t>
      </w:r>
      <w:r w:rsidRPr="00F350B2">
        <w:rPr>
          <w:noProof/>
        </w:rPr>
        <w:t xml:space="preserve">(1), 2234. </w:t>
      </w:r>
    </w:p>
    <w:p w14:paraId="57F720C5" w14:textId="77777777" w:rsidR="00F350B2" w:rsidRPr="00F350B2" w:rsidRDefault="00F350B2" w:rsidP="00F350B2">
      <w:pPr>
        <w:pStyle w:val="EndNoteBibliography"/>
        <w:rPr>
          <w:noProof/>
        </w:rPr>
      </w:pPr>
    </w:p>
    <w:p w14:paraId="29F4EB6B" w14:textId="21FA4A31" w:rsidR="00F350B2" w:rsidRPr="00F350B2" w:rsidRDefault="00F350B2" w:rsidP="00F350B2">
      <w:pPr>
        <w:pStyle w:val="EndNoteBibliography"/>
        <w:ind w:left="720" w:hanging="720"/>
        <w:rPr>
          <w:noProof/>
        </w:rPr>
      </w:pPr>
      <w:r w:rsidRPr="00F350B2">
        <w:rPr>
          <w:noProof/>
        </w:rPr>
        <w:t xml:space="preserve">Kupper, L. L., &amp; Hafner, K. b. (1989). On Assessing Interrater Agreement for Multiple Attribute Responses. </w:t>
      </w:r>
      <w:r w:rsidRPr="00F350B2">
        <w:rPr>
          <w:i/>
          <w:noProof/>
        </w:rPr>
        <w:t>Biometrics, 45</w:t>
      </w:r>
      <w:r w:rsidRPr="00F350B2">
        <w:rPr>
          <w:noProof/>
        </w:rPr>
        <w:t xml:space="preserve">(3), 957-967. </w:t>
      </w:r>
      <w:hyperlink r:id="rId66" w:history="1">
        <w:r w:rsidRPr="00F350B2">
          <w:rPr>
            <w:rStyle w:val="ac"/>
            <w:noProof/>
          </w:rPr>
          <w:t>https://doi.org/10.2307/2531695</w:t>
        </w:r>
      </w:hyperlink>
      <w:r w:rsidRPr="00F350B2">
        <w:rPr>
          <w:noProof/>
        </w:rPr>
        <w:t xml:space="preserve"> </w:t>
      </w:r>
    </w:p>
    <w:p w14:paraId="516EA94B" w14:textId="77777777" w:rsidR="00F350B2" w:rsidRPr="00F350B2" w:rsidRDefault="00F350B2" w:rsidP="00F350B2">
      <w:pPr>
        <w:pStyle w:val="EndNoteBibliography"/>
        <w:rPr>
          <w:noProof/>
        </w:rPr>
      </w:pPr>
    </w:p>
    <w:p w14:paraId="0F1C9E7A" w14:textId="77777777" w:rsidR="00F350B2" w:rsidRPr="00F350B2" w:rsidRDefault="00F350B2" w:rsidP="00F350B2">
      <w:pPr>
        <w:pStyle w:val="EndNoteBibliography"/>
        <w:ind w:left="720" w:hanging="720"/>
        <w:rPr>
          <w:noProof/>
        </w:rPr>
      </w:pPr>
      <w:r w:rsidRPr="00F350B2">
        <w:rPr>
          <w:noProof/>
        </w:rPr>
        <w:lastRenderedPageBreak/>
        <w:t xml:space="preserve">Liljequist, D., Elfving, B., &amp; Skavberg Roaldsen, K. (2019). Intraclass correlation–A discussion and demonstration of basic features. </w:t>
      </w:r>
      <w:r w:rsidRPr="00F350B2">
        <w:rPr>
          <w:i/>
          <w:noProof/>
        </w:rPr>
        <w:t>PloS one, 14</w:t>
      </w:r>
      <w:r w:rsidRPr="00F350B2">
        <w:rPr>
          <w:noProof/>
        </w:rPr>
        <w:t xml:space="preserve">(7), e0219854. </w:t>
      </w:r>
    </w:p>
    <w:p w14:paraId="6D1A944F" w14:textId="77777777" w:rsidR="00F350B2" w:rsidRPr="00F350B2" w:rsidRDefault="00F350B2" w:rsidP="00F350B2">
      <w:pPr>
        <w:pStyle w:val="EndNoteBibliography"/>
        <w:rPr>
          <w:noProof/>
        </w:rPr>
      </w:pPr>
    </w:p>
    <w:p w14:paraId="381BF145" w14:textId="3E8DBE1C" w:rsidR="00F350B2" w:rsidRPr="00F350B2" w:rsidRDefault="00F350B2" w:rsidP="00F350B2">
      <w:pPr>
        <w:pStyle w:val="EndNoteBibliography"/>
        <w:ind w:left="720" w:hanging="720"/>
        <w:rPr>
          <w:noProof/>
        </w:rPr>
      </w:pPr>
      <w:r w:rsidRPr="00F350B2">
        <w:rPr>
          <w:noProof/>
        </w:rPr>
        <w:t xml:space="preserve">Lin, H., Saunders, B., Friese, M., Evans, N. J., &amp; Inzlicht, M. (2020). Strong effort manipulations reduce response caution: A preregistered reinvention of the ego-depletion paradigm. </w:t>
      </w:r>
      <w:r w:rsidRPr="00F350B2">
        <w:rPr>
          <w:i/>
          <w:noProof/>
        </w:rPr>
        <w:t>Psychological science, 31</w:t>
      </w:r>
      <w:r w:rsidRPr="00F350B2">
        <w:rPr>
          <w:noProof/>
        </w:rPr>
        <w:t xml:space="preserve">(5), 531-547. </w:t>
      </w:r>
      <w:hyperlink r:id="rId67" w:history="1">
        <w:r w:rsidRPr="00F350B2">
          <w:rPr>
            <w:rStyle w:val="ac"/>
            <w:noProof/>
          </w:rPr>
          <w:t>https://doi.org/10.1177/0956797620904990</w:t>
        </w:r>
      </w:hyperlink>
      <w:r w:rsidRPr="00F350B2">
        <w:rPr>
          <w:noProof/>
        </w:rPr>
        <w:t xml:space="preserve"> </w:t>
      </w:r>
    </w:p>
    <w:p w14:paraId="5EE19E40" w14:textId="77777777" w:rsidR="00F350B2" w:rsidRPr="00F350B2" w:rsidRDefault="00F350B2" w:rsidP="00F350B2">
      <w:pPr>
        <w:pStyle w:val="EndNoteBibliography"/>
        <w:rPr>
          <w:noProof/>
        </w:rPr>
      </w:pPr>
    </w:p>
    <w:p w14:paraId="64BF19CE" w14:textId="77777777" w:rsidR="00F350B2" w:rsidRPr="00F350B2" w:rsidRDefault="00F350B2" w:rsidP="00F350B2">
      <w:pPr>
        <w:pStyle w:val="EndNoteBibliography"/>
        <w:ind w:left="720" w:hanging="720"/>
        <w:rPr>
          <w:noProof/>
        </w:rPr>
      </w:pPr>
      <w:r w:rsidRPr="00F350B2">
        <w:rPr>
          <w:noProof/>
        </w:rPr>
        <w:t xml:space="preserve">Liu, T., Sui, J., &amp; Hildebrandt, A. (2023). To see or not to see: The parallel processing of self-relevance and facial expressions. </w:t>
      </w:r>
      <w:r w:rsidRPr="00F350B2">
        <w:rPr>
          <w:i/>
          <w:noProof/>
        </w:rPr>
        <w:t xml:space="preserve">Manuscript submitted for publication. </w:t>
      </w:r>
      <w:r w:rsidRPr="00F350B2">
        <w:rPr>
          <w:noProof/>
        </w:rPr>
        <w:t xml:space="preserve">. </w:t>
      </w:r>
    </w:p>
    <w:p w14:paraId="51676E86" w14:textId="77777777" w:rsidR="00F350B2" w:rsidRPr="00F350B2" w:rsidRDefault="00F350B2" w:rsidP="00F350B2">
      <w:pPr>
        <w:pStyle w:val="EndNoteBibliography"/>
        <w:rPr>
          <w:noProof/>
        </w:rPr>
      </w:pPr>
    </w:p>
    <w:p w14:paraId="58E483E8" w14:textId="4142CFF4" w:rsidR="00F350B2" w:rsidRPr="00F350B2" w:rsidRDefault="00F350B2" w:rsidP="00F350B2">
      <w:pPr>
        <w:pStyle w:val="EndNoteBibliography"/>
        <w:ind w:left="720" w:hanging="720"/>
        <w:rPr>
          <w:noProof/>
        </w:rPr>
      </w:pPr>
      <w:r w:rsidRPr="00F350B2">
        <w:rPr>
          <w:noProof/>
        </w:rPr>
        <w:t xml:space="preserve">Liu, Y. S., Song, Y., Lee, N. A., Bennett, D. M., Button, K. S., Greenshaw, A., Cao, B., &amp; Sui, J. (2022). Depression screening using a non-verbal self-association task: A machine-learning based pilot study. </w:t>
      </w:r>
      <w:r w:rsidRPr="00F350B2">
        <w:rPr>
          <w:i/>
          <w:noProof/>
        </w:rPr>
        <w:t>Journal of Affective Disorders, 310</w:t>
      </w:r>
      <w:r w:rsidRPr="00F350B2">
        <w:rPr>
          <w:noProof/>
        </w:rPr>
        <w:t xml:space="preserve">, 87-95. </w:t>
      </w:r>
      <w:hyperlink r:id="rId68" w:history="1">
        <w:r w:rsidRPr="00F350B2">
          <w:rPr>
            <w:rStyle w:val="ac"/>
            <w:noProof/>
          </w:rPr>
          <w:t>https://doi.org/10.1016/j.jad.2022.04.122</w:t>
        </w:r>
      </w:hyperlink>
      <w:r w:rsidRPr="00F350B2">
        <w:rPr>
          <w:noProof/>
        </w:rPr>
        <w:t xml:space="preserve"> </w:t>
      </w:r>
    </w:p>
    <w:p w14:paraId="4C1B9F1A" w14:textId="77777777" w:rsidR="00F350B2" w:rsidRPr="00F350B2" w:rsidRDefault="00F350B2" w:rsidP="00F350B2">
      <w:pPr>
        <w:pStyle w:val="EndNoteBibliography"/>
        <w:rPr>
          <w:noProof/>
        </w:rPr>
      </w:pPr>
    </w:p>
    <w:p w14:paraId="5495ACDA" w14:textId="77777777" w:rsidR="00F350B2" w:rsidRPr="00F350B2" w:rsidRDefault="00F350B2" w:rsidP="00F350B2">
      <w:pPr>
        <w:pStyle w:val="EndNoteBibliography"/>
        <w:ind w:left="720" w:hanging="720"/>
        <w:rPr>
          <w:noProof/>
        </w:rPr>
      </w:pPr>
      <w:r w:rsidRPr="00F350B2">
        <w:rPr>
          <w:noProof/>
        </w:rPr>
        <w:t xml:space="preserve">Logie, R. H., Sala, S. D., Laiacona, M., Chalmers, P., &amp; Wynn, V. (1996). Group aggregates and individual reliability: The case of verbal short-term memory. </w:t>
      </w:r>
      <w:r w:rsidRPr="00F350B2">
        <w:rPr>
          <w:i/>
          <w:noProof/>
        </w:rPr>
        <w:t>Memory &amp; Cognition, 24</w:t>
      </w:r>
      <w:r w:rsidRPr="00F350B2">
        <w:rPr>
          <w:noProof/>
        </w:rPr>
        <w:t xml:space="preserve">, 305-321. </w:t>
      </w:r>
    </w:p>
    <w:p w14:paraId="7CC985ED" w14:textId="77777777" w:rsidR="00F350B2" w:rsidRPr="00F350B2" w:rsidRDefault="00F350B2" w:rsidP="00F350B2">
      <w:pPr>
        <w:pStyle w:val="EndNoteBibliography"/>
        <w:rPr>
          <w:noProof/>
        </w:rPr>
      </w:pPr>
    </w:p>
    <w:p w14:paraId="0EC20818" w14:textId="290F5A70" w:rsidR="00F350B2" w:rsidRPr="00F350B2" w:rsidRDefault="00F350B2" w:rsidP="00F350B2">
      <w:pPr>
        <w:pStyle w:val="EndNoteBibliography"/>
        <w:ind w:left="720" w:hanging="720"/>
        <w:rPr>
          <w:noProof/>
        </w:rPr>
      </w:pPr>
      <w:r w:rsidRPr="00F350B2">
        <w:rPr>
          <w:noProof/>
        </w:rPr>
        <w:t xml:space="preserve">Maire, H., Brochard, R., &amp; Zagar, D. (2020). A Developmental Study of the Self‐Prioritization Effect in Children Between 6 and 10 Years of Age. </w:t>
      </w:r>
      <w:r w:rsidRPr="00F350B2">
        <w:rPr>
          <w:i/>
          <w:noProof/>
        </w:rPr>
        <w:t>Child development, 91</w:t>
      </w:r>
      <w:r w:rsidRPr="00F350B2">
        <w:rPr>
          <w:noProof/>
        </w:rPr>
        <w:t xml:space="preserve">(3), 694-704. </w:t>
      </w:r>
      <w:hyperlink r:id="rId69" w:history="1">
        <w:r w:rsidRPr="00F350B2">
          <w:rPr>
            <w:rStyle w:val="ac"/>
            <w:noProof/>
          </w:rPr>
          <w:t>https://doi.org/10.1111/cdev.13352</w:t>
        </w:r>
      </w:hyperlink>
      <w:r w:rsidRPr="00F350B2">
        <w:rPr>
          <w:noProof/>
        </w:rPr>
        <w:t xml:space="preserve"> </w:t>
      </w:r>
    </w:p>
    <w:p w14:paraId="2BB5DAC0" w14:textId="77777777" w:rsidR="00F350B2" w:rsidRPr="00F350B2" w:rsidRDefault="00F350B2" w:rsidP="00F350B2">
      <w:pPr>
        <w:pStyle w:val="EndNoteBibliography"/>
        <w:rPr>
          <w:noProof/>
        </w:rPr>
      </w:pPr>
    </w:p>
    <w:p w14:paraId="5BB117E9" w14:textId="1D0471BD" w:rsidR="00F350B2" w:rsidRPr="00F350B2" w:rsidRDefault="00F350B2" w:rsidP="00F350B2">
      <w:pPr>
        <w:pStyle w:val="EndNoteBibliography"/>
        <w:ind w:left="720" w:hanging="720"/>
        <w:rPr>
          <w:noProof/>
        </w:rPr>
      </w:pPr>
      <w:r w:rsidRPr="00F350B2">
        <w:rPr>
          <w:noProof/>
        </w:rPr>
        <w:t xml:space="preserve">Makel, M. C., Plucker, J. A., &amp; Hegarty, B. (2012). Replications in psychology research: How often do they really occur? </w:t>
      </w:r>
      <w:r w:rsidRPr="00F350B2">
        <w:rPr>
          <w:i/>
          <w:noProof/>
        </w:rPr>
        <w:t>Perspectives on Psychological Science, 7</w:t>
      </w:r>
      <w:r w:rsidRPr="00F350B2">
        <w:rPr>
          <w:noProof/>
        </w:rPr>
        <w:t xml:space="preserve">(6), 537-542. </w:t>
      </w:r>
      <w:hyperlink r:id="rId70" w:history="1">
        <w:r w:rsidRPr="00F350B2">
          <w:rPr>
            <w:rStyle w:val="ac"/>
            <w:noProof/>
          </w:rPr>
          <w:t>https://doi.org/10.1177/1745691612460688</w:t>
        </w:r>
      </w:hyperlink>
      <w:r w:rsidRPr="00F350B2">
        <w:rPr>
          <w:noProof/>
        </w:rPr>
        <w:t xml:space="preserve"> </w:t>
      </w:r>
    </w:p>
    <w:p w14:paraId="7C5A72E2" w14:textId="77777777" w:rsidR="00F350B2" w:rsidRPr="00F350B2" w:rsidRDefault="00F350B2" w:rsidP="00F350B2">
      <w:pPr>
        <w:pStyle w:val="EndNoteBibliography"/>
        <w:rPr>
          <w:noProof/>
        </w:rPr>
      </w:pPr>
    </w:p>
    <w:p w14:paraId="46C86506" w14:textId="5543597D" w:rsidR="00F350B2" w:rsidRPr="00F350B2" w:rsidRDefault="00F350B2" w:rsidP="00F350B2">
      <w:pPr>
        <w:pStyle w:val="EndNoteBibliography"/>
        <w:ind w:left="720" w:hanging="720"/>
        <w:rPr>
          <w:noProof/>
        </w:rPr>
      </w:pPr>
      <w:r w:rsidRPr="00F350B2">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F350B2">
        <w:rPr>
          <w:i/>
          <w:noProof/>
        </w:rPr>
        <w:t>Frontiers in Neuroscience, 14</w:t>
      </w:r>
      <w:r w:rsidRPr="00F350B2">
        <w:rPr>
          <w:noProof/>
        </w:rPr>
        <w:t xml:space="preserve">, 683. </w:t>
      </w:r>
      <w:hyperlink r:id="rId71" w:history="1">
        <w:r w:rsidRPr="00F350B2">
          <w:rPr>
            <w:rStyle w:val="ac"/>
            <w:noProof/>
          </w:rPr>
          <w:t>https://doi.org/10.3389/fnins.2020.00683</w:t>
        </w:r>
      </w:hyperlink>
      <w:r w:rsidRPr="00F350B2">
        <w:rPr>
          <w:noProof/>
        </w:rPr>
        <w:t xml:space="preserve"> </w:t>
      </w:r>
    </w:p>
    <w:p w14:paraId="59DC4557" w14:textId="77777777" w:rsidR="00F350B2" w:rsidRPr="00F350B2" w:rsidRDefault="00F350B2" w:rsidP="00F350B2">
      <w:pPr>
        <w:pStyle w:val="EndNoteBibliography"/>
        <w:rPr>
          <w:noProof/>
        </w:rPr>
      </w:pPr>
    </w:p>
    <w:p w14:paraId="7705BDF3" w14:textId="77777777" w:rsidR="00F350B2" w:rsidRPr="00F350B2" w:rsidRDefault="00F350B2" w:rsidP="00F350B2">
      <w:pPr>
        <w:pStyle w:val="EndNoteBibliography"/>
        <w:ind w:left="720" w:hanging="720"/>
        <w:rPr>
          <w:noProof/>
        </w:rPr>
      </w:pPr>
      <w:r w:rsidRPr="00F350B2">
        <w:rPr>
          <w:noProof/>
        </w:rPr>
        <w:t xml:space="preserve">Mei, N., Rahnev, D., &amp; Soto, D. (2023). Using serial dependence to predict confidence across observers and cognitive domains. </w:t>
      </w:r>
      <w:r w:rsidRPr="00F350B2">
        <w:rPr>
          <w:i/>
          <w:noProof/>
        </w:rPr>
        <w:t>Psychonomic Bulletin &amp; Review</w:t>
      </w:r>
      <w:r w:rsidRPr="00F350B2">
        <w:rPr>
          <w:noProof/>
        </w:rPr>
        <w:t xml:space="preserve">, 1-13. </w:t>
      </w:r>
    </w:p>
    <w:p w14:paraId="01F9488B" w14:textId="77777777" w:rsidR="00F350B2" w:rsidRPr="00F350B2" w:rsidRDefault="00F350B2" w:rsidP="00F350B2">
      <w:pPr>
        <w:pStyle w:val="EndNoteBibliography"/>
        <w:rPr>
          <w:noProof/>
        </w:rPr>
      </w:pPr>
    </w:p>
    <w:p w14:paraId="09F4BBDD" w14:textId="77777777" w:rsidR="00F350B2" w:rsidRPr="00F350B2" w:rsidRDefault="00F350B2" w:rsidP="00F350B2">
      <w:pPr>
        <w:pStyle w:val="EndNoteBibliography"/>
        <w:ind w:left="720" w:hanging="720"/>
        <w:rPr>
          <w:noProof/>
        </w:rPr>
      </w:pPr>
      <w:r w:rsidRPr="00F350B2">
        <w:rPr>
          <w:noProof/>
        </w:rPr>
        <w:t xml:space="preserve">Mollon, J. D., Bosten, J. M., Peterzell, D. H., &amp; Webster, M. A. (2017). Individual differences in visual science: What can be learned and what is good experimental practice? </w:t>
      </w:r>
      <w:r w:rsidRPr="00F350B2">
        <w:rPr>
          <w:i/>
          <w:noProof/>
        </w:rPr>
        <w:t>Vision research, 141</w:t>
      </w:r>
      <w:r w:rsidRPr="00F350B2">
        <w:rPr>
          <w:noProof/>
        </w:rPr>
        <w:t xml:space="preserve">, 4-15. </w:t>
      </w:r>
    </w:p>
    <w:p w14:paraId="4AF3F70E" w14:textId="77777777" w:rsidR="00F350B2" w:rsidRPr="00F350B2" w:rsidRDefault="00F350B2" w:rsidP="00F350B2">
      <w:pPr>
        <w:pStyle w:val="EndNoteBibliography"/>
        <w:rPr>
          <w:noProof/>
        </w:rPr>
      </w:pPr>
    </w:p>
    <w:p w14:paraId="29F5881B" w14:textId="4AAFF33D" w:rsidR="00F350B2" w:rsidRPr="00F350B2" w:rsidRDefault="00F350B2" w:rsidP="00F350B2">
      <w:pPr>
        <w:pStyle w:val="EndNoteBibliography"/>
        <w:ind w:left="720" w:hanging="720"/>
        <w:rPr>
          <w:noProof/>
        </w:rPr>
      </w:pPr>
      <w:r w:rsidRPr="00F350B2">
        <w:rPr>
          <w:noProof/>
        </w:rPr>
        <w:t xml:space="preserve">Moray, N. (1959). Attention in dichotic listening: Affective cues and the influence of instructions. </w:t>
      </w:r>
      <w:r w:rsidRPr="00F350B2">
        <w:rPr>
          <w:i/>
          <w:noProof/>
        </w:rPr>
        <w:t>Quarterly journal of experimental psychology, 11</w:t>
      </w:r>
      <w:r w:rsidRPr="00F350B2">
        <w:rPr>
          <w:noProof/>
        </w:rPr>
        <w:t xml:space="preserve">(1), 56-60. </w:t>
      </w:r>
      <w:hyperlink r:id="rId72" w:history="1">
        <w:r w:rsidRPr="00F350B2">
          <w:rPr>
            <w:rStyle w:val="ac"/>
            <w:noProof/>
          </w:rPr>
          <w:t>https://doi.org/10.1080/17470215908416289</w:t>
        </w:r>
      </w:hyperlink>
      <w:r w:rsidRPr="00F350B2">
        <w:rPr>
          <w:noProof/>
        </w:rPr>
        <w:t xml:space="preserve"> </w:t>
      </w:r>
    </w:p>
    <w:p w14:paraId="1FF57C4F" w14:textId="77777777" w:rsidR="00F350B2" w:rsidRPr="00F350B2" w:rsidRDefault="00F350B2" w:rsidP="00F350B2">
      <w:pPr>
        <w:pStyle w:val="EndNoteBibliography"/>
        <w:rPr>
          <w:noProof/>
        </w:rPr>
      </w:pPr>
    </w:p>
    <w:p w14:paraId="3D43C1C7" w14:textId="0E943D87" w:rsidR="00F350B2" w:rsidRPr="00F350B2" w:rsidRDefault="00F350B2" w:rsidP="00F350B2">
      <w:pPr>
        <w:pStyle w:val="EndNoteBibliography"/>
        <w:ind w:left="720" w:hanging="720"/>
        <w:rPr>
          <w:noProof/>
        </w:rPr>
      </w:pPr>
      <w:r w:rsidRPr="00F350B2">
        <w:rPr>
          <w:noProof/>
        </w:rPr>
        <w:lastRenderedPageBreak/>
        <w:t xml:space="preserve">Navon, M., &amp; Makovski, T. (2021). Are Self-related Items Unique? the Self-prioritization Effect Revisited. </w:t>
      </w:r>
      <w:hyperlink r:id="rId73" w:history="1">
        <w:r w:rsidRPr="00F350B2">
          <w:rPr>
            <w:rStyle w:val="ac"/>
            <w:noProof/>
          </w:rPr>
          <w:t>https://doi.org/10.31234/osf.io/9dzm4</w:t>
        </w:r>
      </w:hyperlink>
      <w:r w:rsidRPr="00F350B2">
        <w:rPr>
          <w:noProof/>
        </w:rPr>
        <w:t xml:space="preserve"> </w:t>
      </w:r>
    </w:p>
    <w:p w14:paraId="6B90C8A1" w14:textId="77777777" w:rsidR="00F350B2" w:rsidRPr="00F350B2" w:rsidRDefault="00F350B2" w:rsidP="00F350B2">
      <w:pPr>
        <w:pStyle w:val="EndNoteBibliography"/>
        <w:rPr>
          <w:noProof/>
        </w:rPr>
      </w:pPr>
    </w:p>
    <w:p w14:paraId="0674B132" w14:textId="6AE15818" w:rsidR="00F350B2" w:rsidRPr="00F350B2" w:rsidRDefault="00F350B2" w:rsidP="00F350B2">
      <w:pPr>
        <w:pStyle w:val="EndNoteBibliography"/>
        <w:ind w:left="720" w:hanging="720"/>
        <w:rPr>
          <w:noProof/>
        </w:rPr>
      </w:pPr>
      <w:r w:rsidRPr="00F350B2">
        <w:rPr>
          <w:noProof/>
        </w:rPr>
        <w:t xml:space="preserve">Nijhof, A. D., &amp; Bird, G. (2019). Self‐processing in individuals with autism spectrum disorder. </w:t>
      </w:r>
      <w:r w:rsidRPr="00F350B2">
        <w:rPr>
          <w:i/>
          <w:noProof/>
        </w:rPr>
        <w:t>Autism research, 12</w:t>
      </w:r>
      <w:r w:rsidRPr="00F350B2">
        <w:rPr>
          <w:noProof/>
        </w:rPr>
        <w:t xml:space="preserve">(11), 1580-1584. </w:t>
      </w:r>
      <w:hyperlink r:id="rId74" w:history="1">
        <w:r w:rsidRPr="00F350B2">
          <w:rPr>
            <w:rStyle w:val="ac"/>
            <w:noProof/>
          </w:rPr>
          <w:t>https://doi.org/10.1002/aur.2200</w:t>
        </w:r>
      </w:hyperlink>
      <w:r w:rsidRPr="00F350B2">
        <w:rPr>
          <w:noProof/>
        </w:rPr>
        <w:t xml:space="preserve"> </w:t>
      </w:r>
    </w:p>
    <w:p w14:paraId="37FECBE6" w14:textId="77777777" w:rsidR="00F350B2" w:rsidRPr="00F350B2" w:rsidRDefault="00F350B2" w:rsidP="00F350B2">
      <w:pPr>
        <w:pStyle w:val="EndNoteBibliography"/>
        <w:rPr>
          <w:noProof/>
        </w:rPr>
      </w:pPr>
    </w:p>
    <w:p w14:paraId="1B2979BF" w14:textId="000DC4C1" w:rsidR="00F350B2" w:rsidRPr="00F350B2" w:rsidRDefault="00F350B2" w:rsidP="00F350B2">
      <w:pPr>
        <w:pStyle w:val="EndNoteBibliography"/>
        <w:ind w:left="720" w:hanging="720"/>
        <w:rPr>
          <w:noProof/>
        </w:rPr>
      </w:pPr>
      <w:r w:rsidRPr="00F350B2">
        <w:rPr>
          <w:noProof/>
        </w:rPr>
        <w:t xml:space="preserve">Orellana-Corrales, G., Matschke, C., &amp; Wesslein, A.-K. Does Self-Associating a Geometric Shape Immediately Cause Attentional Prioritization? Comparing Familiar vs. Recently Self-Associated Stimuli in the Dot-Probe Task. </w:t>
      </w:r>
      <w:hyperlink r:id="rId75" w:history="1">
        <w:r w:rsidRPr="00F350B2">
          <w:rPr>
            <w:rStyle w:val="ac"/>
            <w:noProof/>
          </w:rPr>
          <w:t>https://doi.org/10.1027/1618-3169/a000502</w:t>
        </w:r>
      </w:hyperlink>
      <w:r w:rsidRPr="00F350B2">
        <w:rPr>
          <w:noProof/>
        </w:rPr>
        <w:t xml:space="preserve"> </w:t>
      </w:r>
    </w:p>
    <w:p w14:paraId="561EE57D" w14:textId="77777777" w:rsidR="00F350B2" w:rsidRPr="00F350B2" w:rsidRDefault="00F350B2" w:rsidP="00F350B2">
      <w:pPr>
        <w:pStyle w:val="EndNoteBibliography"/>
        <w:rPr>
          <w:noProof/>
        </w:rPr>
      </w:pPr>
    </w:p>
    <w:p w14:paraId="14148C88" w14:textId="77777777" w:rsidR="00F350B2" w:rsidRPr="00F350B2" w:rsidRDefault="00F350B2" w:rsidP="00F350B2">
      <w:pPr>
        <w:pStyle w:val="EndNoteBibliography"/>
        <w:ind w:left="720" w:hanging="720"/>
        <w:rPr>
          <w:noProof/>
        </w:rPr>
      </w:pPr>
      <w:r w:rsidRPr="00F350B2">
        <w:rPr>
          <w:noProof/>
        </w:rPr>
        <w:t xml:space="preserve">Oswald, F. L., McAbee, S. T., Redick, T. S., &amp; Hambrick, D. Z. (2015). The development of a short domain-general measure of working memory capacity. </w:t>
      </w:r>
      <w:r w:rsidRPr="00F350B2">
        <w:rPr>
          <w:i/>
          <w:noProof/>
        </w:rPr>
        <w:t>Behavior Research Methods, 47</w:t>
      </w:r>
      <w:r w:rsidRPr="00F350B2">
        <w:rPr>
          <w:noProof/>
        </w:rPr>
        <w:t xml:space="preserve">, 1343-1355. </w:t>
      </w:r>
    </w:p>
    <w:p w14:paraId="41C2EA1F" w14:textId="77777777" w:rsidR="00F350B2" w:rsidRPr="00F350B2" w:rsidRDefault="00F350B2" w:rsidP="00F350B2">
      <w:pPr>
        <w:pStyle w:val="EndNoteBibliography"/>
        <w:rPr>
          <w:noProof/>
        </w:rPr>
      </w:pPr>
    </w:p>
    <w:p w14:paraId="731C6B9D" w14:textId="77777777" w:rsidR="00F350B2" w:rsidRPr="00F350B2" w:rsidRDefault="00F350B2" w:rsidP="00F350B2">
      <w:pPr>
        <w:pStyle w:val="EndNoteBibliography"/>
        <w:ind w:left="720" w:hanging="720"/>
        <w:rPr>
          <w:noProof/>
        </w:rPr>
      </w:pPr>
      <w:r w:rsidRPr="00F350B2">
        <w:rPr>
          <w:noProof/>
        </w:rPr>
        <w:t xml:space="preserve">Parsons, S., Kruijt, A.-W., &amp; Fox, E. (2019). Psychological science needs a standard practice of reporting the reliability of cognitive-behavioral measurements. </w:t>
      </w:r>
      <w:r w:rsidRPr="00F350B2">
        <w:rPr>
          <w:i/>
          <w:noProof/>
        </w:rPr>
        <w:t>Advances in methods and practices in psychological science, 2</w:t>
      </w:r>
      <w:r w:rsidRPr="00F350B2">
        <w:rPr>
          <w:noProof/>
        </w:rPr>
        <w:t xml:space="preserve">(4), 378-395. </w:t>
      </w:r>
    </w:p>
    <w:p w14:paraId="14A5A4A2" w14:textId="77777777" w:rsidR="00F350B2" w:rsidRPr="00F350B2" w:rsidRDefault="00F350B2" w:rsidP="00F350B2">
      <w:pPr>
        <w:pStyle w:val="EndNoteBibliography"/>
        <w:rPr>
          <w:noProof/>
        </w:rPr>
      </w:pPr>
    </w:p>
    <w:p w14:paraId="4907BD0F" w14:textId="77777777" w:rsidR="00F350B2" w:rsidRPr="00F350B2" w:rsidRDefault="00F350B2" w:rsidP="00F350B2">
      <w:pPr>
        <w:pStyle w:val="EndNoteBibliography"/>
        <w:ind w:left="720" w:hanging="720"/>
        <w:rPr>
          <w:noProof/>
        </w:rPr>
      </w:pPr>
      <w:r w:rsidRPr="00F350B2">
        <w:rPr>
          <w:noProof/>
        </w:rPr>
        <w:t xml:space="preserve">Pascucci, D., Tanrikulu, Ö. D., Ozkirli, A., Houborg, C., Ceylan, G., Zerr, P., Rafiei, M., &amp; Kristjánsson, Á. (2023). Serial dependence in visual perception: A review. </w:t>
      </w:r>
      <w:r w:rsidRPr="00F350B2">
        <w:rPr>
          <w:i/>
          <w:noProof/>
        </w:rPr>
        <w:t>Journal of Vision, 23</w:t>
      </w:r>
      <w:r w:rsidRPr="00F350B2">
        <w:rPr>
          <w:noProof/>
        </w:rPr>
        <w:t xml:space="preserve">(1), 9-9. </w:t>
      </w:r>
    </w:p>
    <w:p w14:paraId="3EB5593E" w14:textId="77777777" w:rsidR="00F350B2" w:rsidRPr="00F350B2" w:rsidRDefault="00F350B2" w:rsidP="00F350B2">
      <w:pPr>
        <w:pStyle w:val="EndNoteBibliography"/>
        <w:rPr>
          <w:noProof/>
        </w:rPr>
      </w:pPr>
    </w:p>
    <w:p w14:paraId="274745AE" w14:textId="1C002CB8" w:rsidR="00F350B2" w:rsidRPr="00F350B2" w:rsidRDefault="00F350B2" w:rsidP="00F350B2">
      <w:pPr>
        <w:pStyle w:val="EndNoteBibliography"/>
        <w:ind w:left="720" w:hanging="720"/>
        <w:rPr>
          <w:noProof/>
        </w:rPr>
      </w:pPr>
      <w:r w:rsidRPr="00F350B2">
        <w:rPr>
          <w:noProof/>
        </w:rPr>
        <w:t xml:space="preserve">Payne, B., Lavan, N., Knight, S., &amp; McGettigan, C. (2021). Perceptual prioritization of self‐associated voices. </w:t>
      </w:r>
      <w:r w:rsidRPr="00F350B2">
        <w:rPr>
          <w:i/>
          <w:noProof/>
        </w:rPr>
        <w:t>British Journal of Psychology, 112</w:t>
      </w:r>
      <w:r w:rsidRPr="00F350B2">
        <w:rPr>
          <w:noProof/>
        </w:rPr>
        <w:t xml:space="preserve">(3), 585-610. </w:t>
      </w:r>
      <w:hyperlink r:id="rId76" w:history="1">
        <w:r w:rsidRPr="00F350B2">
          <w:rPr>
            <w:rStyle w:val="ac"/>
            <w:noProof/>
          </w:rPr>
          <w:t>https://doi.org/10.1111/bjop.12479</w:t>
        </w:r>
      </w:hyperlink>
      <w:r w:rsidRPr="00F350B2">
        <w:rPr>
          <w:noProof/>
        </w:rPr>
        <w:t xml:space="preserve"> </w:t>
      </w:r>
    </w:p>
    <w:p w14:paraId="2F162C98" w14:textId="77777777" w:rsidR="00F350B2" w:rsidRPr="00F350B2" w:rsidRDefault="00F350B2" w:rsidP="00F350B2">
      <w:pPr>
        <w:pStyle w:val="EndNoteBibliography"/>
        <w:rPr>
          <w:noProof/>
        </w:rPr>
      </w:pPr>
    </w:p>
    <w:p w14:paraId="6ABCE647" w14:textId="77777777" w:rsidR="00F350B2" w:rsidRPr="00F350B2" w:rsidRDefault="00F350B2" w:rsidP="00F350B2">
      <w:pPr>
        <w:pStyle w:val="EndNoteBibliography"/>
        <w:ind w:left="720" w:hanging="720"/>
        <w:rPr>
          <w:noProof/>
        </w:rPr>
      </w:pPr>
      <w:r w:rsidRPr="00F350B2">
        <w:rPr>
          <w:noProof/>
        </w:rPr>
        <w:t xml:space="preserve">Pedersen, M. L., &amp; Frank, M. J. (2020). Simultaneous hierarchical bayesian parameter estimation for reinforcement learning and drift diffusion models: a tutorial and links to neural data. </w:t>
      </w:r>
      <w:r w:rsidRPr="00F350B2">
        <w:rPr>
          <w:i/>
          <w:noProof/>
        </w:rPr>
        <w:t>Computational Brain &amp; Behavior, 3</w:t>
      </w:r>
      <w:r w:rsidRPr="00F350B2">
        <w:rPr>
          <w:noProof/>
        </w:rPr>
        <w:t xml:space="preserve">, 458-471. </w:t>
      </w:r>
    </w:p>
    <w:p w14:paraId="4DD89D4C" w14:textId="77777777" w:rsidR="00F350B2" w:rsidRPr="00F350B2" w:rsidRDefault="00F350B2" w:rsidP="00F350B2">
      <w:pPr>
        <w:pStyle w:val="EndNoteBibliography"/>
        <w:rPr>
          <w:noProof/>
        </w:rPr>
      </w:pPr>
    </w:p>
    <w:p w14:paraId="08CD3987" w14:textId="7F30F397" w:rsidR="00F350B2" w:rsidRPr="00F350B2" w:rsidRDefault="00F350B2" w:rsidP="00F350B2">
      <w:pPr>
        <w:pStyle w:val="EndNoteBibliography"/>
        <w:ind w:left="720" w:hanging="720"/>
        <w:rPr>
          <w:noProof/>
        </w:rPr>
      </w:pPr>
      <w:r w:rsidRPr="00F350B2">
        <w:rPr>
          <w:noProof/>
        </w:rPr>
        <w:t xml:space="preserve">Pronk, T., Molenaar, D., Wiers, R. W., &amp; Murre, J. (2022). Methods to split cognitive task data for estimating split-half reliability: A comprehensive review and systematic assessment. </w:t>
      </w:r>
      <w:r w:rsidRPr="00F350B2">
        <w:rPr>
          <w:i/>
          <w:noProof/>
        </w:rPr>
        <w:t>Psychonomic Bulletin &amp; Review, 29</w:t>
      </w:r>
      <w:r w:rsidRPr="00F350B2">
        <w:rPr>
          <w:noProof/>
        </w:rPr>
        <w:t xml:space="preserve">(1), 44-54. </w:t>
      </w:r>
      <w:hyperlink r:id="rId77" w:history="1">
        <w:r w:rsidRPr="00F350B2">
          <w:rPr>
            <w:rStyle w:val="ac"/>
            <w:noProof/>
          </w:rPr>
          <w:t>https://doi.org/10.3758/s13423-021-01948-3</w:t>
        </w:r>
      </w:hyperlink>
      <w:r w:rsidRPr="00F350B2">
        <w:rPr>
          <w:noProof/>
        </w:rPr>
        <w:t xml:space="preserve"> </w:t>
      </w:r>
    </w:p>
    <w:p w14:paraId="4CFDF2D9" w14:textId="77777777" w:rsidR="00F350B2" w:rsidRPr="00F350B2" w:rsidRDefault="00F350B2" w:rsidP="00F350B2">
      <w:pPr>
        <w:pStyle w:val="EndNoteBibliography"/>
        <w:rPr>
          <w:noProof/>
        </w:rPr>
      </w:pPr>
    </w:p>
    <w:p w14:paraId="36CD5BB0" w14:textId="069078E7" w:rsidR="00F350B2" w:rsidRPr="00F350B2" w:rsidRDefault="00F350B2" w:rsidP="00F350B2">
      <w:pPr>
        <w:pStyle w:val="EndNoteBibliography"/>
        <w:ind w:left="720" w:hanging="720"/>
        <w:rPr>
          <w:noProof/>
        </w:rPr>
      </w:pPr>
      <w:r w:rsidRPr="00F350B2">
        <w:rPr>
          <w:noProof/>
        </w:rPr>
        <w:t xml:space="preserve">Qian, H., Wang, Z., Li, C., &amp; Gao, X. (2020). Prioritised self-referential processing is modulated by emotional arousal. </w:t>
      </w:r>
      <w:r w:rsidRPr="00F350B2">
        <w:rPr>
          <w:i/>
          <w:noProof/>
        </w:rPr>
        <w:t>Quarterly journal of experimental psychology, 73</w:t>
      </w:r>
      <w:r w:rsidRPr="00F350B2">
        <w:rPr>
          <w:noProof/>
        </w:rPr>
        <w:t xml:space="preserve">(5), 688-697. </w:t>
      </w:r>
      <w:hyperlink r:id="rId78" w:history="1">
        <w:r w:rsidRPr="00F350B2">
          <w:rPr>
            <w:rStyle w:val="ac"/>
            <w:noProof/>
          </w:rPr>
          <w:t>https://doi.org/10.1177/1747021819892158</w:t>
        </w:r>
      </w:hyperlink>
      <w:r w:rsidRPr="00F350B2">
        <w:rPr>
          <w:noProof/>
        </w:rPr>
        <w:t xml:space="preserve"> </w:t>
      </w:r>
    </w:p>
    <w:p w14:paraId="518B6024" w14:textId="77777777" w:rsidR="00F350B2" w:rsidRPr="00F350B2" w:rsidRDefault="00F350B2" w:rsidP="00F350B2">
      <w:pPr>
        <w:pStyle w:val="EndNoteBibliography"/>
        <w:rPr>
          <w:noProof/>
        </w:rPr>
      </w:pPr>
    </w:p>
    <w:p w14:paraId="0F746089" w14:textId="07B6D90C" w:rsidR="00F350B2" w:rsidRPr="00F350B2" w:rsidRDefault="00F350B2" w:rsidP="00F350B2">
      <w:pPr>
        <w:pStyle w:val="EndNoteBibliography"/>
        <w:ind w:left="720" w:hanging="720"/>
        <w:rPr>
          <w:noProof/>
        </w:rPr>
      </w:pPr>
      <w:r w:rsidRPr="00F350B2">
        <w:rPr>
          <w:noProof/>
        </w:rPr>
        <w:t xml:space="preserve">R Core Team. (2023). R: A Language and Environment for Statistical Computing. </w:t>
      </w:r>
      <w:hyperlink r:id="rId79" w:history="1">
        <w:r w:rsidRPr="00F350B2">
          <w:rPr>
            <w:rStyle w:val="ac"/>
            <w:noProof/>
          </w:rPr>
          <w:t>https://www.R-project.org/</w:t>
        </w:r>
      </w:hyperlink>
      <w:r w:rsidRPr="00F350B2">
        <w:rPr>
          <w:noProof/>
        </w:rPr>
        <w:t xml:space="preserve"> </w:t>
      </w:r>
    </w:p>
    <w:p w14:paraId="11133E1B" w14:textId="77777777" w:rsidR="00F350B2" w:rsidRPr="00F350B2" w:rsidRDefault="00F350B2" w:rsidP="00F350B2">
      <w:pPr>
        <w:pStyle w:val="EndNoteBibliography"/>
        <w:rPr>
          <w:noProof/>
        </w:rPr>
      </w:pPr>
    </w:p>
    <w:p w14:paraId="053DB53C" w14:textId="77777777" w:rsidR="00F350B2" w:rsidRPr="00F350B2" w:rsidRDefault="00F350B2" w:rsidP="00F350B2">
      <w:pPr>
        <w:pStyle w:val="EndNoteBibliography"/>
        <w:ind w:left="720" w:hanging="720"/>
        <w:rPr>
          <w:noProof/>
        </w:rPr>
      </w:pPr>
      <w:r w:rsidRPr="00F350B2">
        <w:rPr>
          <w:noProof/>
        </w:rPr>
        <w:t xml:space="preserve">Rad, M. S., Martingano, A. J., &amp; Ginges, J. (2018). Toward a psychology of Homo sapiens: Making psychological science more representative of the human population. </w:t>
      </w:r>
      <w:r w:rsidRPr="00F350B2">
        <w:rPr>
          <w:i/>
          <w:noProof/>
        </w:rPr>
        <w:t>Proceedings of the National Academy of Sciences, 115</w:t>
      </w:r>
      <w:r w:rsidRPr="00F350B2">
        <w:rPr>
          <w:noProof/>
        </w:rPr>
        <w:t xml:space="preserve">(45), 11401-11405. </w:t>
      </w:r>
    </w:p>
    <w:p w14:paraId="5FDFE9C8" w14:textId="77777777" w:rsidR="00F350B2" w:rsidRPr="00F350B2" w:rsidRDefault="00F350B2" w:rsidP="00F350B2">
      <w:pPr>
        <w:pStyle w:val="EndNoteBibliography"/>
        <w:rPr>
          <w:noProof/>
        </w:rPr>
      </w:pPr>
    </w:p>
    <w:p w14:paraId="4689BCCF" w14:textId="77777777" w:rsidR="00F350B2" w:rsidRPr="00F350B2" w:rsidRDefault="00F350B2" w:rsidP="00F350B2">
      <w:pPr>
        <w:pStyle w:val="EndNoteBibliography"/>
        <w:ind w:left="720" w:hanging="720"/>
        <w:rPr>
          <w:noProof/>
        </w:rPr>
      </w:pPr>
      <w:r w:rsidRPr="00F350B2">
        <w:rPr>
          <w:noProof/>
        </w:rPr>
        <w:t xml:space="preserve">Ratcliff, R. (1978). A theory of memory retrieval. </w:t>
      </w:r>
      <w:r w:rsidRPr="00F350B2">
        <w:rPr>
          <w:i/>
          <w:noProof/>
        </w:rPr>
        <w:t>Psychological review, 85</w:t>
      </w:r>
      <w:r w:rsidRPr="00F350B2">
        <w:rPr>
          <w:noProof/>
        </w:rPr>
        <w:t xml:space="preserve">(2), 59. </w:t>
      </w:r>
    </w:p>
    <w:p w14:paraId="55C370E1" w14:textId="77777777" w:rsidR="00F350B2" w:rsidRPr="00F350B2" w:rsidRDefault="00F350B2" w:rsidP="00F350B2">
      <w:pPr>
        <w:pStyle w:val="EndNoteBibliography"/>
        <w:rPr>
          <w:noProof/>
        </w:rPr>
      </w:pPr>
    </w:p>
    <w:p w14:paraId="5261E687" w14:textId="77777777" w:rsidR="00F350B2" w:rsidRPr="00F350B2" w:rsidRDefault="00F350B2" w:rsidP="00F350B2">
      <w:pPr>
        <w:pStyle w:val="EndNoteBibliography"/>
        <w:ind w:left="720" w:hanging="720"/>
        <w:rPr>
          <w:noProof/>
        </w:rPr>
      </w:pPr>
      <w:r w:rsidRPr="00F350B2">
        <w:rPr>
          <w:noProof/>
        </w:rPr>
        <w:t xml:space="preserve">Ratcliff, R., Smith, P. L., Brown, S. D., &amp; McKoon, G. (2016). Diffusion decision model: Current issues and history. </w:t>
      </w:r>
      <w:r w:rsidRPr="00F350B2">
        <w:rPr>
          <w:i/>
          <w:noProof/>
        </w:rPr>
        <w:t>Trends in cognitive sciences, 20</w:t>
      </w:r>
      <w:r w:rsidRPr="00F350B2">
        <w:rPr>
          <w:noProof/>
        </w:rPr>
        <w:t xml:space="preserve">(4), 260-281. </w:t>
      </w:r>
    </w:p>
    <w:p w14:paraId="6F88C1C1" w14:textId="77777777" w:rsidR="00F350B2" w:rsidRPr="00F350B2" w:rsidRDefault="00F350B2" w:rsidP="00F350B2">
      <w:pPr>
        <w:pStyle w:val="EndNoteBibliography"/>
        <w:rPr>
          <w:noProof/>
        </w:rPr>
      </w:pPr>
    </w:p>
    <w:p w14:paraId="365B66A9" w14:textId="44D930C7" w:rsidR="00F350B2" w:rsidRPr="00F350B2" w:rsidRDefault="00F350B2" w:rsidP="00F350B2">
      <w:pPr>
        <w:pStyle w:val="EndNoteBibliography"/>
        <w:ind w:left="720" w:hanging="720"/>
        <w:rPr>
          <w:noProof/>
        </w:rPr>
      </w:pPr>
      <w:r w:rsidRPr="00F350B2">
        <w:rPr>
          <w:noProof/>
        </w:rPr>
        <w:t xml:space="preserve">Revelle, W. R. (2017). psych: Procedures for personality and psychological research. </w:t>
      </w:r>
      <w:hyperlink r:id="rId80" w:history="1">
        <w:r w:rsidRPr="00F350B2">
          <w:rPr>
            <w:rStyle w:val="ac"/>
            <w:noProof/>
          </w:rPr>
          <w:t>https://CRAN.R-project.org/package=psych</w:t>
        </w:r>
      </w:hyperlink>
      <w:r w:rsidRPr="00F350B2">
        <w:rPr>
          <w:noProof/>
        </w:rPr>
        <w:t xml:space="preserve"> </w:t>
      </w:r>
    </w:p>
    <w:p w14:paraId="656B3631" w14:textId="77777777" w:rsidR="00F350B2" w:rsidRPr="00F350B2" w:rsidRDefault="00F350B2" w:rsidP="00F350B2">
      <w:pPr>
        <w:pStyle w:val="EndNoteBibliography"/>
        <w:rPr>
          <w:noProof/>
        </w:rPr>
      </w:pPr>
    </w:p>
    <w:p w14:paraId="567A7A14" w14:textId="6297106B" w:rsidR="00F350B2" w:rsidRPr="00F350B2" w:rsidRDefault="00F350B2" w:rsidP="00F350B2">
      <w:pPr>
        <w:pStyle w:val="EndNoteBibliography"/>
        <w:ind w:left="720" w:hanging="720"/>
        <w:rPr>
          <w:noProof/>
        </w:rPr>
      </w:pPr>
      <w:r w:rsidRPr="00F350B2">
        <w:rPr>
          <w:noProof/>
        </w:rPr>
        <w:t xml:space="preserve">Rogers, T. B., Kuiper, N. A., &amp; Kirker, W. S. (1977, Sep). Self-reference and the encoding of personal information. </w:t>
      </w:r>
      <w:r w:rsidRPr="00F350B2">
        <w:rPr>
          <w:i/>
          <w:noProof/>
        </w:rPr>
        <w:t>J Pers Soc Psychol, 35</w:t>
      </w:r>
      <w:r w:rsidRPr="00F350B2">
        <w:rPr>
          <w:noProof/>
        </w:rPr>
        <w:t xml:space="preserve">(9), 677-688. </w:t>
      </w:r>
      <w:hyperlink r:id="rId81" w:history="1">
        <w:r w:rsidRPr="00F350B2">
          <w:rPr>
            <w:rStyle w:val="ac"/>
            <w:noProof/>
          </w:rPr>
          <w:t>https://doi.org/10.1037//0022-3514.35.9.677</w:t>
        </w:r>
      </w:hyperlink>
      <w:r w:rsidRPr="00F350B2">
        <w:rPr>
          <w:noProof/>
        </w:rPr>
        <w:t xml:space="preserve"> </w:t>
      </w:r>
    </w:p>
    <w:p w14:paraId="23E549BB" w14:textId="77777777" w:rsidR="00F350B2" w:rsidRPr="00F350B2" w:rsidRDefault="00F350B2" w:rsidP="00F350B2">
      <w:pPr>
        <w:pStyle w:val="EndNoteBibliography"/>
        <w:rPr>
          <w:noProof/>
        </w:rPr>
      </w:pPr>
    </w:p>
    <w:p w14:paraId="7F93593E" w14:textId="34ACA72D" w:rsidR="00F350B2" w:rsidRPr="00F350B2" w:rsidRDefault="00F350B2" w:rsidP="00F350B2">
      <w:pPr>
        <w:pStyle w:val="EndNoteBibliography"/>
        <w:ind w:left="720" w:hanging="720"/>
        <w:rPr>
          <w:noProof/>
        </w:rPr>
      </w:pPr>
      <w:r w:rsidRPr="00F350B2">
        <w:rPr>
          <w:noProof/>
        </w:rPr>
        <w:t xml:space="preserve">Schäfer, S., &amp; Frings, C. (2019). Understanding self-prioritisation: The prioritisation of self-relevant stimuli and its relation to the individual self-esteem. </w:t>
      </w:r>
      <w:r w:rsidRPr="00F350B2">
        <w:rPr>
          <w:i/>
          <w:noProof/>
        </w:rPr>
        <w:t>Journal of cognitive psychology, 31</w:t>
      </w:r>
      <w:r w:rsidRPr="00F350B2">
        <w:rPr>
          <w:noProof/>
        </w:rPr>
        <w:t xml:space="preserve">(8), 813-824. </w:t>
      </w:r>
      <w:hyperlink r:id="rId82" w:history="1">
        <w:r w:rsidRPr="00F350B2">
          <w:rPr>
            <w:rStyle w:val="ac"/>
            <w:noProof/>
          </w:rPr>
          <w:t>https://doi.org/10.1080/20445911.2019.1686393</w:t>
        </w:r>
      </w:hyperlink>
      <w:r w:rsidRPr="00F350B2">
        <w:rPr>
          <w:noProof/>
        </w:rPr>
        <w:t xml:space="preserve"> </w:t>
      </w:r>
    </w:p>
    <w:p w14:paraId="1A3F045B" w14:textId="77777777" w:rsidR="00F350B2" w:rsidRPr="00F350B2" w:rsidRDefault="00F350B2" w:rsidP="00F350B2">
      <w:pPr>
        <w:pStyle w:val="EndNoteBibliography"/>
        <w:rPr>
          <w:noProof/>
        </w:rPr>
      </w:pPr>
    </w:p>
    <w:p w14:paraId="76018A12" w14:textId="1B6141C9" w:rsidR="00F350B2" w:rsidRPr="00F350B2" w:rsidRDefault="00F350B2" w:rsidP="00F350B2">
      <w:pPr>
        <w:pStyle w:val="EndNoteBibliography"/>
        <w:ind w:left="720" w:hanging="720"/>
        <w:rPr>
          <w:noProof/>
        </w:rPr>
      </w:pPr>
      <w:r w:rsidRPr="00F350B2">
        <w:rPr>
          <w:noProof/>
        </w:rPr>
        <w:t xml:space="preserve">Shapiro, K. L., Caldwell, J., &amp; Sorensen, R. E. (1997). Personal names and the attentional blink: a visual "cocktail party" effect. </w:t>
      </w:r>
      <w:r w:rsidRPr="00F350B2">
        <w:rPr>
          <w:i/>
          <w:noProof/>
        </w:rPr>
        <w:t>J Exp Psychol Hum Percept Perform, 23</w:t>
      </w:r>
      <w:r w:rsidRPr="00F350B2">
        <w:rPr>
          <w:noProof/>
        </w:rPr>
        <w:t xml:space="preserve">(2), 504-514. </w:t>
      </w:r>
      <w:hyperlink r:id="rId83" w:history="1">
        <w:r w:rsidRPr="00F350B2">
          <w:rPr>
            <w:rStyle w:val="ac"/>
            <w:noProof/>
          </w:rPr>
          <w:t>https://doi.org/10.1037//0096-1523.23.2.504</w:t>
        </w:r>
      </w:hyperlink>
      <w:r w:rsidRPr="00F350B2">
        <w:rPr>
          <w:noProof/>
        </w:rPr>
        <w:t xml:space="preserve"> </w:t>
      </w:r>
    </w:p>
    <w:p w14:paraId="00893B01" w14:textId="77777777" w:rsidR="00F350B2" w:rsidRPr="00F350B2" w:rsidRDefault="00F350B2" w:rsidP="00F350B2">
      <w:pPr>
        <w:pStyle w:val="EndNoteBibliography"/>
        <w:rPr>
          <w:noProof/>
        </w:rPr>
      </w:pPr>
    </w:p>
    <w:p w14:paraId="65011352" w14:textId="77777777" w:rsidR="00F350B2" w:rsidRPr="00F350B2" w:rsidRDefault="00F350B2" w:rsidP="00F350B2">
      <w:pPr>
        <w:pStyle w:val="EndNoteBibliography"/>
        <w:ind w:left="720" w:hanging="720"/>
        <w:rPr>
          <w:noProof/>
        </w:rPr>
      </w:pPr>
      <w:r w:rsidRPr="00F350B2">
        <w:rPr>
          <w:noProof/>
        </w:rPr>
        <w:t xml:space="preserve">Shinn, M., Lam, N. H., &amp; Murray, J. D. (2020). A flexible framework for simulating and fitting generalized drift-diffusion models. </w:t>
      </w:r>
      <w:r w:rsidRPr="00F350B2">
        <w:rPr>
          <w:i/>
          <w:noProof/>
        </w:rPr>
        <w:t>ELife, 9</w:t>
      </w:r>
      <w:r w:rsidRPr="00F350B2">
        <w:rPr>
          <w:noProof/>
        </w:rPr>
        <w:t xml:space="preserve">, e56938. </w:t>
      </w:r>
    </w:p>
    <w:p w14:paraId="77E83B22" w14:textId="77777777" w:rsidR="00F350B2" w:rsidRPr="00F350B2" w:rsidRDefault="00F350B2" w:rsidP="00F350B2">
      <w:pPr>
        <w:pStyle w:val="EndNoteBibliography"/>
        <w:rPr>
          <w:noProof/>
        </w:rPr>
      </w:pPr>
    </w:p>
    <w:p w14:paraId="3E07A5E3" w14:textId="77777777" w:rsidR="00F350B2" w:rsidRPr="00F350B2" w:rsidRDefault="00F350B2" w:rsidP="00F350B2">
      <w:pPr>
        <w:pStyle w:val="EndNoteBibliography"/>
        <w:ind w:left="720" w:hanging="720"/>
        <w:rPr>
          <w:noProof/>
        </w:rPr>
      </w:pPr>
      <w:r w:rsidRPr="00F350B2">
        <w:rPr>
          <w:noProof/>
        </w:rPr>
        <w:t xml:space="preserve">Siegelman, N., Bogaerts, L., &amp; Frost, R. (2017). Measuring individual differences in statistical learning: Current pitfalls and possible solutions. </w:t>
      </w:r>
      <w:r w:rsidRPr="00F350B2">
        <w:rPr>
          <w:i/>
          <w:noProof/>
        </w:rPr>
        <w:t>Behavior Research Methods, 49</w:t>
      </w:r>
      <w:r w:rsidRPr="00F350B2">
        <w:rPr>
          <w:noProof/>
        </w:rPr>
        <w:t xml:space="preserve">, 418-432. </w:t>
      </w:r>
    </w:p>
    <w:p w14:paraId="60C878D4" w14:textId="77777777" w:rsidR="00F350B2" w:rsidRPr="00F350B2" w:rsidRDefault="00F350B2" w:rsidP="00F350B2">
      <w:pPr>
        <w:pStyle w:val="EndNoteBibliography"/>
        <w:rPr>
          <w:noProof/>
        </w:rPr>
      </w:pPr>
    </w:p>
    <w:p w14:paraId="71FFE62A" w14:textId="0A37AA08" w:rsidR="00F350B2" w:rsidRPr="00F350B2" w:rsidRDefault="00F350B2" w:rsidP="00F350B2">
      <w:pPr>
        <w:pStyle w:val="EndNoteBibliography"/>
        <w:ind w:left="720" w:hanging="720"/>
        <w:rPr>
          <w:noProof/>
        </w:rPr>
      </w:pPr>
      <w:r w:rsidRPr="00F350B2">
        <w:rPr>
          <w:noProof/>
        </w:rPr>
        <w:t xml:space="preserve">Stoeber, J., &amp; Eysenck, M. W. (2008). Perfectionism and efficiency: Accuracy, response bias, and invested time in proof-reading performance. </w:t>
      </w:r>
      <w:r w:rsidRPr="00F350B2">
        <w:rPr>
          <w:i/>
          <w:noProof/>
        </w:rPr>
        <w:t>Journal of research in personality, 42</w:t>
      </w:r>
      <w:r w:rsidRPr="00F350B2">
        <w:rPr>
          <w:noProof/>
        </w:rPr>
        <w:t xml:space="preserve">(6), 1673-1678. </w:t>
      </w:r>
      <w:hyperlink r:id="rId84" w:history="1">
        <w:r w:rsidRPr="00F350B2">
          <w:rPr>
            <w:rStyle w:val="ac"/>
            <w:noProof/>
          </w:rPr>
          <w:t>https://doi.org/10.1016/j.jrp.2008.08.001</w:t>
        </w:r>
      </w:hyperlink>
      <w:r w:rsidRPr="00F350B2">
        <w:rPr>
          <w:noProof/>
        </w:rPr>
        <w:t xml:space="preserve"> </w:t>
      </w:r>
    </w:p>
    <w:p w14:paraId="53A3BC27" w14:textId="77777777" w:rsidR="00F350B2" w:rsidRPr="00F350B2" w:rsidRDefault="00F350B2" w:rsidP="00F350B2">
      <w:pPr>
        <w:pStyle w:val="EndNoteBibliography"/>
        <w:rPr>
          <w:noProof/>
        </w:rPr>
      </w:pPr>
    </w:p>
    <w:p w14:paraId="50CABA7D" w14:textId="6AABEA27" w:rsidR="00F350B2" w:rsidRPr="00F350B2" w:rsidRDefault="00F350B2" w:rsidP="00F350B2">
      <w:pPr>
        <w:pStyle w:val="EndNoteBibliography"/>
        <w:ind w:left="720" w:hanging="720"/>
        <w:rPr>
          <w:noProof/>
        </w:rPr>
      </w:pPr>
      <w:r w:rsidRPr="00F350B2">
        <w:rPr>
          <w:noProof/>
        </w:rPr>
        <w:t xml:space="preserve">Strachan, J. W., Constable, M. D., &amp; Knoblich, G. (2020). It goes with the territory: Ownership across spatial boundaries. </w:t>
      </w:r>
      <w:r w:rsidRPr="00F350B2">
        <w:rPr>
          <w:i/>
          <w:noProof/>
        </w:rPr>
        <w:t>Journal of Experimental Psychology: Human Perception and Performance, 46</w:t>
      </w:r>
      <w:r w:rsidRPr="00F350B2">
        <w:rPr>
          <w:noProof/>
        </w:rPr>
        <w:t xml:space="preserve">(8), 789. </w:t>
      </w:r>
      <w:hyperlink r:id="rId85" w:history="1">
        <w:r w:rsidRPr="00F350B2">
          <w:rPr>
            <w:rStyle w:val="ac"/>
            <w:noProof/>
          </w:rPr>
          <w:t>https://doi.org/10.1037/xhp0000742</w:t>
        </w:r>
      </w:hyperlink>
      <w:r w:rsidRPr="00F350B2">
        <w:rPr>
          <w:noProof/>
        </w:rPr>
        <w:t xml:space="preserve"> </w:t>
      </w:r>
    </w:p>
    <w:p w14:paraId="0725A8AD" w14:textId="77777777" w:rsidR="00F350B2" w:rsidRPr="00F350B2" w:rsidRDefault="00F350B2" w:rsidP="00F350B2">
      <w:pPr>
        <w:pStyle w:val="EndNoteBibliography"/>
        <w:rPr>
          <w:noProof/>
        </w:rPr>
      </w:pPr>
    </w:p>
    <w:p w14:paraId="1B194B0E" w14:textId="446ACF55" w:rsidR="00F350B2" w:rsidRPr="00F350B2" w:rsidRDefault="00F350B2" w:rsidP="00F350B2">
      <w:pPr>
        <w:pStyle w:val="EndNoteBibliography"/>
        <w:ind w:left="720" w:hanging="720"/>
        <w:rPr>
          <w:noProof/>
        </w:rPr>
      </w:pPr>
      <w:r w:rsidRPr="00F350B2">
        <w:rPr>
          <w:noProof/>
        </w:rPr>
        <w:t xml:space="preserve">Sui, J., He, X., &amp; Humphreys, G. W. (2012). Perceptual effects of social salience: Evidence from self-prioritization effects on perceptual matching. </w:t>
      </w:r>
      <w:r w:rsidRPr="00F350B2">
        <w:rPr>
          <w:i/>
          <w:noProof/>
        </w:rPr>
        <w:t>Journal of experimental psychology. Human perception and performance, 38</w:t>
      </w:r>
      <w:r w:rsidRPr="00F350B2">
        <w:rPr>
          <w:noProof/>
        </w:rPr>
        <w:t xml:space="preserve">(5), 1105-1117. </w:t>
      </w:r>
      <w:hyperlink r:id="rId86" w:history="1">
        <w:r w:rsidRPr="00F350B2">
          <w:rPr>
            <w:rStyle w:val="ac"/>
            <w:noProof/>
          </w:rPr>
          <w:t>https://doi.org/10.1037/a0029792</w:t>
        </w:r>
      </w:hyperlink>
      <w:r w:rsidRPr="00F350B2">
        <w:rPr>
          <w:noProof/>
        </w:rPr>
        <w:t xml:space="preserve"> </w:t>
      </w:r>
    </w:p>
    <w:p w14:paraId="0986EAAE" w14:textId="77777777" w:rsidR="00F350B2" w:rsidRPr="00F350B2" w:rsidRDefault="00F350B2" w:rsidP="00F350B2">
      <w:pPr>
        <w:pStyle w:val="EndNoteBibliography"/>
        <w:rPr>
          <w:noProof/>
        </w:rPr>
      </w:pPr>
    </w:p>
    <w:p w14:paraId="0590AB07" w14:textId="1E22F1BB" w:rsidR="00F350B2" w:rsidRPr="00F350B2" w:rsidRDefault="00F350B2" w:rsidP="00F350B2">
      <w:pPr>
        <w:pStyle w:val="EndNoteBibliography"/>
        <w:ind w:left="720" w:hanging="720"/>
        <w:rPr>
          <w:noProof/>
        </w:rPr>
      </w:pPr>
      <w:r w:rsidRPr="00F350B2">
        <w:rPr>
          <w:noProof/>
        </w:rPr>
        <w:t xml:space="preserve">Sui, J., &amp; Humphreys, G. W. (2013, Nov). Self-referential processing is distinct from semantic elaboration: Evidence from long-term memory effects in a patient with amnesia and semantic impairments. </w:t>
      </w:r>
      <w:r w:rsidRPr="00F350B2">
        <w:rPr>
          <w:i/>
          <w:noProof/>
        </w:rPr>
        <w:t>Neuropsychologia, 51</w:t>
      </w:r>
      <w:r w:rsidRPr="00F350B2">
        <w:rPr>
          <w:noProof/>
        </w:rPr>
        <w:t xml:space="preserve">(13), 2663-2673. </w:t>
      </w:r>
      <w:hyperlink r:id="rId87" w:history="1">
        <w:r w:rsidRPr="00F350B2">
          <w:rPr>
            <w:rStyle w:val="ac"/>
            <w:noProof/>
          </w:rPr>
          <w:t>https://doi.org/10.1016/j.neuropsychologia.2013.07.025</w:t>
        </w:r>
      </w:hyperlink>
      <w:r w:rsidRPr="00F350B2">
        <w:rPr>
          <w:noProof/>
        </w:rPr>
        <w:t xml:space="preserve"> </w:t>
      </w:r>
    </w:p>
    <w:p w14:paraId="3CF12283" w14:textId="77777777" w:rsidR="00F350B2" w:rsidRPr="00F350B2" w:rsidRDefault="00F350B2" w:rsidP="00F350B2">
      <w:pPr>
        <w:pStyle w:val="EndNoteBibliography"/>
        <w:rPr>
          <w:noProof/>
        </w:rPr>
      </w:pPr>
    </w:p>
    <w:p w14:paraId="71C75511" w14:textId="221B0E74" w:rsidR="00F350B2" w:rsidRPr="00F350B2" w:rsidRDefault="00F350B2" w:rsidP="00F350B2">
      <w:pPr>
        <w:pStyle w:val="EndNoteBibliography"/>
        <w:ind w:left="720" w:hanging="720"/>
        <w:rPr>
          <w:noProof/>
        </w:rPr>
      </w:pPr>
      <w:r w:rsidRPr="00F350B2">
        <w:rPr>
          <w:noProof/>
        </w:rPr>
        <w:lastRenderedPageBreak/>
        <w:t xml:space="preserve">Sui, J., &amp; Humphreys, G. W. (2017). The self survives extinction: Self-association biases attention in patients with visual extinction. </w:t>
      </w:r>
      <w:r w:rsidRPr="00F350B2">
        <w:rPr>
          <w:i/>
          <w:noProof/>
        </w:rPr>
        <w:t>Cortex, 95</w:t>
      </w:r>
      <w:r w:rsidRPr="00F350B2">
        <w:rPr>
          <w:noProof/>
        </w:rPr>
        <w:t xml:space="preserve">, 248-256. </w:t>
      </w:r>
      <w:hyperlink r:id="rId88" w:history="1">
        <w:r w:rsidRPr="00F350B2">
          <w:rPr>
            <w:rStyle w:val="ac"/>
            <w:noProof/>
          </w:rPr>
          <w:t>https://doi.org/10.1016/j.cortex.2017.08.006</w:t>
        </w:r>
      </w:hyperlink>
      <w:r w:rsidRPr="00F350B2">
        <w:rPr>
          <w:noProof/>
        </w:rPr>
        <w:t xml:space="preserve"> </w:t>
      </w:r>
    </w:p>
    <w:p w14:paraId="28AF3548" w14:textId="77777777" w:rsidR="00F350B2" w:rsidRPr="00F350B2" w:rsidRDefault="00F350B2" w:rsidP="00F350B2">
      <w:pPr>
        <w:pStyle w:val="EndNoteBibliography"/>
        <w:rPr>
          <w:noProof/>
        </w:rPr>
      </w:pPr>
    </w:p>
    <w:p w14:paraId="0D1A8868" w14:textId="0A70C069" w:rsidR="00F350B2" w:rsidRPr="00F350B2" w:rsidRDefault="00F350B2" w:rsidP="00F350B2">
      <w:pPr>
        <w:pStyle w:val="EndNoteBibliography"/>
        <w:ind w:left="720" w:hanging="720"/>
        <w:rPr>
          <w:noProof/>
        </w:rPr>
      </w:pPr>
      <w:r w:rsidRPr="00F350B2">
        <w:rPr>
          <w:noProof/>
        </w:rPr>
        <w:t xml:space="preserve">Svensson, S. L., Golubickis, M., Maclean, H., Falbén, J. K., Persson, L. M., Tsamadi, D., Caughey, S., Sahraie, A., &amp; Macrae, C. N. (2022). More or less of me and you: self-relevance augments the effects of item probability on stimulus prioritization. </w:t>
      </w:r>
      <w:r w:rsidRPr="00F350B2">
        <w:rPr>
          <w:i/>
          <w:noProof/>
        </w:rPr>
        <w:t>Psychological Research, 86</w:t>
      </w:r>
      <w:r w:rsidRPr="00F350B2">
        <w:rPr>
          <w:noProof/>
        </w:rPr>
        <w:t xml:space="preserve">(4), 1145-1164. </w:t>
      </w:r>
      <w:hyperlink r:id="rId89" w:history="1">
        <w:r w:rsidRPr="00F350B2">
          <w:rPr>
            <w:rStyle w:val="ac"/>
            <w:noProof/>
          </w:rPr>
          <w:t>https://doi.org/10.1007/s00426-021-01562-x</w:t>
        </w:r>
      </w:hyperlink>
      <w:r w:rsidRPr="00F350B2">
        <w:rPr>
          <w:noProof/>
        </w:rPr>
        <w:t xml:space="preserve"> </w:t>
      </w:r>
    </w:p>
    <w:p w14:paraId="7EF74814" w14:textId="77777777" w:rsidR="00F350B2" w:rsidRPr="00F350B2" w:rsidRDefault="00F350B2" w:rsidP="00F350B2">
      <w:pPr>
        <w:pStyle w:val="EndNoteBibliography"/>
        <w:rPr>
          <w:noProof/>
        </w:rPr>
      </w:pPr>
    </w:p>
    <w:p w14:paraId="14351E08" w14:textId="0FA7DA0C" w:rsidR="00F350B2" w:rsidRPr="00F350B2" w:rsidRDefault="00F350B2" w:rsidP="00F350B2">
      <w:pPr>
        <w:pStyle w:val="EndNoteBibliography"/>
        <w:ind w:left="720" w:hanging="720"/>
        <w:rPr>
          <w:noProof/>
        </w:rPr>
      </w:pPr>
      <w:r w:rsidRPr="00F350B2">
        <w:rPr>
          <w:noProof/>
        </w:rPr>
        <w:t xml:space="preserve">Symons, C. S., &amp; Johnson, B. T. (1997, May). The self-reference effect in memory: a meta-analysis. </w:t>
      </w:r>
      <w:r w:rsidRPr="00F350B2">
        <w:rPr>
          <w:i/>
          <w:noProof/>
        </w:rPr>
        <w:t>Psychological Bulletin, 121</w:t>
      </w:r>
      <w:r w:rsidRPr="00F350B2">
        <w:rPr>
          <w:noProof/>
        </w:rPr>
        <w:t xml:space="preserve">(3), 371-394. </w:t>
      </w:r>
      <w:hyperlink r:id="rId90" w:history="1">
        <w:r w:rsidRPr="00F350B2">
          <w:rPr>
            <w:rStyle w:val="ac"/>
            <w:noProof/>
          </w:rPr>
          <w:t>https://doi.org/10.1037/0033-2909.121.3.371</w:t>
        </w:r>
      </w:hyperlink>
      <w:r w:rsidRPr="00F350B2">
        <w:rPr>
          <w:noProof/>
        </w:rPr>
        <w:t xml:space="preserve"> </w:t>
      </w:r>
    </w:p>
    <w:p w14:paraId="77B62B4B" w14:textId="77777777" w:rsidR="00F350B2" w:rsidRPr="00F350B2" w:rsidRDefault="00F350B2" w:rsidP="00F350B2">
      <w:pPr>
        <w:pStyle w:val="EndNoteBibliography"/>
        <w:rPr>
          <w:noProof/>
        </w:rPr>
      </w:pPr>
    </w:p>
    <w:p w14:paraId="302888FF" w14:textId="28B82DB9" w:rsidR="00F350B2" w:rsidRPr="00F350B2" w:rsidRDefault="00F350B2" w:rsidP="00F350B2">
      <w:pPr>
        <w:pStyle w:val="EndNoteBibliography"/>
        <w:ind w:left="720" w:hanging="720"/>
        <w:rPr>
          <w:noProof/>
        </w:rPr>
      </w:pPr>
      <w:r w:rsidRPr="00F350B2">
        <w:rPr>
          <w:noProof/>
        </w:rPr>
        <w:t xml:space="preserve">Turk, D. J., Heatherton, T. F., Kelley, W. M., Funnell, M. G., Gazzaniga, M. S., &amp; Macrae, C. N. (2002). Mike or me? Self-recognition in a split-brain patient. </w:t>
      </w:r>
      <w:r w:rsidRPr="00F350B2">
        <w:rPr>
          <w:i/>
          <w:noProof/>
        </w:rPr>
        <w:t>Nature neuroscience, 5</w:t>
      </w:r>
      <w:r w:rsidRPr="00F350B2">
        <w:rPr>
          <w:noProof/>
        </w:rPr>
        <w:t xml:space="preserve">(9), 841-842. </w:t>
      </w:r>
      <w:hyperlink r:id="rId91" w:history="1">
        <w:r w:rsidRPr="00F350B2">
          <w:rPr>
            <w:rStyle w:val="ac"/>
            <w:noProof/>
          </w:rPr>
          <w:t>https://doi.org/10.1038/nn907</w:t>
        </w:r>
      </w:hyperlink>
      <w:r w:rsidRPr="00F350B2">
        <w:rPr>
          <w:noProof/>
        </w:rPr>
        <w:t xml:space="preserve"> </w:t>
      </w:r>
    </w:p>
    <w:p w14:paraId="4529F349" w14:textId="77777777" w:rsidR="00F350B2" w:rsidRPr="00F350B2" w:rsidRDefault="00F350B2" w:rsidP="00F350B2">
      <w:pPr>
        <w:pStyle w:val="EndNoteBibliography"/>
        <w:rPr>
          <w:noProof/>
        </w:rPr>
      </w:pPr>
    </w:p>
    <w:p w14:paraId="240356C3" w14:textId="77777777" w:rsidR="00F350B2" w:rsidRPr="00F350B2" w:rsidRDefault="00F350B2" w:rsidP="00F350B2">
      <w:pPr>
        <w:pStyle w:val="EndNoteBibliography"/>
        <w:ind w:left="720" w:hanging="720"/>
        <w:rPr>
          <w:noProof/>
        </w:rPr>
      </w:pPr>
      <w:r w:rsidRPr="00F350B2">
        <w:rPr>
          <w:noProof/>
        </w:rPr>
        <w:t xml:space="preserve">Viechtbauer, W. (2010). Conducting meta-analyses in R with the metafor package. </w:t>
      </w:r>
      <w:r w:rsidRPr="00F350B2">
        <w:rPr>
          <w:i/>
          <w:noProof/>
        </w:rPr>
        <w:t>Journal of statistical software, 36</w:t>
      </w:r>
      <w:r w:rsidRPr="00F350B2">
        <w:rPr>
          <w:noProof/>
        </w:rPr>
        <w:t xml:space="preserve">, 1-48. </w:t>
      </w:r>
    </w:p>
    <w:p w14:paraId="1B9D3E66" w14:textId="77777777" w:rsidR="00F350B2" w:rsidRPr="00F350B2" w:rsidRDefault="00F350B2" w:rsidP="00F350B2">
      <w:pPr>
        <w:pStyle w:val="EndNoteBibliography"/>
        <w:rPr>
          <w:noProof/>
        </w:rPr>
      </w:pPr>
    </w:p>
    <w:p w14:paraId="25A42DEA" w14:textId="77777777" w:rsidR="00F350B2" w:rsidRPr="00F350B2" w:rsidRDefault="00F350B2" w:rsidP="00F350B2">
      <w:pPr>
        <w:pStyle w:val="EndNoteBibliography"/>
        <w:ind w:left="720" w:hanging="720"/>
        <w:rPr>
          <w:noProof/>
        </w:rPr>
      </w:pPr>
      <w:r w:rsidRPr="00F350B2">
        <w:rPr>
          <w:noProof/>
        </w:rPr>
        <w:t xml:space="preserve">Wabersich, D., &amp; Vandekerckhove, J. (2014). The RWiener Package: an R Package Providing Distribution Functions for the Wiener Diffusion Model. </w:t>
      </w:r>
      <w:r w:rsidRPr="00F350B2">
        <w:rPr>
          <w:i/>
          <w:noProof/>
        </w:rPr>
        <w:t>R Journal, 6</w:t>
      </w:r>
      <w:r w:rsidRPr="00F350B2">
        <w:rPr>
          <w:noProof/>
        </w:rPr>
        <w:t xml:space="preserve">(1). </w:t>
      </w:r>
    </w:p>
    <w:p w14:paraId="694768FE" w14:textId="77777777" w:rsidR="00F350B2" w:rsidRPr="00F350B2" w:rsidRDefault="00F350B2" w:rsidP="00F350B2">
      <w:pPr>
        <w:pStyle w:val="EndNoteBibliography"/>
        <w:rPr>
          <w:noProof/>
        </w:rPr>
      </w:pPr>
    </w:p>
    <w:p w14:paraId="5097041F" w14:textId="447DF143" w:rsidR="00F350B2" w:rsidRPr="00F350B2" w:rsidRDefault="00F350B2" w:rsidP="00F350B2">
      <w:pPr>
        <w:pStyle w:val="EndNoteBibliography"/>
        <w:ind w:left="720" w:hanging="720"/>
        <w:rPr>
          <w:noProof/>
        </w:rPr>
      </w:pPr>
      <w:r w:rsidRPr="00F350B2">
        <w:rPr>
          <w:noProof/>
        </w:rPr>
        <w:t xml:space="preserve">Wagenmakers, E.-J., Van Der Maas, H. L., &amp; Grasman, R. P. (2007). An EZ-diffusion model for response time and accuracy. </w:t>
      </w:r>
      <w:r w:rsidRPr="00F350B2">
        <w:rPr>
          <w:i/>
          <w:noProof/>
        </w:rPr>
        <w:t>Psychonomic Bulletin &amp; Review, 14</w:t>
      </w:r>
      <w:r w:rsidRPr="00F350B2">
        <w:rPr>
          <w:noProof/>
        </w:rPr>
        <w:t xml:space="preserve">(1), 3-22. </w:t>
      </w:r>
      <w:hyperlink r:id="rId92" w:history="1">
        <w:r w:rsidRPr="00F350B2">
          <w:rPr>
            <w:rStyle w:val="ac"/>
            <w:noProof/>
          </w:rPr>
          <w:t>https://doi.org/10.3758/BF03194023</w:t>
        </w:r>
      </w:hyperlink>
      <w:r w:rsidRPr="00F350B2">
        <w:rPr>
          <w:noProof/>
        </w:rPr>
        <w:t xml:space="preserve"> </w:t>
      </w:r>
    </w:p>
    <w:p w14:paraId="481FB163" w14:textId="77777777" w:rsidR="00F350B2" w:rsidRPr="00F350B2" w:rsidRDefault="00F350B2" w:rsidP="00F350B2">
      <w:pPr>
        <w:pStyle w:val="EndNoteBibliography"/>
        <w:rPr>
          <w:noProof/>
        </w:rPr>
      </w:pPr>
    </w:p>
    <w:p w14:paraId="0321E2F3" w14:textId="3415A65B" w:rsidR="00F350B2" w:rsidRPr="00F350B2" w:rsidRDefault="00F350B2" w:rsidP="00F350B2">
      <w:pPr>
        <w:pStyle w:val="EndNoteBibliography"/>
        <w:ind w:left="720" w:hanging="720"/>
        <w:rPr>
          <w:noProof/>
        </w:rPr>
      </w:pPr>
      <w:r w:rsidRPr="00F350B2">
        <w:rPr>
          <w:noProof/>
        </w:rPr>
        <w:t xml:space="preserve">Woźniak, M., Kourtis, D., &amp; Knoblich, G. (2018). Prioritization of arbitrary faces associated to self: An EEG study. </w:t>
      </w:r>
      <w:r w:rsidRPr="00F350B2">
        <w:rPr>
          <w:i/>
          <w:noProof/>
        </w:rPr>
        <w:t>PloS one, 13</w:t>
      </w:r>
      <w:r w:rsidRPr="00F350B2">
        <w:rPr>
          <w:noProof/>
        </w:rPr>
        <w:t xml:space="preserve">(1), e0190679. </w:t>
      </w:r>
      <w:hyperlink r:id="rId93" w:history="1">
        <w:r w:rsidRPr="00F350B2">
          <w:rPr>
            <w:rStyle w:val="ac"/>
            <w:noProof/>
          </w:rPr>
          <w:t>https://doi.org/10.1371/journal.pone.0190679</w:t>
        </w:r>
      </w:hyperlink>
      <w:r w:rsidRPr="00F350B2">
        <w:rPr>
          <w:noProof/>
        </w:rPr>
        <w:t xml:space="preserve"> </w:t>
      </w:r>
    </w:p>
    <w:p w14:paraId="5F4D8711" w14:textId="77777777" w:rsidR="00F350B2" w:rsidRPr="00F350B2" w:rsidRDefault="00F350B2" w:rsidP="00F350B2">
      <w:pPr>
        <w:pStyle w:val="EndNoteBibliography"/>
        <w:rPr>
          <w:noProof/>
        </w:rPr>
      </w:pPr>
    </w:p>
    <w:p w14:paraId="75E0B83F" w14:textId="43013173" w:rsidR="00F350B2" w:rsidRPr="00F350B2" w:rsidRDefault="00F350B2" w:rsidP="00F350B2">
      <w:pPr>
        <w:pStyle w:val="EndNoteBibliography"/>
        <w:ind w:left="720" w:hanging="720"/>
        <w:rPr>
          <w:noProof/>
        </w:rPr>
      </w:pPr>
      <w:r w:rsidRPr="00F350B2">
        <w:rPr>
          <w:noProof/>
        </w:rPr>
        <w:t xml:space="preserve">Xu, Y., Yuan, Y., Xie, X., Tan, H., &amp; Guan, L. (2021). Romantic feedbacks influence self-relevant processing: the moderating effects of sex difference and facial attractiveness. </w:t>
      </w:r>
      <w:r w:rsidRPr="00F350B2">
        <w:rPr>
          <w:i/>
          <w:noProof/>
        </w:rPr>
        <w:t>Current Psychology</w:t>
      </w:r>
      <w:r w:rsidRPr="00F350B2">
        <w:rPr>
          <w:noProof/>
        </w:rPr>
        <w:t xml:space="preserve">, 1-13. </w:t>
      </w:r>
      <w:hyperlink r:id="rId94" w:history="1">
        <w:r w:rsidRPr="00F350B2">
          <w:rPr>
            <w:rStyle w:val="ac"/>
            <w:noProof/>
          </w:rPr>
          <w:t>https://doi.org/10.1007/s12144-021-02114-7</w:t>
        </w:r>
      </w:hyperlink>
      <w:r w:rsidRPr="00F350B2">
        <w:rPr>
          <w:noProof/>
        </w:rPr>
        <w:t xml:space="preserve"> </w:t>
      </w:r>
    </w:p>
    <w:p w14:paraId="049365B0" w14:textId="77777777" w:rsidR="00F350B2" w:rsidRPr="00F350B2" w:rsidRDefault="00F350B2" w:rsidP="00F350B2">
      <w:pPr>
        <w:pStyle w:val="EndNoteBibliography"/>
        <w:rPr>
          <w:noProof/>
        </w:rPr>
      </w:pPr>
    </w:p>
    <w:p w14:paraId="0C03EA4F" w14:textId="77777777" w:rsidR="00F350B2" w:rsidRPr="00F350B2" w:rsidRDefault="00F350B2" w:rsidP="00F350B2">
      <w:pPr>
        <w:pStyle w:val="EndNoteBibliography"/>
        <w:ind w:left="720" w:hanging="720"/>
        <w:rPr>
          <w:noProof/>
        </w:rPr>
      </w:pPr>
      <w:r w:rsidRPr="00F350B2">
        <w:rPr>
          <w:noProof/>
        </w:rPr>
        <w:t xml:space="preserve">Zhang, H., &amp; Alais, D. (2020). Individual difference in serial dependence results from opposite influences of perceptual choices and motor responses. </w:t>
      </w:r>
      <w:r w:rsidRPr="00F350B2">
        <w:rPr>
          <w:i/>
          <w:noProof/>
        </w:rPr>
        <w:t>Journal of Vision, 20</w:t>
      </w:r>
      <w:r w:rsidRPr="00F350B2">
        <w:rPr>
          <w:noProof/>
        </w:rPr>
        <w:t xml:space="preserve">(8), 2-2. </w:t>
      </w:r>
    </w:p>
    <w:p w14:paraId="014E4083" w14:textId="77777777" w:rsidR="00F350B2" w:rsidRPr="00F350B2" w:rsidRDefault="00F350B2" w:rsidP="00F350B2">
      <w:pPr>
        <w:pStyle w:val="EndNoteBibliography"/>
        <w:rPr>
          <w:noProof/>
        </w:rPr>
      </w:pPr>
    </w:p>
    <w:p w14:paraId="0C77C5C8" w14:textId="55858835" w:rsidR="00F350B2" w:rsidRPr="00F350B2" w:rsidRDefault="00F350B2" w:rsidP="00F350B2">
      <w:pPr>
        <w:pStyle w:val="EndNoteBibliography"/>
        <w:ind w:left="720" w:hanging="720"/>
        <w:rPr>
          <w:noProof/>
        </w:rPr>
      </w:pPr>
      <w:r w:rsidRPr="00F350B2">
        <w:rPr>
          <w:noProof/>
        </w:rPr>
        <w:t xml:space="preserve">Zhou, A., Duan, B., Wen, M., Wu, W., Li, M., Ma, X., &amp; Tan, Y. (2019). Self-referential processing can modulate visual spatial attention deficits in children with dyslexia. </w:t>
      </w:r>
      <w:r w:rsidRPr="00F350B2">
        <w:rPr>
          <w:i/>
          <w:noProof/>
        </w:rPr>
        <w:t>Frontiers in Psychology, 10</w:t>
      </w:r>
      <w:r w:rsidRPr="00F350B2">
        <w:rPr>
          <w:noProof/>
        </w:rPr>
        <w:t xml:space="preserve">, 2270. </w:t>
      </w:r>
      <w:hyperlink r:id="rId95" w:history="1">
        <w:r w:rsidRPr="00F350B2">
          <w:rPr>
            <w:rStyle w:val="ac"/>
            <w:noProof/>
          </w:rPr>
          <w:t>https://doi.org/10.3389/fpsyg.2019.02270</w:t>
        </w:r>
      </w:hyperlink>
      <w:r w:rsidRPr="00F350B2">
        <w:rPr>
          <w:noProof/>
        </w:rPr>
        <w:t xml:space="preserve"> </w:t>
      </w:r>
    </w:p>
    <w:p w14:paraId="01D424AC" w14:textId="77777777" w:rsidR="00F350B2" w:rsidRPr="00F350B2" w:rsidRDefault="00F350B2" w:rsidP="00F350B2">
      <w:pPr>
        <w:pStyle w:val="EndNoteBibliography"/>
        <w:rPr>
          <w:noProof/>
        </w:rPr>
      </w:pPr>
    </w:p>
    <w:p w14:paraId="03F75E6C" w14:textId="458C3E25" w:rsidR="00F350B2" w:rsidRPr="00F350B2" w:rsidRDefault="00F350B2" w:rsidP="00F350B2">
      <w:pPr>
        <w:pStyle w:val="EndNoteBibliography"/>
        <w:ind w:left="720" w:hanging="720"/>
        <w:rPr>
          <w:noProof/>
        </w:rPr>
      </w:pPr>
      <w:r w:rsidRPr="00F350B2">
        <w:rPr>
          <w:noProof/>
        </w:rPr>
        <w:t xml:space="preserve">Zorowitz, S., &amp; Niv, Y. (2023). Improving the reliability of cognitive task measures: A narrative review. </w:t>
      </w:r>
      <w:r w:rsidRPr="00F350B2">
        <w:rPr>
          <w:i/>
          <w:noProof/>
        </w:rPr>
        <w:t>Biological Psychiatry: Cognitive Neuroscience and Neuroimaging</w:t>
      </w:r>
      <w:r w:rsidRPr="00F350B2">
        <w:rPr>
          <w:noProof/>
        </w:rPr>
        <w:t xml:space="preserve">. </w:t>
      </w:r>
      <w:hyperlink r:id="rId96" w:history="1">
        <w:r w:rsidRPr="00F350B2">
          <w:rPr>
            <w:rStyle w:val="ac"/>
            <w:noProof/>
          </w:rPr>
          <w:t>https://doi.org/10.1016/j.bpsc.2023.02.004</w:t>
        </w:r>
      </w:hyperlink>
      <w:r w:rsidRPr="00F350B2">
        <w:rPr>
          <w:noProof/>
        </w:rPr>
        <w:t xml:space="preserve"> </w:t>
      </w:r>
    </w:p>
    <w:p w14:paraId="1C91EE26" w14:textId="77777777" w:rsidR="00F350B2" w:rsidRPr="00F350B2" w:rsidRDefault="00F350B2" w:rsidP="00F350B2">
      <w:pPr>
        <w:pStyle w:val="EndNoteBibliography"/>
        <w:rPr>
          <w:noProof/>
        </w:rPr>
      </w:pPr>
    </w:p>
    <w:p w14:paraId="55268D77" w14:textId="4CE7F68E" w:rsidR="00586F83" w:rsidRPr="006A5A80" w:rsidRDefault="00B03D7E">
      <w:pPr>
        <w:rPr>
          <w:rFonts w:eastAsia="Calibri"/>
        </w:rPr>
      </w:pPr>
      <w:r w:rsidRPr="006A5A80">
        <w:rPr>
          <w:rFonts w:eastAsia="Calibri"/>
        </w:rPr>
        <w:lastRenderedPageBreak/>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office user" w:date="2023-07-20T18:25:00Z" w:initials="o1">
    <w:p w14:paraId="1C6D19A8" w14:textId="77777777" w:rsidR="004E53A7" w:rsidRDefault="004E53A7" w:rsidP="009F7E26">
      <w:r>
        <w:rPr>
          <w:rStyle w:val="a6"/>
        </w:rPr>
        <w:annotationRef/>
      </w:r>
      <w:r>
        <w:rPr>
          <w:color w:val="000000"/>
          <w:sz w:val="20"/>
          <w:szCs w:val="20"/>
        </w:rPr>
        <w:t xml:space="preserve">Abstract </w:t>
      </w:r>
      <w:r>
        <w:rPr>
          <w:rFonts w:hint="eastAsia"/>
          <w:color w:val="000000"/>
          <w:sz w:val="20"/>
          <w:szCs w:val="20"/>
        </w:rPr>
        <w:t>的</w:t>
      </w:r>
      <w:r>
        <w:rPr>
          <w:color w:val="000000"/>
          <w:sz w:val="20"/>
          <w:szCs w:val="20"/>
        </w:rPr>
        <w:t xml:space="preserve">results </w:t>
      </w:r>
      <w:r>
        <w:rPr>
          <w:rFonts w:hint="eastAsia"/>
          <w:color w:val="000000"/>
          <w:sz w:val="20"/>
          <w:szCs w:val="20"/>
        </w:rPr>
        <w:t>现在要改为</w:t>
      </w:r>
      <w:r>
        <w:rPr>
          <w:color w:val="000000"/>
          <w:sz w:val="20"/>
          <w:szCs w:val="20"/>
        </w:rPr>
        <w:t xml:space="preserve"> WASR</w:t>
      </w:r>
      <w:r>
        <w:rPr>
          <w:rFonts w:hint="eastAsia"/>
          <w:color w:val="000000"/>
          <w:sz w:val="20"/>
          <w:szCs w:val="20"/>
        </w:rPr>
        <w:t>的格式</w:t>
      </w:r>
    </w:p>
    <w:p w14:paraId="2416464E" w14:textId="77777777" w:rsidR="004E53A7" w:rsidRDefault="004E53A7" w:rsidP="009F7E26"/>
  </w:comment>
  <w:comment w:id="3" w:author="MengZhen" w:date="2023-07-20T20:50:00Z" w:initials="M">
    <w:p w14:paraId="18C50465" w14:textId="77777777" w:rsidR="004742C6" w:rsidRDefault="004742C6" w:rsidP="00873AB2">
      <w:pPr>
        <w:pStyle w:val="a7"/>
      </w:pPr>
      <w:r>
        <w:rPr>
          <w:rStyle w:val="a6"/>
        </w:rPr>
        <w:annotationRef/>
      </w:r>
      <w:r>
        <w:rPr>
          <w:rFonts w:hint="eastAsia"/>
        </w:rPr>
        <w:t>√</w:t>
      </w:r>
    </w:p>
  </w:comment>
  <w:comment w:id="8" w:author="office user" w:date="2023-07-20T13:03:00Z" w:initials="o1">
    <w:p w14:paraId="7E6D8493" w14:textId="58E6BFF8" w:rsidR="00F65597" w:rsidRDefault="00F65597" w:rsidP="006C2202">
      <w:r>
        <w:rPr>
          <w:rStyle w:val="a6"/>
        </w:rPr>
        <w:annotationRef/>
      </w:r>
      <w:r>
        <w:rPr>
          <w:rFonts w:hint="eastAsia"/>
          <w:color w:val="000000"/>
          <w:sz w:val="20"/>
          <w:szCs w:val="20"/>
        </w:rPr>
        <w:t>这里放几篇你纳入的文献，用了这些指标的</w:t>
      </w:r>
    </w:p>
  </w:comment>
  <w:comment w:id="9" w:author="MengZhen" w:date="2023-07-20T14:43:00Z" w:initials="M">
    <w:p w14:paraId="78F8E823" w14:textId="77777777" w:rsidR="008818E8" w:rsidRDefault="008818E8" w:rsidP="000A65BC">
      <w:pPr>
        <w:pStyle w:val="a7"/>
      </w:pPr>
      <w:r>
        <w:rPr>
          <w:rStyle w:val="a6"/>
        </w:rPr>
        <w:annotationRef/>
      </w:r>
      <w:r>
        <w:rPr>
          <w:rFonts w:hint="eastAsia"/>
        </w:rPr>
        <w:t>√</w:t>
      </w:r>
    </w:p>
  </w:comment>
  <w:comment w:id="22" w:author="office user" w:date="2023-07-19T18:05:00Z" w:initials="o1">
    <w:p w14:paraId="22E1321A" w14:textId="5FDC2D27" w:rsidR="00DD3690" w:rsidRDefault="004B7E46" w:rsidP="007742B2">
      <w:r>
        <w:rPr>
          <w:rStyle w:val="a6"/>
        </w:rPr>
        <w:annotationRef/>
      </w:r>
      <w:r w:rsidR="00DD3690">
        <w:rPr>
          <w:rFonts w:hint="eastAsia"/>
          <w:sz w:val="20"/>
          <w:szCs w:val="20"/>
        </w:rPr>
        <w:t>我和孟真重新捋了一下数据收集流程。</w:t>
      </w:r>
    </w:p>
  </w:comment>
  <w:comment w:id="23" w:author="Hu Chuan-Peng" w:date="2023-07-15T15:31:00Z" w:initials="HC">
    <w:p w14:paraId="4A35390A" w14:textId="1BCE603C" w:rsidR="006C4880" w:rsidRDefault="006C4880" w:rsidP="006C4880">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4" w:author="office user" w:date="2023-07-20T13:33:00Z" w:initials="o1">
    <w:p w14:paraId="469239F7" w14:textId="77777777" w:rsidR="00067D40" w:rsidRPr="008818E8" w:rsidRDefault="00067D40" w:rsidP="007040DB">
      <w:pPr>
        <w:rPr>
          <w:rFonts w:eastAsiaTheme="minorEastAsia"/>
        </w:rPr>
      </w:pPr>
      <w:r>
        <w:rPr>
          <w:rStyle w:val="a6"/>
        </w:rPr>
        <w:annotationRef/>
      </w:r>
      <w:r>
        <w:rPr>
          <w:rFonts w:hint="eastAsia"/>
          <w:color w:val="000000"/>
          <w:sz w:val="20"/>
          <w:szCs w:val="20"/>
        </w:rPr>
        <w:t>加上</w:t>
      </w:r>
      <w:r>
        <w:rPr>
          <w:color w:val="000000"/>
          <w:sz w:val="20"/>
          <w:szCs w:val="20"/>
        </w:rPr>
        <w:t>citation</w:t>
      </w:r>
    </w:p>
  </w:comment>
  <w:comment w:id="25" w:author="MengZhen" w:date="2023-07-20T14:48:00Z" w:initials="M">
    <w:p w14:paraId="5D69E739" w14:textId="77777777" w:rsidR="008818E8" w:rsidRDefault="008818E8" w:rsidP="00AF1B43">
      <w:pPr>
        <w:pStyle w:val="a7"/>
      </w:pPr>
      <w:r>
        <w:rPr>
          <w:rStyle w:val="a6"/>
        </w:rPr>
        <w:annotationRef/>
      </w:r>
      <w:r>
        <w:rPr>
          <w:rFonts w:hint="eastAsia"/>
        </w:rPr>
        <w:t>√</w:t>
      </w:r>
    </w:p>
  </w:comment>
  <w:comment w:id="26" w:author="MengZhen" w:date="2023-07-16T12:25:00Z" w:initials="M">
    <w:p w14:paraId="512A2359" w14:textId="79CB656D"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27" w:author="office user" w:date="2023-07-20T13:27:00Z" w:initials="o1">
    <w:p w14:paraId="7B483B97" w14:textId="77777777" w:rsidR="00DD3690" w:rsidRDefault="00DD3690" w:rsidP="009A51F8">
      <w:r>
        <w:rPr>
          <w:rStyle w:val="a6"/>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28" w:author="MengZhen" w:date="2023-07-20T14:49:00Z" w:initials="M">
    <w:p w14:paraId="0E5F8B4C" w14:textId="77777777" w:rsidR="007D2E0B" w:rsidRDefault="007D2E0B" w:rsidP="000D5382">
      <w:pPr>
        <w:pStyle w:val="a7"/>
      </w:pPr>
      <w:r>
        <w:rPr>
          <w:rStyle w:val="a6"/>
        </w:rPr>
        <w:annotationRef/>
      </w:r>
      <w:r>
        <w:rPr>
          <w:rFonts w:hint="eastAsia"/>
        </w:rPr>
        <w:t>是这个意思，加粗表示选用了这个水平的数据集</w:t>
      </w:r>
    </w:p>
  </w:comment>
  <w:comment w:id="29" w:author="office user" w:date="2023-07-20T13:28:00Z" w:initials="o1">
    <w:p w14:paraId="6FAF2B29" w14:textId="3E4B65CF" w:rsidR="00DD3690" w:rsidRDefault="00DD3690" w:rsidP="001A3BA2">
      <w:r>
        <w:rPr>
          <w:rStyle w:val="a6"/>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30" w:author="MengZhen" w:date="2023-07-20T14:50:00Z" w:initials="M">
    <w:p w14:paraId="59267613" w14:textId="77777777" w:rsidR="007D2E0B" w:rsidRDefault="007D2E0B" w:rsidP="00F70262">
      <w:pPr>
        <w:pStyle w:val="a7"/>
      </w:pPr>
      <w:r>
        <w:rPr>
          <w:rStyle w:val="a6"/>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1" w:author="office user" w:date="2023-07-20T15:42:00Z" w:initials="o1">
    <w:p w14:paraId="38CEF172" w14:textId="77777777" w:rsidR="00703ABB" w:rsidRDefault="00703ABB" w:rsidP="00A4746C">
      <w:r>
        <w:rPr>
          <w:rStyle w:val="a6"/>
        </w:rPr>
        <w:annotationRef/>
      </w:r>
      <w:r>
        <w:rPr>
          <w:rFonts w:hint="eastAsia"/>
          <w:color w:val="000000"/>
          <w:sz w:val="20"/>
          <w:szCs w:val="20"/>
        </w:rPr>
        <w:t>这里在</w:t>
      </w:r>
      <w:r>
        <w:rPr>
          <w:color w:val="000000"/>
          <w:sz w:val="20"/>
          <w:szCs w:val="20"/>
        </w:rPr>
        <w:t>note</w:t>
      </w:r>
      <w:r>
        <w:rPr>
          <w:rFonts w:hint="eastAsia"/>
          <w:color w:val="000000"/>
          <w:sz w:val="20"/>
          <w:szCs w:val="20"/>
        </w:rPr>
        <w:t>里补充一下，对于这些文章里的</w:t>
      </w:r>
      <w:r>
        <w:rPr>
          <w:color w:val="000000"/>
          <w:sz w:val="20"/>
          <w:szCs w:val="20"/>
        </w:rPr>
        <w:t>iv3</w:t>
      </w:r>
      <w:r>
        <w:rPr>
          <w:rFonts w:hint="eastAsia"/>
          <w:color w:val="000000"/>
          <w:sz w:val="20"/>
          <w:szCs w:val="20"/>
        </w:rPr>
        <w:t>的类似处理</w:t>
      </w:r>
    </w:p>
  </w:comment>
  <w:comment w:id="39" w:author="office user" w:date="2023-07-20T13:37:00Z" w:initials="o1">
    <w:p w14:paraId="5B6A3AB3" w14:textId="62BCAEBE" w:rsidR="001C2F36" w:rsidRDefault="001C2F36" w:rsidP="001C2F36">
      <w:r>
        <w:rPr>
          <w:rStyle w:val="a6"/>
        </w:rPr>
        <w:annotationRef/>
      </w:r>
      <w:r>
        <w:rPr>
          <w:rFonts w:hint="eastAsia"/>
          <w:color w:val="000000"/>
          <w:sz w:val="20"/>
          <w:szCs w:val="20"/>
        </w:rPr>
        <w:t>补充预注册网址</w:t>
      </w:r>
    </w:p>
  </w:comment>
  <w:comment w:id="40" w:author="MengZhen" w:date="2023-07-20T14:51:00Z" w:initials="M">
    <w:p w14:paraId="3DC940B7" w14:textId="77777777" w:rsidR="007D2E0B" w:rsidRDefault="007D2E0B" w:rsidP="00AB036D">
      <w:pPr>
        <w:pStyle w:val="a7"/>
      </w:pPr>
      <w:r>
        <w:rPr>
          <w:rStyle w:val="a6"/>
        </w:rPr>
        <w:annotationRef/>
      </w:r>
      <w:r>
        <w:rPr>
          <w:rFonts w:hint="eastAsia"/>
        </w:rPr>
        <w:t>√</w:t>
      </w:r>
    </w:p>
  </w:comment>
  <w:comment w:id="41" w:author="office user" w:date="2023-07-20T16:15:00Z" w:initials="o1">
    <w:p w14:paraId="49B642FC" w14:textId="77777777" w:rsidR="00633D69" w:rsidRDefault="00633D69" w:rsidP="000D0C55">
      <w:r>
        <w:rPr>
          <w:rStyle w:val="a6"/>
        </w:rPr>
        <w:annotationRef/>
      </w:r>
      <w:r>
        <w:rPr>
          <w:rFonts w:hint="eastAsia"/>
          <w:color w:val="000000"/>
          <w:sz w:val="20"/>
          <w:szCs w:val="20"/>
        </w:rPr>
        <w:t>加上新图</w:t>
      </w:r>
    </w:p>
  </w:comment>
  <w:comment w:id="42" w:author="MengZhen" w:date="2023-07-20T20:51:00Z" w:initials="M">
    <w:p w14:paraId="6A77E17B" w14:textId="77777777" w:rsidR="004742C6" w:rsidRDefault="004742C6" w:rsidP="00FB6B89">
      <w:pPr>
        <w:pStyle w:val="a7"/>
      </w:pPr>
      <w:r>
        <w:rPr>
          <w:rStyle w:val="a6"/>
        </w:rPr>
        <w:annotationRef/>
      </w:r>
      <w:r>
        <w:rPr>
          <w:rFonts w:hint="eastAsia"/>
        </w:rPr>
        <w:t>√</w:t>
      </w:r>
    </w:p>
  </w:comment>
  <w:comment w:id="44" w:author="office user" w:date="2023-07-19T18:36:00Z" w:initials="o1">
    <w:p w14:paraId="3FCC8B2E" w14:textId="7E3BC121" w:rsidR="00680609" w:rsidRDefault="00680609" w:rsidP="0045218E">
      <w:r>
        <w:rPr>
          <w:rStyle w:val="a6"/>
        </w:rPr>
        <w:annotationRef/>
      </w:r>
      <w:r>
        <w:rPr>
          <w:rFonts w:hint="eastAsia"/>
          <w:sz w:val="20"/>
          <w:szCs w:val="20"/>
        </w:rPr>
        <w:t>所以现在我觉得全文的这个</w:t>
      </w:r>
      <w:r>
        <w:rPr>
          <w:sz w:val="20"/>
          <w:szCs w:val="20"/>
        </w:rPr>
        <w:t>datasets</w:t>
      </w:r>
      <w:r>
        <w:rPr>
          <w:rFonts w:hint="eastAsia"/>
          <w:sz w:val="20"/>
          <w:szCs w:val="20"/>
        </w:rPr>
        <w:t>都应该这么写？（感觉写</w:t>
      </w:r>
      <w:r>
        <w:rPr>
          <w:sz w:val="20"/>
          <w:szCs w:val="20"/>
        </w:rPr>
        <w:t>11 papers</w:t>
      </w:r>
      <w:r>
        <w:rPr>
          <w:rFonts w:hint="eastAsia"/>
          <w:sz w:val="20"/>
          <w:szCs w:val="20"/>
        </w:rPr>
        <w:t>不太严谨</w:t>
      </w:r>
    </w:p>
  </w:comment>
  <w:comment w:id="45" w:author="MengZhen" w:date="2023-07-20T14:53:00Z" w:initials="M">
    <w:p w14:paraId="3DF2E07C" w14:textId="77777777" w:rsidR="007D2E0B" w:rsidRDefault="007D2E0B" w:rsidP="00045691">
      <w:pPr>
        <w:pStyle w:val="a7"/>
      </w:pPr>
      <w:r>
        <w:rPr>
          <w:rStyle w:val="a6"/>
        </w:rPr>
        <w:annotationRef/>
      </w:r>
      <w:r>
        <w:rPr>
          <w:rFonts w:hint="eastAsia"/>
        </w:rPr>
        <w:t>附议</w:t>
      </w:r>
    </w:p>
  </w:comment>
  <w:comment w:id="49" w:author="office user" w:date="2023-07-20T13:46:00Z" w:initials="o1">
    <w:p w14:paraId="5CD0109E" w14:textId="31290CBF" w:rsidR="00A83745" w:rsidRDefault="00A83745" w:rsidP="002C67A9">
      <w:r>
        <w:rPr>
          <w:rStyle w:val="a6"/>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5" w:author="office user" w:date="2023-07-20T13:53:00Z" w:initials="o1">
    <w:p w14:paraId="4D6CEB2C" w14:textId="77777777" w:rsidR="00162BBB" w:rsidRDefault="00162BBB" w:rsidP="00ED5F8D">
      <w:r>
        <w:rPr>
          <w:rStyle w:val="a6"/>
        </w:rPr>
        <w:annotationRef/>
      </w:r>
      <w:r>
        <w:rPr>
          <w:rFonts w:hint="eastAsia"/>
          <w:color w:val="000000"/>
          <w:sz w:val="20"/>
          <w:szCs w:val="20"/>
        </w:rPr>
        <w:t>你看看我修改完后是否和你说的意思一样</w:t>
      </w:r>
    </w:p>
    <w:p w14:paraId="6686C38F" w14:textId="77777777" w:rsidR="00162BBB" w:rsidRDefault="00162BBB" w:rsidP="00ED5F8D"/>
  </w:comment>
  <w:comment w:id="56" w:author="MengZhen" w:date="2023-07-20T15:30:00Z" w:initials="M">
    <w:p w14:paraId="5B093737" w14:textId="77777777" w:rsidR="00162BBB" w:rsidRDefault="00162BBB" w:rsidP="00A7501F">
      <w:pPr>
        <w:pStyle w:val="a7"/>
      </w:pPr>
      <w:r>
        <w:rPr>
          <w:rStyle w:val="a6"/>
        </w:rPr>
        <w:annotationRef/>
      </w:r>
      <w:r>
        <w:rPr>
          <w:rFonts w:hint="eastAsia"/>
        </w:rPr>
        <w:t>加入了使用的哪个函数，以及</w:t>
      </w:r>
      <w:r>
        <w:t>metafor</w:t>
      </w:r>
      <w:r>
        <w:rPr>
          <w:rFonts w:hint="eastAsia"/>
        </w:rPr>
        <w:t>包的参考文献</w:t>
      </w:r>
    </w:p>
  </w:comment>
  <w:comment w:id="65" w:author="MengZhen" w:date="2023-07-20T15:28:00Z" w:initials="M">
    <w:p w14:paraId="79CBE44A" w14:textId="065B9AE4" w:rsidR="00566D09" w:rsidRDefault="00566D09" w:rsidP="00AD13A8">
      <w:pPr>
        <w:pStyle w:val="a7"/>
      </w:pPr>
      <w:r>
        <w:rPr>
          <w:rStyle w:val="a6"/>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69" w:author="office user" w:date="2023-07-20T14:33:00Z" w:initials="o1">
    <w:p w14:paraId="7C0F274F" w14:textId="1A58231E" w:rsidR="007D50DA" w:rsidRDefault="007D50DA" w:rsidP="00EB1AD0">
      <w:r>
        <w:rPr>
          <w:rStyle w:val="a6"/>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70" w:author="MengZhen" w:date="2023-07-20T15:22:00Z" w:initials="M">
    <w:p w14:paraId="39BEFA2C" w14:textId="77777777" w:rsidR="00566D09" w:rsidRDefault="00566D09" w:rsidP="0095768A">
      <w:pPr>
        <w:pStyle w:val="a7"/>
      </w:pPr>
      <w:r>
        <w:rPr>
          <w:rStyle w:val="a6"/>
        </w:rPr>
        <w:annotationRef/>
      </w:r>
      <w:r>
        <w:rPr>
          <w:rFonts w:hint="eastAsia"/>
        </w:rPr>
        <w:t>√</w:t>
      </w:r>
    </w:p>
  </w:comment>
  <w:comment w:id="87" w:author="office user" w:date="2023-07-20T16:44:00Z" w:initials="o1">
    <w:p w14:paraId="74284FCB" w14:textId="77777777" w:rsidR="00E17822" w:rsidRDefault="00E17822" w:rsidP="00E17822">
      <w:r>
        <w:rPr>
          <w:rStyle w:val="a6"/>
        </w:rPr>
        <w:annotationRef/>
      </w:r>
      <w:r>
        <w:rPr>
          <w:rFonts w:hint="eastAsia"/>
          <w:color w:val="000000"/>
          <w:sz w:val="20"/>
          <w:szCs w:val="20"/>
        </w:rPr>
        <w:t>所以为什么我们不用</w:t>
      </w:r>
      <w:r>
        <w:rPr>
          <w:color w:val="000000"/>
          <w:sz w:val="20"/>
          <w:szCs w:val="20"/>
        </w:rPr>
        <w:t>hddm</w:t>
      </w:r>
      <w:r>
        <w:rPr>
          <w:rFonts w:hint="eastAsia"/>
          <w:color w:val="000000"/>
          <w:sz w:val="20"/>
          <w:szCs w:val="20"/>
        </w:rPr>
        <w:t>？这里要说明一下</w:t>
      </w:r>
    </w:p>
    <w:p w14:paraId="498A2624" w14:textId="77777777" w:rsidR="00E17822" w:rsidRDefault="00E17822" w:rsidP="00E17822"/>
  </w:comment>
  <w:comment w:id="88" w:author="MengZhen" w:date="2023-07-20T21:04:00Z" w:initials="M">
    <w:p w14:paraId="289BDA35" w14:textId="77777777" w:rsidR="00D6281A" w:rsidRDefault="00D6281A" w:rsidP="00E74145">
      <w:pPr>
        <w:pStyle w:val="a7"/>
      </w:pPr>
      <w:r>
        <w:rPr>
          <w:rStyle w:val="a6"/>
        </w:rPr>
        <w:annotationRef/>
      </w:r>
      <w:r>
        <w:rPr>
          <w:rFonts w:hint="eastAsia"/>
        </w:rPr>
        <w:t>除了耗时过长，我找不到别的理由了。我其实觉得这里最好不要提</w:t>
      </w:r>
    </w:p>
  </w:comment>
  <w:comment w:id="89" w:author="office user" w:date="2023-07-21T13:01:00Z" w:initials="o1">
    <w:p w14:paraId="3DB56C45" w14:textId="77777777" w:rsidR="00213235" w:rsidRDefault="00213235" w:rsidP="002455ED">
      <w:r>
        <w:rPr>
          <w:rStyle w:val="a6"/>
        </w:rPr>
        <w:annotationRef/>
      </w:r>
      <w:r>
        <w:rPr>
          <w:rFonts w:hint="eastAsia"/>
          <w:color w:val="000000"/>
          <w:sz w:val="20"/>
          <w:szCs w:val="20"/>
        </w:rPr>
        <w:t>我反而觉得需要提。因为</w:t>
      </w:r>
      <w:r>
        <w:rPr>
          <w:color w:val="000000"/>
          <w:sz w:val="20"/>
          <w:szCs w:val="20"/>
        </w:rPr>
        <w:t>hddm</w:t>
      </w:r>
      <w:r>
        <w:rPr>
          <w:rFonts w:hint="eastAsia"/>
          <w:color w:val="000000"/>
          <w:sz w:val="20"/>
          <w:szCs w:val="20"/>
        </w:rPr>
        <w:t>才是过往研究普遍用的包。传鹏怎么看？</w:t>
      </w:r>
    </w:p>
  </w:comment>
  <w:comment w:id="91" w:author="office user" w:date="2023-07-20T18:21:00Z" w:initials="o1">
    <w:p w14:paraId="3CDBA85F" w14:textId="4F59E1A2" w:rsidR="004E53A7" w:rsidRDefault="004E53A7" w:rsidP="009813E1">
      <w:r>
        <w:rPr>
          <w:rStyle w:val="a6"/>
        </w:rPr>
        <w:annotationRef/>
      </w:r>
      <w:r>
        <w:rPr>
          <w:rFonts w:hint="eastAsia"/>
          <w:color w:val="000000"/>
          <w:sz w:val="20"/>
          <w:szCs w:val="20"/>
        </w:rPr>
        <w:t>我感觉这个</w:t>
      </w:r>
      <w:r>
        <w:rPr>
          <w:color w:val="000000"/>
          <w:sz w:val="20"/>
          <w:szCs w:val="20"/>
        </w:rPr>
        <w:t>odd even</w:t>
      </w:r>
      <w:r>
        <w:rPr>
          <w:rFonts w:hint="eastAsia"/>
          <w:color w:val="000000"/>
          <w:sz w:val="20"/>
          <w:szCs w:val="20"/>
        </w:rPr>
        <w:t>的结果和其他的差的很远啊。怎么解释的？</w:t>
      </w:r>
    </w:p>
    <w:p w14:paraId="37A236DB" w14:textId="77777777" w:rsidR="004E53A7" w:rsidRDefault="004E53A7" w:rsidP="009813E1"/>
  </w:comment>
  <w:comment w:id="92" w:author="MengZhen" w:date="2023-07-20T21:14:00Z" w:initials="M">
    <w:p w14:paraId="18E3A201" w14:textId="77777777" w:rsidR="00E80224" w:rsidRDefault="00E80224" w:rsidP="00DE3B60">
      <w:pPr>
        <w:pStyle w:val="a7"/>
      </w:pPr>
      <w:r>
        <w:rPr>
          <w:rStyle w:val="a6"/>
        </w:rPr>
        <w:annotationRef/>
      </w:r>
      <w:r>
        <w:rPr>
          <w:rFonts w:hint="eastAsia"/>
        </w:rPr>
        <w:t>我也不知道怎么解释。它的有几个值接近</w:t>
      </w:r>
      <w:r>
        <w:rPr>
          <w:lang w:val="en-US"/>
        </w:rPr>
        <w:t>1</w:t>
      </w:r>
      <w:r>
        <w:rPr>
          <w:rFonts w:hint="eastAsia"/>
        </w:rPr>
        <w:t>了</w:t>
      </w:r>
    </w:p>
  </w:comment>
  <w:comment w:id="93" w:author="office user" w:date="2023-07-21T13:00:00Z" w:initials="o1">
    <w:p w14:paraId="61C76760" w14:textId="77777777" w:rsidR="00213235" w:rsidRDefault="00213235" w:rsidP="00CD150C">
      <w:r>
        <w:rPr>
          <w:rStyle w:val="a6"/>
        </w:rPr>
        <w:annotationRef/>
      </w:r>
      <w:r>
        <w:rPr>
          <w:rFonts w:hint="eastAsia"/>
          <w:color w:val="000000"/>
          <w:sz w:val="20"/>
          <w:szCs w:val="20"/>
        </w:rPr>
        <w:t>传鹏怎么看？</w:t>
      </w:r>
    </w:p>
  </w:comment>
  <w:comment w:id="94" w:author="office user" w:date="2023-07-20T18:00:00Z" w:initials="o1">
    <w:p w14:paraId="0992F475" w14:textId="3EE9087C" w:rsidR="005F18D3" w:rsidRDefault="005F18D3" w:rsidP="00022520">
      <w:r>
        <w:rPr>
          <w:rStyle w:val="a6"/>
        </w:rPr>
        <w:annotationRef/>
      </w:r>
      <w:r>
        <w:rPr>
          <w:rFonts w:hint="eastAsia"/>
          <w:sz w:val="20"/>
          <w:szCs w:val="20"/>
        </w:rPr>
        <w:t>既然我们文章中使用了</w:t>
      </w:r>
      <w:r>
        <w:rPr>
          <w:sz w:val="20"/>
          <w:szCs w:val="20"/>
        </w:rPr>
        <w:t>weight average SHR</w:t>
      </w:r>
      <w:r>
        <w:rPr>
          <w:rFonts w:hint="eastAsia"/>
          <w:sz w:val="20"/>
          <w:szCs w:val="20"/>
        </w:rPr>
        <w:t>，是否还需要点估计出来的</w:t>
      </w:r>
      <w:r>
        <w:rPr>
          <w:sz w:val="20"/>
          <w:szCs w:val="20"/>
        </w:rPr>
        <w:t>SHR</w:t>
      </w:r>
      <w:r>
        <w:rPr>
          <w:rFonts w:hint="eastAsia"/>
          <w:sz w:val="20"/>
          <w:szCs w:val="20"/>
        </w:rPr>
        <w:t>结果在这里？</w:t>
      </w:r>
    </w:p>
    <w:p w14:paraId="3080A0CD" w14:textId="77777777" w:rsidR="005F18D3" w:rsidRDefault="005F18D3" w:rsidP="00022520"/>
  </w:comment>
  <w:comment w:id="95" w:author="MengZhen" w:date="2023-07-20T21:15:00Z" w:initials="M">
    <w:p w14:paraId="22FCAEB1" w14:textId="77777777" w:rsidR="00BD3453" w:rsidRDefault="00E80224" w:rsidP="00A37331">
      <w:pPr>
        <w:pStyle w:val="a7"/>
      </w:pPr>
      <w:r>
        <w:rPr>
          <w:rStyle w:val="a6"/>
        </w:rPr>
        <w:annotationRef/>
      </w:r>
      <w:r w:rsidR="00BD3453">
        <w:rPr>
          <w:rFonts w:hint="eastAsia"/>
          <w:lang w:val="en-US"/>
        </w:rPr>
        <w:t>这个得</w:t>
      </w:r>
      <w:r w:rsidR="00BD3453">
        <w:rPr>
          <w:rFonts w:hint="eastAsia"/>
        </w:rPr>
        <w:t>传鹏</w:t>
      </w:r>
      <w:r w:rsidR="00BD3453">
        <w:rPr>
          <w:rFonts w:hint="eastAsia"/>
          <w:lang w:val="en-US"/>
        </w:rPr>
        <w:t>来决定了。我倾向于放每个数据集的具体估计值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16464E" w15:done="1"/>
  <w15:commentEx w15:paraId="18C50465" w15:paraIdParent="2416464E" w15:done="1"/>
  <w15:commentEx w15:paraId="7E6D8493" w15:done="1"/>
  <w15:commentEx w15:paraId="78F8E823" w15:paraIdParent="7E6D8493" w15:done="1"/>
  <w15:commentEx w15:paraId="22E1321A" w15:done="0"/>
  <w15:commentEx w15:paraId="4A35390A" w15:done="1"/>
  <w15:commentEx w15:paraId="469239F7" w15:done="1"/>
  <w15:commentEx w15:paraId="5D69E739" w15:paraIdParent="469239F7" w15:done="1"/>
  <w15:commentEx w15:paraId="512A2359" w15:done="0"/>
  <w15:commentEx w15:paraId="53CA3EEB" w15:done="1"/>
  <w15:commentEx w15:paraId="0E5F8B4C" w15:paraIdParent="53CA3EEB" w15:done="1"/>
  <w15:commentEx w15:paraId="3DA09927" w15:done="0"/>
  <w15:commentEx w15:paraId="59267613" w15:paraIdParent="3DA09927" w15:done="0"/>
  <w15:commentEx w15:paraId="38CEF172" w15:paraIdParent="3DA09927" w15:done="0"/>
  <w15:commentEx w15:paraId="5B6A3AB3" w15:done="1"/>
  <w15:commentEx w15:paraId="3DC940B7" w15:paraIdParent="5B6A3AB3" w15:done="1"/>
  <w15:commentEx w15:paraId="49B642FC" w15:done="1"/>
  <w15:commentEx w15:paraId="6A77E17B" w15:paraIdParent="49B642FC" w15:done="1"/>
  <w15:commentEx w15:paraId="3FCC8B2E" w15:done="0"/>
  <w15:commentEx w15:paraId="3DF2E07C" w15:paraIdParent="3FCC8B2E" w15:done="0"/>
  <w15:commentEx w15:paraId="09174310" w15:done="0"/>
  <w15:commentEx w15:paraId="6686C38F" w15:done="1"/>
  <w15:commentEx w15:paraId="5B093737" w15:paraIdParent="6686C38F" w15:done="1"/>
  <w15:commentEx w15:paraId="79CBE44A" w15:done="1"/>
  <w15:commentEx w15:paraId="49FA4F73" w15:done="1"/>
  <w15:commentEx w15:paraId="39BEFA2C" w15:paraIdParent="49FA4F73" w15:done="1"/>
  <w15:commentEx w15:paraId="498A2624" w15:done="0"/>
  <w15:commentEx w15:paraId="289BDA35" w15:paraIdParent="498A2624" w15:done="0"/>
  <w15:commentEx w15:paraId="3DB56C45" w15:paraIdParent="498A2624" w15:done="0"/>
  <w15:commentEx w15:paraId="37A236DB" w15:done="0"/>
  <w15:commentEx w15:paraId="18E3A201" w15:paraIdParent="37A236DB" w15:done="0"/>
  <w15:commentEx w15:paraId="61C76760" w15:paraIdParent="37A236DB" w15:done="0"/>
  <w15:commentEx w15:paraId="3080A0CD" w15:done="0"/>
  <w15:commentEx w15:paraId="22FCAEB1" w15:paraIdParent="3080A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FAA0" w16cex:dateUtc="2023-07-20T10:25:00Z"/>
  <w16cex:commentExtensible w16cex:durableId="28641CA9" w16cex:dateUtc="2023-07-20T12:50:00Z"/>
  <w16cex:commentExtensible w16cex:durableId="2863AF39" w16cex:dateUtc="2023-07-20T05:03:00Z"/>
  <w16cex:commentExtensible w16cex:durableId="2863C6A0" w16cex:dateUtc="2023-07-20T06:43:00Z"/>
  <w16cex:commentExtensible w16cex:durableId="2862A45A" w16cex:dateUtc="2023-07-19T10:05:00Z"/>
  <w16cex:commentExtensible w16cex:durableId="2862934D" w16cex:dateUtc="2023-07-16T04:23:00Z"/>
  <w16cex:commentExtensible w16cex:durableId="2863B61F" w16cex:dateUtc="2023-07-20T05:33:00Z"/>
  <w16cex:commentExtensible w16cex:durableId="2863C7B4" w16cex:dateUtc="2023-07-20T06:48: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D477" w16cex:dateUtc="2023-07-20T07:42:00Z"/>
  <w16cex:commentExtensible w16cex:durableId="2863B715" w16cex:dateUtc="2023-07-20T05:37:00Z"/>
  <w16cex:commentExtensible w16cex:durableId="2863C861" w16cex:dateUtc="2023-07-20T06:51:00Z"/>
  <w16cex:commentExtensible w16cex:durableId="2863DC1E" w16cex:dateUtc="2023-07-20T08:15:00Z"/>
  <w16cex:commentExtensible w16cex:durableId="28641CD2" w16cex:dateUtc="2023-07-20T12:51:00Z"/>
  <w16cex:commentExtensible w16cex:durableId="2862AB9C" w16cex:dateUtc="2023-07-19T10:36:00Z"/>
  <w16cex:commentExtensible w16cex:durableId="2863C8D7" w16cex:dateUtc="2023-07-20T06:53: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Extensible w16cex:durableId="2863E4AC" w16cex:dateUtc="2023-07-20T08:44:00Z"/>
  <w16cex:commentExtensible w16cex:durableId="28641FDA" w16cex:dateUtc="2023-07-20T13:04:00Z"/>
  <w16cex:commentExtensible w16cex:durableId="28650025" w16cex:dateUtc="2023-07-21T05:01:00Z"/>
  <w16cex:commentExtensible w16cex:durableId="2863F9C7" w16cex:dateUtc="2023-07-20T10:21:00Z"/>
  <w16cex:commentExtensible w16cex:durableId="2864222C" w16cex:dateUtc="2023-07-20T13:14:00Z"/>
  <w16cex:commentExtensible w16cex:durableId="2864FFEA" w16cex:dateUtc="2023-07-21T05:00:00Z"/>
  <w16cex:commentExtensible w16cex:durableId="2863F4D7" w16cex:dateUtc="2023-07-20T10:00:00Z"/>
  <w16cex:commentExtensible w16cex:durableId="28642272" w16cex:dateUtc="2023-07-20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16464E" w16cid:durableId="2863FAA0"/>
  <w16cid:commentId w16cid:paraId="18C50465" w16cid:durableId="28641CA9"/>
  <w16cid:commentId w16cid:paraId="7E6D8493" w16cid:durableId="2863AF39"/>
  <w16cid:commentId w16cid:paraId="78F8E823" w16cid:durableId="2863C6A0"/>
  <w16cid:commentId w16cid:paraId="22E1321A" w16cid:durableId="2862A45A"/>
  <w16cid:commentId w16cid:paraId="4A35390A" w16cid:durableId="2862934D"/>
  <w16cid:commentId w16cid:paraId="469239F7" w16cid:durableId="2863B61F"/>
  <w16cid:commentId w16cid:paraId="5D69E739" w16cid:durableId="2863C7B4"/>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38CEF172" w16cid:durableId="2863D477"/>
  <w16cid:commentId w16cid:paraId="5B6A3AB3" w16cid:durableId="2863B715"/>
  <w16cid:commentId w16cid:paraId="3DC940B7" w16cid:durableId="2863C861"/>
  <w16cid:commentId w16cid:paraId="49B642FC" w16cid:durableId="2863DC1E"/>
  <w16cid:commentId w16cid:paraId="6A77E17B" w16cid:durableId="28641CD2"/>
  <w16cid:commentId w16cid:paraId="3FCC8B2E" w16cid:durableId="2862AB9C"/>
  <w16cid:commentId w16cid:paraId="3DF2E07C" w16cid:durableId="2863C8D7"/>
  <w16cid:commentId w16cid:paraId="09174310" w16cid:durableId="2863B919"/>
  <w16cid:commentId w16cid:paraId="6686C38F" w16cid:durableId="2863BAC7"/>
  <w16cid:commentId w16cid:paraId="5B093737" w16cid:durableId="2863D191"/>
  <w16cid:commentId w16cid:paraId="79CBE44A" w16cid:durableId="2863D108"/>
  <w16cid:commentId w16cid:paraId="49FA4F73" w16cid:durableId="2863C424"/>
  <w16cid:commentId w16cid:paraId="39BEFA2C" w16cid:durableId="2863CFB0"/>
  <w16cid:commentId w16cid:paraId="498A2624" w16cid:durableId="2863E4AC"/>
  <w16cid:commentId w16cid:paraId="289BDA35" w16cid:durableId="28641FDA"/>
  <w16cid:commentId w16cid:paraId="3DB56C45" w16cid:durableId="28650025"/>
  <w16cid:commentId w16cid:paraId="37A236DB" w16cid:durableId="2863F9C7"/>
  <w16cid:commentId w16cid:paraId="18E3A201" w16cid:durableId="2864222C"/>
  <w16cid:commentId w16cid:paraId="61C76760" w16cid:durableId="2864FFEA"/>
  <w16cid:commentId w16cid:paraId="3080A0CD" w16cid:durableId="2863F4D7"/>
  <w16cid:commentId w16cid:paraId="22FCAEB1" w16cid:durableId="286422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6708" w14:textId="77777777" w:rsidR="00A712B6" w:rsidRDefault="00A712B6" w:rsidP="009E4B8F">
      <w:r>
        <w:separator/>
      </w:r>
    </w:p>
  </w:endnote>
  <w:endnote w:type="continuationSeparator" w:id="0">
    <w:p w14:paraId="0AE9B43A" w14:textId="77777777" w:rsidR="00A712B6" w:rsidRDefault="00A712B6"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BA2A0" w14:textId="77777777" w:rsidR="00A712B6" w:rsidRDefault="00A712B6" w:rsidP="009E4B8F">
      <w:r>
        <w:separator/>
      </w:r>
    </w:p>
  </w:footnote>
  <w:footnote w:type="continuationSeparator" w:id="0">
    <w:p w14:paraId="09154BC7" w14:textId="77777777" w:rsidR="00A712B6" w:rsidRDefault="00A712B6"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1"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2"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4"/>
  </w:num>
  <w:num w:numId="2" w16cid:durableId="1815024460">
    <w:abstractNumId w:val="7"/>
  </w:num>
  <w:num w:numId="3" w16cid:durableId="97602415">
    <w:abstractNumId w:val="28"/>
  </w:num>
  <w:num w:numId="4" w16cid:durableId="746078339">
    <w:abstractNumId w:val="15"/>
  </w:num>
  <w:num w:numId="5" w16cid:durableId="1625499117">
    <w:abstractNumId w:val="10"/>
  </w:num>
  <w:num w:numId="6" w16cid:durableId="1516505418">
    <w:abstractNumId w:val="16"/>
  </w:num>
  <w:num w:numId="7" w16cid:durableId="675114791">
    <w:abstractNumId w:val="19"/>
  </w:num>
  <w:num w:numId="8" w16cid:durableId="420219252">
    <w:abstractNumId w:val="12"/>
  </w:num>
  <w:num w:numId="9" w16cid:durableId="1414232798">
    <w:abstractNumId w:val="5"/>
  </w:num>
  <w:num w:numId="10" w16cid:durableId="1959985455">
    <w:abstractNumId w:val="29"/>
  </w:num>
  <w:num w:numId="11" w16cid:durableId="311176693">
    <w:abstractNumId w:val="17"/>
  </w:num>
  <w:num w:numId="12" w16cid:durableId="1307324121">
    <w:abstractNumId w:val="22"/>
  </w:num>
  <w:num w:numId="13" w16cid:durableId="198050360">
    <w:abstractNumId w:val="18"/>
  </w:num>
  <w:num w:numId="14" w16cid:durableId="1145126936">
    <w:abstractNumId w:val="32"/>
  </w:num>
  <w:num w:numId="15" w16cid:durableId="946350405">
    <w:abstractNumId w:val="37"/>
  </w:num>
  <w:num w:numId="16" w16cid:durableId="82654790">
    <w:abstractNumId w:val="36"/>
  </w:num>
  <w:num w:numId="17" w16cid:durableId="1205368256">
    <w:abstractNumId w:val="38"/>
  </w:num>
  <w:num w:numId="18" w16cid:durableId="1942714177">
    <w:abstractNumId w:val="4"/>
  </w:num>
  <w:num w:numId="19" w16cid:durableId="1992440507">
    <w:abstractNumId w:val="14"/>
  </w:num>
  <w:num w:numId="20" w16cid:durableId="164637731">
    <w:abstractNumId w:val="21"/>
  </w:num>
  <w:num w:numId="21" w16cid:durableId="1168327064">
    <w:abstractNumId w:val="6"/>
  </w:num>
  <w:num w:numId="22" w16cid:durableId="2041317888">
    <w:abstractNumId w:val="27"/>
  </w:num>
  <w:num w:numId="23" w16cid:durableId="1268319198">
    <w:abstractNumId w:val="39"/>
  </w:num>
  <w:num w:numId="24" w16cid:durableId="240723067">
    <w:abstractNumId w:val="13"/>
  </w:num>
  <w:num w:numId="25" w16cid:durableId="159664266">
    <w:abstractNumId w:val="3"/>
  </w:num>
  <w:num w:numId="26" w16cid:durableId="1857379443">
    <w:abstractNumId w:val="26"/>
  </w:num>
  <w:num w:numId="27" w16cid:durableId="1866475651">
    <w:abstractNumId w:val="31"/>
  </w:num>
  <w:num w:numId="28" w16cid:durableId="1300771358">
    <w:abstractNumId w:val="0"/>
  </w:num>
  <w:num w:numId="29" w16cid:durableId="33621212">
    <w:abstractNumId w:val="1"/>
  </w:num>
  <w:num w:numId="30" w16cid:durableId="642664189">
    <w:abstractNumId w:val="9"/>
  </w:num>
  <w:num w:numId="31" w16cid:durableId="1942685546">
    <w:abstractNumId w:val="30"/>
  </w:num>
  <w:num w:numId="32" w16cid:durableId="1493448813">
    <w:abstractNumId w:val="8"/>
  </w:num>
  <w:num w:numId="33" w16cid:durableId="1656449442">
    <w:abstractNumId w:val="35"/>
  </w:num>
  <w:num w:numId="34" w16cid:durableId="92211455">
    <w:abstractNumId w:val="33"/>
  </w:num>
  <w:num w:numId="35" w16cid:durableId="1605113436">
    <w:abstractNumId w:val="25"/>
  </w:num>
  <w:num w:numId="36" w16cid:durableId="558900834">
    <w:abstractNumId w:val="11"/>
  </w:num>
  <w:num w:numId="37" w16cid:durableId="1221555196">
    <w:abstractNumId w:val="2"/>
  </w:num>
  <w:num w:numId="38" w16cid:durableId="2012633215">
    <w:abstractNumId w:val="23"/>
  </w:num>
  <w:num w:numId="39" w16cid:durableId="579828329">
    <w:abstractNumId w:val="24"/>
  </w:num>
  <w:num w:numId="40" w16cid:durableId="81888764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21E19"/>
    <w:rsid w:val="00031359"/>
    <w:rsid w:val="000314AD"/>
    <w:rsid w:val="000357BB"/>
    <w:rsid w:val="00036E76"/>
    <w:rsid w:val="00036F89"/>
    <w:rsid w:val="00037C92"/>
    <w:rsid w:val="00044360"/>
    <w:rsid w:val="00044E08"/>
    <w:rsid w:val="000456DA"/>
    <w:rsid w:val="000458D2"/>
    <w:rsid w:val="00047102"/>
    <w:rsid w:val="00051F2D"/>
    <w:rsid w:val="00054F72"/>
    <w:rsid w:val="00062B92"/>
    <w:rsid w:val="00064AB4"/>
    <w:rsid w:val="00064C9C"/>
    <w:rsid w:val="00065DE7"/>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E01"/>
    <w:rsid w:val="001224F9"/>
    <w:rsid w:val="0012437C"/>
    <w:rsid w:val="00125ED5"/>
    <w:rsid w:val="0013002F"/>
    <w:rsid w:val="00137FE0"/>
    <w:rsid w:val="00140158"/>
    <w:rsid w:val="0014261E"/>
    <w:rsid w:val="001438A3"/>
    <w:rsid w:val="00144606"/>
    <w:rsid w:val="00144B8C"/>
    <w:rsid w:val="00145599"/>
    <w:rsid w:val="00146F5D"/>
    <w:rsid w:val="00151830"/>
    <w:rsid w:val="00152010"/>
    <w:rsid w:val="00152EA6"/>
    <w:rsid w:val="00154F1B"/>
    <w:rsid w:val="001624A0"/>
    <w:rsid w:val="00162BBB"/>
    <w:rsid w:val="00163DAA"/>
    <w:rsid w:val="00166EDE"/>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6382"/>
    <w:rsid w:val="001B69F0"/>
    <w:rsid w:val="001C2F36"/>
    <w:rsid w:val="001C4C8D"/>
    <w:rsid w:val="001C5230"/>
    <w:rsid w:val="001D2B34"/>
    <w:rsid w:val="001D3BCE"/>
    <w:rsid w:val="001D411B"/>
    <w:rsid w:val="001D7C38"/>
    <w:rsid w:val="001E2694"/>
    <w:rsid w:val="001E28CE"/>
    <w:rsid w:val="001E5610"/>
    <w:rsid w:val="001F11EF"/>
    <w:rsid w:val="001F2150"/>
    <w:rsid w:val="001F635C"/>
    <w:rsid w:val="002014F3"/>
    <w:rsid w:val="00211A5B"/>
    <w:rsid w:val="00213235"/>
    <w:rsid w:val="00215C6A"/>
    <w:rsid w:val="00220493"/>
    <w:rsid w:val="00221B60"/>
    <w:rsid w:val="00221EEF"/>
    <w:rsid w:val="0022376C"/>
    <w:rsid w:val="0022601F"/>
    <w:rsid w:val="00232EC9"/>
    <w:rsid w:val="00233397"/>
    <w:rsid w:val="00233CA0"/>
    <w:rsid w:val="00236678"/>
    <w:rsid w:val="00236C6D"/>
    <w:rsid w:val="00237555"/>
    <w:rsid w:val="00241112"/>
    <w:rsid w:val="0025117B"/>
    <w:rsid w:val="00251A27"/>
    <w:rsid w:val="00253B66"/>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6756"/>
    <w:rsid w:val="00381708"/>
    <w:rsid w:val="00386728"/>
    <w:rsid w:val="00393D7B"/>
    <w:rsid w:val="003954D4"/>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2C6"/>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59A0"/>
    <w:rsid w:val="004F624B"/>
    <w:rsid w:val="004F6664"/>
    <w:rsid w:val="005003A8"/>
    <w:rsid w:val="0050359A"/>
    <w:rsid w:val="005127C0"/>
    <w:rsid w:val="00512DA3"/>
    <w:rsid w:val="005134E3"/>
    <w:rsid w:val="005159A5"/>
    <w:rsid w:val="00516BE4"/>
    <w:rsid w:val="005223E3"/>
    <w:rsid w:val="00525C56"/>
    <w:rsid w:val="005273CE"/>
    <w:rsid w:val="00532C42"/>
    <w:rsid w:val="00534451"/>
    <w:rsid w:val="00536F58"/>
    <w:rsid w:val="005459F9"/>
    <w:rsid w:val="00546FE0"/>
    <w:rsid w:val="00566D09"/>
    <w:rsid w:val="00566DCB"/>
    <w:rsid w:val="0057201A"/>
    <w:rsid w:val="00572E87"/>
    <w:rsid w:val="00582997"/>
    <w:rsid w:val="00582C4F"/>
    <w:rsid w:val="0058535C"/>
    <w:rsid w:val="00585510"/>
    <w:rsid w:val="0058643B"/>
    <w:rsid w:val="00586F83"/>
    <w:rsid w:val="005877E7"/>
    <w:rsid w:val="00591489"/>
    <w:rsid w:val="00596248"/>
    <w:rsid w:val="00596F9D"/>
    <w:rsid w:val="005A0F67"/>
    <w:rsid w:val="005A3883"/>
    <w:rsid w:val="005B0893"/>
    <w:rsid w:val="005B4062"/>
    <w:rsid w:val="005C7595"/>
    <w:rsid w:val="005D31DB"/>
    <w:rsid w:val="005D75C4"/>
    <w:rsid w:val="005E567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0EE2"/>
    <w:rsid w:val="0063143D"/>
    <w:rsid w:val="006320C3"/>
    <w:rsid w:val="00633D69"/>
    <w:rsid w:val="00634D8E"/>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19BA"/>
    <w:rsid w:val="006E2CCF"/>
    <w:rsid w:val="006F1743"/>
    <w:rsid w:val="006F34E5"/>
    <w:rsid w:val="006F5CE9"/>
    <w:rsid w:val="007036EB"/>
    <w:rsid w:val="00703AB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5550B"/>
    <w:rsid w:val="00761CAC"/>
    <w:rsid w:val="007652FC"/>
    <w:rsid w:val="00765793"/>
    <w:rsid w:val="007660BD"/>
    <w:rsid w:val="00767D3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5C7"/>
    <w:rsid w:val="00816D6A"/>
    <w:rsid w:val="00816F72"/>
    <w:rsid w:val="008218D0"/>
    <w:rsid w:val="008250E4"/>
    <w:rsid w:val="0082596E"/>
    <w:rsid w:val="00827386"/>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66D87"/>
    <w:rsid w:val="008719D7"/>
    <w:rsid w:val="00871B16"/>
    <w:rsid w:val="008724B2"/>
    <w:rsid w:val="008748A5"/>
    <w:rsid w:val="008763DB"/>
    <w:rsid w:val="00876459"/>
    <w:rsid w:val="0088184E"/>
    <w:rsid w:val="008818E8"/>
    <w:rsid w:val="00887B0F"/>
    <w:rsid w:val="008968E6"/>
    <w:rsid w:val="008A050A"/>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8F6A86"/>
    <w:rsid w:val="009006E7"/>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74"/>
    <w:rsid w:val="00947D05"/>
    <w:rsid w:val="00953534"/>
    <w:rsid w:val="00954E3A"/>
    <w:rsid w:val="009565C3"/>
    <w:rsid w:val="009665CE"/>
    <w:rsid w:val="00966F9E"/>
    <w:rsid w:val="00972C39"/>
    <w:rsid w:val="00972F03"/>
    <w:rsid w:val="00973E3B"/>
    <w:rsid w:val="00974D72"/>
    <w:rsid w:val="00977267"/>
    <w:rsid w:val="00980A67"/>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7F77"/>
    <w:rsid w:val="00A8153B"/>
    <w:rsid w:val="00A83745"/>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1A58"/>
    <w:rsid w:val="00B27035"/>
    <w:rsid w:val="00B32666"/>
    <w:rsid w:val="00B327FC"/>
    <w:rsid w:val="00B3449B"/>
    <w:rsid w:val="00B37D44"/>
    <w:rsid w:val="00B40719"/>
    <w:rsid w:val="00B40788"/>
    <w:rsid w:val="00B41646"/>
    <w:rsid w:val="00B41B99"/>
    <w:rsid w:val="00B4730B"/>
    <w:rsid w:val="00B51E8A"/>
    <w:rsid w:val="00B54225"/>
    <w:rsid w:val="00B55E3E"/>
    <w:rsid w:val="00B564A1"/>
    <w:rsid w:val="00B56ABD"/>
    <w:rsid w:val="00B57B70"/>
    <w:rsid w:val="00B61765"/>
    <w:rsid w:val="00B65E47"/>
    <w:rsid w:val="00B70AB1"/>
    <w:rsid w:val="00B7253B"/>
    <w:rsid w:val="00B7318A"/>
    <w:rsid w:val="00B7597F"/>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3453"/>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0739"/>
    <w:rsid w:val="00CB2315"/>
    <w:rsid w:val="00CB44B5"/>
    <w:rsid w:val="00CC39AC"/>
    <w:rsid w:val="00CC406A"/>
    <w:rsid w:val="00CD5194"/>
    <w:rsid w:val="00CD740F"/>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17822"/>
    <w:rsid w:val="00E20CB5"/>
    <w:rsid w:val="00E213D1"/>
    <w:rsid w:val="00E23A77"/>
    <w:rsid w:val="00E30EB5"/>
    <w:rsid w:val="00E3133C"/>
    <w:rsid w:val="00E323E3"/>
    <w:rsid w:val="00E32D1B"/>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908FC"/>
    <w:rsid w:val="00E90BE7"/>
    <w:rsid w:val="00E93472"/>
    <w:rsid w:val="00EA1E96"/>
    <w:rsid w:val="00EA2CC9"/>
    <w:rsid w:val="00EB204F"/>
    <w:rsid w:val="00EB23E3"/>
    <w:rsid w:val="00EB2BE6"/>
    <w:rsid w:val="00EB3AA1"/>
    <w:rsid w:val="00EB6A4B"/>
    <w:rsid w:val="00EB7B54"/>
    <w:rsid w:val="00EC3E0C"/>
    <w:rsid w:val="00ED1D9F"/>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AAC"/>
    <w:rsid w:val="00F44553"/>
    <w:rsid w:val="00F4539A"/>
    <w:rsid w:val="00F461EB"/>
    <w:rsid w:val="00F5343B"/>
    <w:rsid w:val="00F60145"/>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huan-Peng-Lab/ReliabilitySPE" TargetMode="External"/><Relationship Id="rId21" Type="http://schemas.openxmlformats.org/officeDocument/2006/relationships/image" Target="media/image6.png"/><Relationship Id="rId42" Type="http://schemas.openxmlformats.org/officeDocument/2006/relationships/hyperlink" Target="https://doi.org/10.1037/0096-3445.104.3.268" TargetMode="External"/><Relationship Id="rId47" Type="http://schemas.openxmlformats.org/officeDocument/2006/relationships/hyperlink" Target="https://doi.org/10.1038/s41598-020-76001-9" TargetMode="External"/><Relationship Id="rId63" Type="http://schemas.openxmlformats.org/officeDocument/2006/relationships/hyperlink" Target="https://doi.org/10.1016/S0926-6410(00)00036-7" TargetMode="External"/><Relationship Id="rId68" Type="http://schemas.openxmlformats.org/officeDocument/2006/relationships/hyperlink" Target="https://doi.org/10.1016/j.jad.2022.04.122" TargetMode="External"/><Relationship Id="rId84" Type="http://schemas.openxmlformats.org/officeDocument/2006/relationships/hyperlink" Target="https://doi.org/10.1016/j.jrp.2008.08.001" TargetMode="External"/><Relationship Id="rId89" Type="http://schemas.openxmlformats.org/officeDocument/2006/relationships/hyperlink" Target="https://doi.org/10.1007/s00426-021-01562-x" TargetMode="External"/><Relationship Id="rId16" Type="http://schemas.openxmlformats.org/officeDocument/2006/relationships/footer" Target="footer2.xml"/><Relationship Id="rId11"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hyperlink" Target="https://doi.org/10.1080/02699931.2020.1839383" TargetMode="External"/><Relationship Id="rId53" Type="http://schemas.openxmlformats.org/officeDocument/2006/relationships/hyperlink" Target="https://doi.org/10.3758/s13421-017-0722-3" TargetMode="External"/><Relationship Id="rId58" Type="http://schemas.openxmlformats.org/officeDocument/2006/relationships/hyperlink" Target="https://doi.org/10.1080/20445911.2014.996156" TargetMode="External"/><Relationship Id="rId74" Type="http://schemas.openxmlformats.org/officeDocument/2006/relationships/hyperlink" Target="https://doi.org/10.1002/aur.2200" TargetMode="External"/><Relationship Id="rId79" Type="http://schemas.openxmlformats.org/officeDocument/2006/relationships/hyperlink" Target="https://www.R-project.org/" TargetMode="External"/><Relationship Id="rId5" Type="http://schemas.openxmlformats.org/officeDocument/2006/relationships/webSettings" Target="webSettings.xml"/><Relationship Id="rId90" Type="http://schemas.openxmlformats.org/officeDocument/2006/relationships/hyperlink" Target="https://doi.org/10.1037/0033-2909.121.3.371" TargetMode="External"/><Relationship Id="rId95" Type="http://schemas.openxmlformats.org/officeDocument/2006/relationships/hyperlink" Target="https://doi.org/10.3389/fpsyg.2019.02270" TargetMode="External"/><Relationship Id="rId22" Type="http://schemas.openxmlformats.org/officeDocument/2006/relationships/image" Target="media/image7.png"/><Relationship Id="rId27" Type="http://schemas.openxmlformats.org/officeDocument/2006/relationships/image" Target="media/image8.png"/><Relationship Id="rId43" Type="http://schemas.openxmlformats.org/officeDocument/2006/relationships/hyperlink" Target="https://doi.org/10.1080/17470218.2016.1276609" TargetMode="External"/><Relationship Id="rId48" Type="http://schemas.openxmlformats.org/officeDocument/2006/relationships/hyperlink" Target="https://doi.org/10.1016/j.neuroimage.2018.08.018" TargetMode="External"/><Relationship Id="rId64" Type="http://schemas.openxmlformats.org/officeDocument/2006/relationships/hyperlink" Target="https://doi.org/10.1002/hbm.25129" TargetMode="External"/><Relationship Id="rId69" Type="http://schemas.openxmlformats.org/officeDocument/2006/relationships/hyperlink" Target="https://doi.org/10.1111/cdev.13352" TargetMode="External"/><Relationship Id="rId80" Type="http://schemas.openxmlformats.org/officeDocument/2006/relationships/hyperlink" Target="https://CRAN.R-project.org/package=psych" TargetMode="External"/><Relationship Id="rId85" Type="http://schemas.openxmlformats.org/officeDocument/2006/relationships/hyperlink" Target="https://doi.org/10.1037/xhp0000742"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github.com/Chuan-Peng-Lab/ReliabilitySPE" TargetMode="External"/><Relationship Id="rId33" Type="http://schemas.openxmlformats.org/officeDocument/2006/relationships/hyperlink" Target="https://doi.org/10.1016/j.actpsy.2021.103297" TargetMode="External"/><Relationship Id="rId38" Type="http://schemas.openxmlformats.org/officeDocument/2006/relationships/hyperlink" Target="https://doi.org/10.1037/xhp0000691" TargetMode="External"/><Relationship Id="rId46" Type="http://schemas.openxmlformats.org/officeDocument/2006/relationships/hyperlink" Target="https://doi.org/10.1016/j.actpsy.2017.11.011" TargetMode="External"/><Relationship Id="rId59" Type="http://schemas.openxmlformats.org/officeDocument/2006/relationships/hyperlink" Target="https://doi.org/10.3389/fpsyg.2019.01469" TargetMode="External"/><Relationship Id="rId67" Type="http://schemas.openxmlformats.org/officeDocument/2006/relationships/hyperlink" Target="https://doi.org/10.1177/0956797620904990" TargetMode="External"/><Relationship Id="rId20" Type="http://schemas.openxmlformats.org/officeDocument/2006/relationships/image" Target="media/image5.png"/><Relationship Id="rId41" Type="http://schemas.openxmlformats.org/officeDocument/2006/relationships/hyperlink" Target="https://doi.org/10.1002/acp.2350090102" TargetMode="External"/><Relationship Id="rId54" Type="http://schemas.openxmlformats.org/officeDocument/2006/relationships/hyperlink" Target="https://doi.org/10.1016/j.actpsy.2021.103350" TargetMode="External"/><Relationship Id="rId62" Type="http://schemas.openxmlformats.org/officeDocument/2006/relationships/hyperlink" Target="https://doi.org/10.1016/S1364-6613" TargetMode="External"/><Relationship Id="rId70" Type="http://schemas.openxmlformats.org/officeDocument/2006/relationships/hyperlink" Target="https://doi.org/10.1177/1745691612460688" TargetMode="External"/><Relationship Id="rId75" Type="http://schemas.openxmlformats.org/officeDocument/2006/relationships/hyperlink" Target="https://doi.org/10.1027/1618-3169/a000502" TargetMode="External"/><Relationship Id="rId83" Type="http://schemas.openxmlformats.org/officeDocument/2006/relationships/hyperlink" Target="https://doi.org/10.1037//0096-1523.23.2.504" TargetMode="External"/><Relationship Id="rId88" Type="http://schemas.openxmlformats.org/officeDocument/2006/relationships/hyperlink" Target="https://doi.org/10.1016/j.cortex.2017.08.006" TargetMode="External"/><Relationship Id="rId91" Type="http://schemas.openxmlformats.org/officeDocument/2006/relationships/hyperlink" Target="https://doi.org/10.1038/nn907" TargetMode="External"/><Relationship Id="rId96"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osf.io/zv628" TargetMode="External"/><Relationship Id="rId28" Type="http://schemas.openxmlformats.org/officeDocument/2006/relationships/image" Target="media/image9.png"/><Relationship Id="rId36" Type="http://schemas.openxmlformats.org/officeDocument/2006/relationships/hyperlink" Target="https://psycnet.apa.org/record/1982-00095-001" TargetMode="External"/><Relationship Id="rId49" Type="http://schemas.openxmlformats.org/officeDocument/2006/relationships/hyperlink" Target="https://doi.org/10.1016/j.psyneuen.2020.104804" TargetMode="External"/><Relationship Id="rId57" Type="http://schemas.openxmlformats.org/officeDocument/2006/relationships/hyperlink" Target="https://doi.org/10.1068/p7526" TargetMode="External"/><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doi.org/10.1016/j.concog.2007.04.003" TargetMode="External"/><Relationship Id="rId52" Type="http://schemas.openxmlformats.org/officeDocument/2006/relationships/hyperlink" Target="https://doi.org/10.1016/j.concog.2019.102848" TargetMode="External"/><Relationship Id="rId60" Type="http://schemas.openxmlformats.org/officeDocument/2006/relationships/hyperlink" Target="https://doi.org/10.1177/1948550617703174" TargetMode="External"/><Relationship Id="rId65" Type="http://schemas.openxmlformats.org/officeDocument/2006/relationships/hyperlink" Target="https://doi.org/10.1016/j.jcm.2016.02.012" TargetMode="External"/><Relationship Id="rId73" Type="http://schemas.openxmlformats.org/officeDocument/2006/relationships/hyperlink" Target="https://doi.org/10.31234/osf.io/9dzm4" TargetMode="External"/><Relationship Id="rId78" Type="http://schemas.openxmlformats.org/officeDocument/2006/relationships/hyperlink" Target="https://doi.org/10.1177/1747021819892158" TargetMode="External"/><Relationship Id="rId81" Type="http://schemas.openxmlformats.org/officeDocument/2006/relationships/hyperlink" Target="https://doi.org/10.1037//0022-3514.35.9.677" TargetMode="External"/><Relationship Id="rId86" Type="http://schemas.openxmlformats.org/officeDocument/2006/relationships/hyperlink" Target="https://doi.org/10.1037/a0029792" TargetMode="External"/><Relationship Id="rId94" Type="http://schemas.openxmlformats.org/officeDocument/2006/relationships/hyperlink" Target="https://doi.org/10.1007/s12144-021-02114-7"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s://doi.org/10.1016/j.actpsy.2020.103167" TargetMode="External"/><Relationship Id="rId34" Type="http://schemas.openxmlformats.org/officeDocument/2006/relationships/hyperlink" Target="https://doi.org/10.1186/s41235-019-0186-z" TargetMode="External"/><Relationship Id="rId50" Type="http://schemas.openxmlformats.org/officeDocument/2006/relationships/hyperlink" Target="https://doi.org/10.1007/978-1-4612-4380-9_6" TargetMode="External"/><Relationship Id="rId55" Type="http://schemas.openxmlformats.org/officeDocument/2006/relationships/hyperlink" Target="https://doi.org/10.1525/collabra.301" TargetMode="External"/><Relationship Id="rId76" Type="http://schemas.openxmlformats.org/officeDocument/2006/relationships/hyperlink" Target="https://doi.org/10.1111/bjop.12479"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89/fnins.2020.00683" TargetMode="External"/><Relationship Id="rId92" Type="http://schemas.openxmlformats.org/officeDocument/2006/relationships/hyperlink" Target="https://doi.org/10.3758/BF03194023"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oi.org/10.57760/sciencedb.08117" TargetMode="External"/><Relationship Id="rId40" Type="http://schemas.openxmlformats.org/officeDocument/2006/relationships/hyperlink" Target="https://doi.org/10.3758/s13421-019-00924-6" TargetMode="External"/><Relationship Id="rId45" Type="http://schemas.openxmlformats.org/officeDocument/2006/relationships/hyperlink" Target="https://doi.org/10.1016/j.actpsy.2018.08.009" TargetMode="External"/><Relationship Id="rId66" Type="http://schemas.openxmlformats.org/officeDocument/2006/relationships/hyperlink" Target="https://doi.org/10.2307/2531695" TargetMode="External"/><Relationship Id="rId87" Type="http://schemas.openxmlformats.org/officeDocument/2006/relationships/hyperlink" Target="https://doi.org/10.1016/j.neuropsychologia.2013.07.025" TargetMode="External"/><Relationship Id="rId61" Type="http://schemas.openxmlformats.org/officeDocument/2006/relationships/hyperlink" Target="https://doi.org/10.31234/osf.io/ta59r" TargetMode="External"/><Relationship Id="rId82" Type="http://schemas.openxmlformats.org/officeDocument/2006/relationships/hyperlink" Target="https://doi.org/10.1080/20445911.2019.1686393" TargetMode="External"/><Relationship Id="rId19" Type="http://schemas.openxmlformats.org/officeDocument/2006/relationships/image" Target="media/image4.png"/><Relationship Id="rId14" Type="http://schemas.openxmlformats.org/officeDocument/2006/relationships/hyperlink" Target="https://osf.io/pcv3u/" TargetMode="External"/><Relationship Id="rId30" Type="http://schemas.openxmlformats.org/officeDocument/2006/relationships/image" Target="media/image11.png"/><Relationship Id="rId35" Type="http://schemas.openxmlformats.org/officeDocument/2006/relationships/hyperlink" Target="https://doi.org/10.1121/1.1907229" TargetMode="External"/><Relationship Id="rId56" Type="http://schemas.openxmlformats.org/officeDocument/2006/relationships/hyperlink" Target="https://doi.org/10.57760/sciencedb.08117" TargetMode="External"/><Relationship Id="rId77" Type="http://schemas.openxmlformats.org/officeDocument/2006/relationships/hyperlink" Target="https://doi.org/10.3758/s13423-021-01948-3"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111/bjdp.12219" TargetMode="External"/><Relationship Id="rId72" Type="http://schemas.openxmlformats.org/officeDocument/2006/relationships/hyperlink" Target="https://doi.org/10.1080/17470215908416289" TargetMode="External"/><Relationship Id="rId93" Type="http://schemas.openxmlformats.org/officeDocument/2006/relationships/hyperlink" Target="https://doi.org/10.1371/journal.pone.0190679"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32</Pages>
  <Words>24334</Words>
  <Characters>138710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5</cp:revision>
  <dcterms:created xsi:type="dcterms:W3CDTF">2023-07-21T04:54:00Z</dcterms:created>
  <dcterms:modified xsi:type="dcterms:W3CDTF">2023-07-21T05:15:00Z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