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3C1F4" w14:textId="77777777" w:rsidR="003735DA" w:rsidRPr="00F764C1" w:rsidRDefault="003735DA" w:rsidP="003735DA">
      <w:pPr>
        <w:pStyle w:val="Title"/>
        <w:spacing w:after="480"/>
        <w:rPr>
          <w:rFonts w:eastAsiaTheme="minorEastAsia"/>
          <w:lang w:val="en-GB"/>
        </w:rPr>
      </w:pPr>
      <w:r w:rsidRPr="00F764C1">
        <w:rPr>
          <w:rFonts w:eastAsiaTheme="minorEastAsia"/>
          <w:lang w:val="en-GB"/>
        </w:rPr>
        <w:t>Supplementary Material for “A Multiverse</w:t>
      </w:r>
      <w:r>
        <w:rPr>
          <w:rFonts w:eastAsiaTheme="minorEastAsia" w:hint="eastAsia"/>
          <w:lang w:val="en-GB"/>
        </w:rPr>
        <w:t xml:space="preserve"> </w:t>
      </w:r>
      <w:r w:rsidRPr="00F764C1">
        <w:rPr>
          <w:rFonts w:eastAsiaTheme="minorEastAsia"/>
          <w:lang w:val="en-GB"/>
        </w:rPr>
        <w:t xml:space="preserve">Assessment of the Reliability of the </w:t>
      </w:r>
      <w:r w:rsidRPr="005D5792">
        <w:rPr>
          <w:rFonts w:eastAsiaTheme="minorEastAsia"/>
          <w:color w:val="080ABF"/>
          <w:lang w:val="en-GB"/>
        </w:rPr>
        <w:t>Self</w:t>
      </w:r>
      <w:r w:rsidRPr="005D5792">
        <w:rPr>
          <w:rFonts w:eastAsiaTheme="minorEastAsia" w:hint="eastAsia"/>
          <w:color w:val="080ABF"/>
          <w:lang w:val="en-GB"/>
        </w:rPr>
        <w:t xml:space="preserve"> </w:t>
      </w:r>
      <w:r w:rsidRPr="00F764C1">
        <w:rPr>
          <w:rFonts w:eastAsiaTheme="minorEastAsia"/>
          <w:lang w:val="en-GB"/>
        </w:rPr>
        <w:t>Matching Task as a Measurement of the</w:t>
      </w:r>
      <w:r>
        <w:rPr>
          <w:rFonts w:eastAsiaTheme="minorEastAsia" w:hint="eastAsia"/>
          <w:lang w:val="en-GB"/>
        </w:rPr>
        <w:t xml:space="preserve"> </w:t>
      </w:r>
      <w:r w:rsidRPr="00F764C1">
        <w:rPr>
          <w:rFonts w:eastAsiaTheme="minorEastAsia"/>
          <w:lang w:val="en-GB"/>
        </w:rPr>
        <w:t>Self-Prioritization Effect”</w:t>
      </w:r>
    </w:p>
    <w:p w14:paraId="23946F5B" w14:textId="77777777" w:rsidR="003735DA" w:rsidRPr="009B1C89" w:rsidRDefault="003735DA" w:rsidP="003735DA">
      <w:pPr>
        <w:pStyle w:val="NormalWeb"/>
        <w:spacing w:after="480"/>
        <w:jc w:val="center"/>
      </w:pPr>
      <w:r w:rsidRPr="009B1C89">
        <w:t>Zheng Liu</w:t>
      </w:r>
      <w:r w:rsidRPr="00680A35">
        <w:rPr>
          <w:rFonts w:eastAsiaTheme="minorEastAsia" w:hint="eastAsia"/>
          <w:vertAlign w:val="superscript"/>
        </w:rPr>
        <w:t>1,2</w:t>
      </w:r>
      <w:r w:rsidRPr="00680A35">
        <w:rPr>
          <w:rFonts w:eastAsiaTheme="minorEastAsia" w:hint="eastAsia"/>
          <w:vertAlign w:val="superscript"/>
        </w:rPr>
        <w:t>†</w:t>
      </w:r>
      <w:r w:rsidRPr="009B1C89">
        <w:t>, Mengzhen Hu</w:t>
      </w:r>
      <w:r w:rsidRPr="00680A35">
        <w:rPr>
          <w:rFonts w:eastAsiaTheme="minorEastAsia" w:hint="eastAsia"/>
          <w:vertAlign w:val="superscript"/>
        </w:rPr>
        <w:t>1</w:t>
      </w:r>
      <w:r w:rsidRPr="00680A35">
        <w:rPr>
          <w:rFonts w:eastAsiaTheme="minorEastAsia" w:hint="eastAsia"/>
          <w:vertAlign w:val="superscript"/>
        </w:rPr>
        <w:t>†</w:t>
      </w:r>
      <w:r w:rsidRPr="009B1C89">
        <w:t>, Yuanrui Zheng</w:t>
      </w:r>
      <w:r w:rsidRPr="00680A35">
        <w:rPr>
          <w:rFonts w:eastAsiaTheme="minorEastAsia" w:hint="eastAsia"/>
          <w:vertAlign w:val="superscript"/>
        </w:rPr>
        <w:t>1</w:t>
      </w:r>
      <w:r w:rsidRPr="009B1C89">
        <w:t>, Jie Sui</w:t>
      </w:r>
      <w:r w:rsidRPr="00680A35">
        <w:rPr>
          <w:rFonts w:eastAsiaTheme="minorEastAsia" w:hint="eastAsia"/>
          <w:vertAlign w:val="superscript"/>
        </w:rPr>
        <w:t>3</w:t>
      </w:r>
      <w:r w:rsidRPr="009B1C89">
        <w:t>, Hu Chuan-Peng</w:t>
      </w:r>
      <w:r w:rsidRPr="00680A35">
        <w:rPr>
          <w:rFonts w:eastAsiaTheme="minorEastAsia" w:hint="eastAsia"/>
          <w:vertAlign w:val="superscript"/>
        </w:rPr>
        <w:t>1*</w:t>
      </w:r>
    </w:p>
    <w:p w14:paraId="79DA28B4" w14:textId="77777777" w:rsidR="00650CFF" w:rsidRDefault="003735DA" w:rsidP="00E44392">
      <w:pPr>
        <w:pStyle w:val="NormalWeb"/>
        <w:spacing w:before="120" w:beforeAutospacing="0" w:after="120" w:afterAutospacing="0"/>
        <w:jc w:val="center"/>
        <w:rPr>
          <w:sz w:val="22"/>
          <w:szCs w:val="22"/>
        </w:rPr>
      </w:pPr>
      <w:r w:rsidRPr="00680A35">
        <w:rPr>
          <w:rFonts w:eastAsiaTheme="minorEastAsia" w:hint="eastAsia"/>
          <w:sz w:val="22"/>
          <w:szCs w:val="22"/>
          <w:vertAlign w:val="superscript"/>
        </w:rPr>
        <w:t>1*</w:t>
      </w:r>
      <w:r w:rsidRPr="009B1C89">
        <w:rPr>
          <w:sz w:val="22"/>
          <w:szCs w:val="22"/>
        </w:rPr>
        <w:t xml:space="preserve">School of Psychology, Nanjing Normal University, Nanjing, China. </w:t>
      </w:r>
    </w:p>
    <w:p w14:paraId="472D5E4F" w14:textId="77777777" w:rsidR="00E44392" w:rsidRDefault="003735DA" w:rsidP="00E44392">
      <w:pPr>
        <w:pStyle w:val="NormalWeb"/>
        <w:spacing w:before="120" w:beforeAutospacing="0" w:after="120" w:afterAutospacing="0"/>
        <w:jc w:val="center"/>
        <w:rPr>
          <w:sz w:val="22"/>
          <w:szCs w:val="22"/>
        </w:rPr>
      </w:pPr>
      <w:r w:rsidRPr="00680A35">
        <w:rPr>
          <w:rFonts w:eastAsiaTheme="minorEastAsia" w:hint="eastAsia"/>
          <w:sz w:val="22"/>
          <w:szCs w:val="22"/>
          <w:vertAlign w:val="superscript"/>
        </w:rPr>
        <w:t>2*</w:t>
      </w:r>
      <w:r w:rsidRPr="009B1C89">
        <w:rPr>
          <w:sz w:val="22"/>
          <w:szCs w:val="22"/>
        </w:rPr>
        <w:t>School of Humanities and Social Science, The Chinese University of Hong Kong-Shenzhen, Shenzhen, China.</w:t>
      </w:r>
    </w:p>
    <w:p w14:paraId="1080B500" w14:textId="2CCCC850" w:rsidR="003735DA" w:rsidRPr="00E44392" w:rsidRDefault="003735DA" w:rsidP="00E44392">
      <w:pPr>
        <w:pStyle w:val="NormalWeb"/>
        <w:spacing w:before="120" w:beforeAutospacing="0" w:after="120" w:afterAutospacing="0"/>
        <w:jc w:val="center"/>
        <w:rPr>
          <w:sz w:val="22"/>
          <w:szCs w:val="22"/>
        </w:rPr>
      </w:pPr>
      <w:r w:rsidRPr="00680A35">
        <w:rPr>
          <w:rFonts w:eastAsiaTheme="minorEastAsia" w:hint="eastAsia"/>
          <w:sz w:val="22"/>
          <w:szCs w:val="22"/>
          <w:vertAlign w:val="superscript"/>
        </w:rPr>
        <w:t>3*</w:t>
      </w:r>
      <w:r w:rsidRPr="009B1C89">
        <w:rPr>
          <w:sz w:val="22"/>
          <w:szCs w:val="22"/>
        </w:rPr>
        <w:t>School of Psychology, University of Aberdeen, Old Aberdeen, Scotland.</w:t>
      </w:r>
    </w:p>
    <w:p w14:paraId="34AC8AA8" w14:textId="77777777" w:rsidR="003735DA" w:rsidRPr="00680A35" w:rsidRDefault="003735DA" w:rsidP="003735DA">
      <w:pPr>
        <w:pStyle w:val="NormalWeb"/>
        <w:spacing w:after="480"/>
        <w:jc w:val="center"/>
        <w:rPr>
          <w:rFonts w:eastAsiaTheme="minorEastAsia"/>
        </w:rPr>
      </w:pPr>
      <w:r w:rsidRPr="00680A35">
        <w:rPr>
          <w:rFonts w:eastAsiaTheme="minorEastAsia" w:hint="eastAsia"/>
          <w:sz w:val="22"/>
          <w:szCs w:val="22"/>
          <w:vertAlign w:val="superscript"/>
        </w:rPr>
        <w:t>*</w:t>
      </w:r>
      <w:r w:rsidRPr="009B1C89">
        <w:rPr>
          <w:sz w:val="22"/>
          <w:szCs w:val="22"/>
        </w:rPr>
        <w:t xml:space="preserve">Corresponding author(s). E-mail(s): </w:t>
      </w:r>
      <w:r w:rsidRPr="009B1C89">
        <w:rPr>
          <w:color w:val="0000FF"/>
          <w:sz w:val="22"/>
          <w:szCs w:val="22"/>
        </w:rPr>
        <w:t>hu.chuan-peng@nnu.edu.cn; hcp4715@hotmail.com</w:t>
      </w:r>
      <w:r w:rsidRPr="009B1C89">
        <w:rPr>
          <w:sz w:val="22"/>
          <w:szCs w:val="22"/>
        </w:rPr>
        <w:t>;</w:t>
      </w:r>
      <w:r w:rsidRPr="009B1C89">
        <w:rPr>
          <w:sz w:val="22"/>
          <w:szCs w:val="22"/>
        </w:rPr>
        <w:br/>
      </w:r>
      <w:r w:rsidRPr="00680A35">
        <w:rPr>
          <w:rFonts w:eastAsiaTheme="minorEastAsia" w:hint="eastAsia"/>
          <w:vertAlign w:val="superscript"/>
        </w:rPr>
        <w:t>†</w:t>
      </w:r>
      <w:r w:rsidRPr="009B1C89">
        <w:rPr>
          <w:sz w:val="22"/>
          <w:szCs w:val="22"/>
        </w:rPr>
        <w:t>These authors contributed equally to this work.</w:t>
      </w:r>
    </w:p>
    <w:p w14:paraId="5A5017B6" w14:textId="77777777" w:rsidR="003735DA" w:rsidRDefault="003735DA" w:rsidP="003735DA">
      <w:pPr>
        <w:pStyle w:val="Heading1"/>
        <w:spacing w:before="480" w:after="480"/>
        <w:rPr>
          <w:rFonts w:eastAsia="Calibri"/>
        </w:rPr>
        <w:sectPr w:rsidR="003735DA" w:rsidSect="003735DA">
          <w:headerReference w:type="even" r:id="rId7"/>
          <w:headerReference w:type="default" r:id="rId8"/>
          <w:headerReference w:type="first" r:id="rId9"/>
          <w:pgSz w:w="12240" w:h="15840"/>
          <w:pgMar w:top="1440" w:right="1440" w:bottom="1440" w:left="1440" w:header="720" w:footer="720" w:gutter="0"/>
          <w:cols w:space="720"/>
          <w:docGrid w:linePitch="326"/>
        </w:sectPr>
      </w:pPr>
    </w:p>
    <w:p w14:paraId="4DAA824C" w14:textId="77777777" w:rsidR="003735DA" w:rsidRPr="007A3F65" w:rsidRDefault="003735DA" w:rsidP="003735DA">
      <w:pPr>
        <w:pStyle w:val="Heading1"/>
        <w:spacing w:before="480" w:after="480"/>
        <w:rPr>
          <w:rFonts w:eastAsia="Calibri"/>
        </w:rPr>
      </w:pPr>
      <w:r w:rsidRPr="007A3F65">
        <w:rPr>
          <w:rFonts w:eastAsia="Calibri"/>
        </w:rPr>
        <w:lastRenderedPageBreak/>
        <w:t>1 Supplementary Methods</w:t>
      </w:r>
    </w:p>
    <w:p w14:paraId="21558E01" w14:textId="77777777" w:rsidR="003735DA" w:rsidRPr="00F764C1" w:rsidRDefault="003735DA" w:rsidP="003735DA">
      <w:pPr>
        <w:pStyle w:val="Heading2"/>
        <w:spacing w:before="240" w:after="240"/>
        <w:rPr>
          <w:lang w:val="en-US"/>
        </w:rPr>
      </w:pPr>
      <w:r w:rsidRPr="00F764C1">
        <w:rPr>
          <w:lang w:val="en-US"/>
        </w:rPr>
        <w:t>1</w:t>
      </w:r>
      <w:r>
        <w:rPr>
          <w:lang w:val="en-US"/>
        </w:rPr>
        <w:t>.1</w:t>
      </w:r>
      <w:r w:rsidRPr="00F764C1">
        <w:rPr>
          <w:lang w:val="en-US"/>
        </w:rPr>
        <w:t xml:space="preserve"> Methodological details of dataset from Hu et al. (2023)</w:t>
      </w:r>
    </w:p>
    <w:p w14:paraId="6A358185" w14:textId="77777777" w:rsidR="003735DA" w:rsidRPr="00A01A15" w:rsidRDefault="003735DA" w:rsidP="003735DA">
      <w:pPr>
        <w:rPr>
          <w:sz w:val="36"/>
          <w:szCs w:val="36"/>
        </w:rPr>
      </w:pPr>
      <w:r w:rsidRPr="00A01A15">
        <w:t xml:space="preserve">In this current study, we utilized a dataset that was previously collected by our research team in 2016 (Hu et al., 2023). The original study aimed to compare SPE between two groups: individuals with sub-clinical depression and those without depression. The dataset comprised data from six time points, each one week apart, collected from a sample of 36 participants recruited from the Tsinghua University community. At each time point, participants completed three distinct tasks: Experiment A (a modified </w:t>
      </w:r>
      <w:r>
        <w:t>SMT</w:t>
      </w:r>
      <w:r w:rsidRPr="00A01A15">
        <w:t xml:space="preserve"> with large deviations), Experiment B (another modified </w:t>
      </w:r>
      <w:r>
        <w:t>SMT</w:t>
      </w:r>
      <w:r w:rsidRPr="00A01A15">
        <w:t xml:space="preserve"> with small deviations), and a questionnaire. The original research faced challenges in recruiting sub-clinical depressed participants, leading to an overrepresentation of individuals in the healthy control group, however, making it suitable for the current study. Thus, in our current analysis, we focused on the subset of data related to the neutral condition in Experiment B from these 36 participants. In the following sections, we provided a detailed overview of the original experimental design. </w:t>
      </w:r>
    </w:p>
    <w:p w14:paraId="21B6BE42" w14:textId="77777777" w:rsidR="003735DA" w:rsidRPr="007A3F65" w:rsidRDefault="003735DA" w:rsidP="003735DA">
      <w:pPr>
        <w:pStyle w:val="Heading3"/>
        <w:spacing w:before="240" w:after="240"/>
        <w:rPr>
          <w:rFonts w:eastAsiaTheme="minorEastAsia"/>
        </w:rPr>
      </w:pPr>
      <w:r w:rsidRPr="007A3F65">
        <w:t>1.1.1 Ethics Information</w:t>
      </w:r>
      <w:r w:rsidRPr="007A3F65">
        <w:rPr>
          <w:rFonts w:eastAsiaTheme="minorEastAsia"/>
        </w:rPr>
        <w:t xml:space="preserve"> </w:t>
      </w:r>
    </w:p>
    <w:p w14:paraId="7AADB5E0" w14:textId="77777777" w:rsidR="003735DA" w:rsidRPr="00090A6F" w:rsidRDefault="003735DA" w:rsidP="003735DA">
      <w:pPr>
        <w:rPr>
          <w:rFonts w:eastAsiaTheme="minorEastAsia"/>
          <w:b/>
        </w:rPr>
      </w:pPr>
      <w:r w:rsidRPr="00484E31">
        <w:t>The experiment was approved by the IRB at the Department of Psychology, Tsinghua University, and all participants provided informed consent.</w:t>
      </w:r>
    </w:p>
    <w:p w14:paraId="752752A6" w14:textId="77777777" w:rsidR="003735DA" w:rsidRDefault="003735DA" w:rsidP="003735DA">
      <w:pPr>
        <w:pStyle w:val="Heading3"/>
        <w:spacing w:before="240" w:after="240"/>
        <w:rPr>
          <w:rFonts w:eastAsiaTheme="minorEastAsia"/>
        </w:rPr>
      </w:pPr>
      <w:r>
        <w:rPr>
          <w:rFonts w:eastAsiaTheme="minorEastAsia"/>
        </w:rPr>
        <w:t xml:space="preserve">1.1.2 </w:t>
      </w:r>
      <w:r w:rsidRPr="00B81E3B">
        <w:rPr>
          <w:rFonts w:eastAsiaTheme="minorEastAsia"/>
        </w:rPr>
        <w:t>Participants</w:t>
      </w:r>
      <w:r>
        <w:rPr>
          <w:rFonts w:eastAsiaTheme="minorEastAsia"/>
        </w:rPr>
        <w:t xml:space="preserve">. </w:t>
      </w:r>
    </w:p>
    <w:p w14:paraId="009AA950" w14:textId="77777777" w:rsidR="003735DA" w:rsidRPr="002E4081" w:rsidRDefault="003735DA" w:rsidP="003735DA">
      <w:pPr>
        <w:rPr>
          <w:sz w:val="36"/>
          <w:szCs w:val="36"/>
        </w:rPr>
      </w:pPr>
      <w:r w:rsidRPr="00A01A15">
        <w:t>36 participants were recruited from Tsinghua University and the nearby community, all of whom were right-handed and had normal or corrected-to-normal vision. Participants were pre-tested for their depressive level by Beck Depression Inventory-II (BDI-II) (Wang et al., 2011). Data from three participants were excluded due to invalid trials or program malfunctions. The exclusion left 33 valid participants (Mean</w:t>
      </w:r>
      <w:r w:rsidRPr="00A01A15">
        <w:rPr>
          <w:position w:val="-2"/>
          <w:sz w:val="18"/>
          <w:szCs w:val="18"/>
        </w:rPr>
        <w:t xml:space="preserve">age </w:t>
      </w:r>
      <w:r w:rsidRPr="00A01A15">
        <w:t>= 21.06, SD</w:t>
      </w:r>
      <w:r w:rsidRPr="00A01A15">
        <w:rPr>
          <w:position w:val="-2"/>
          <w:sz w:val="18"/>
          <w:szCs w:val="18"/>
        </w:rPr>
        <w:t xml:space="preserve">age </w:t>
      </w:r>
      <w:r w:rsidRPr="00A01A15">
        <w:t xml:space="preserve">= 3.24), with 21 females and 12 males. It’s worth noting that within this sample of 33 participants, only six individuals had a BDI-II score exceeding 20. </w:t>
      </w:r>
    </w:p>
    <w:p w14:paraId="485E110B" w14:textId="77777777" w:rsidR="003735DA" w:rsidRPr="00B81E3B" w:rsidRDefault="003735DA" w:rsidP="003735DA">
      <w:pPr>
        <w:pStyle w:val="Heading3"/>
        <w:spacing w:before="240" w:after="240"/>
        <w:rPr>
          <w:rFonts w:eastAsia="Calibri"/>
        </w:rPr>
      </w:pPr>
      <w:r>
        <w:rPr>
          <w:rFonts w:eastAsia="Calibri"/>
        </w:rPr>
        <w:t xml:space="preserve">1.1.3 </w:t>
      </w:r>
      <w:r w:rsidRPr="00B81E3B">
        <w:rPr>
          <w:rFonts w:eastAsia="Calibri"/>
        </w:rPr>
        <w:t xml:space="preserve">Experimental </w:t>
      </w:r>
      <w:r>
        <w:rPr>
          <w:rFonts w:eastAsia="Calibri"/>
        </w:rPr>
        <w:t>D</w:t>
      </w:r>
      <w:r w:rsidRPr="00B81E3B">
        <w:rPr>
          <w:rFonts w:eastAsia="Calibri"/>
        </w:rPr>
        <w:t xml:space="preserve">esign </w:t>
      </w:r>
    </w:p>
    <w:p w14:paraId="5BC0A890" w14:textId="77777777" w:rsidR="003735DA" w:rsidRPr="00A01A15" w:rsidRDefault="003735DA" w:rsidP="003735DA">
      <w:pPr>
        <w:rPr>
          <w:sz w:val="36"/>
          <w:szCs w:val="36"/>
        </w:rPr>
      </w:pPr>
      <w:r w:rsidRPr="00791616">
        <w:t xml:space="preserve">Experiment 2 was a 2 (Matching: Matching vs. Non-matching) × 3 (Identity: Self, Friend, Stranger) × 4 (Emotion: Control, Neutral, Happy, Sad) × 6 (Sessions: 1-6) experiment. </w:t>
      </w:r>
    </w:p>
    <w:p w14:paraId="090F9241" w14:textId="77777777" w:rsidR="003735DA" w:rsidRPr="00B81E3B" w:rsidRDefault="003735DA" w:rsidP="003735DA">
      <w:pPr>
        <w:pStyle w:val="Heading3"/>
        <w:spacing w:before="240" w:after="240"/>
        <w:rPr>
          <w:rFonts w:eastAsia="Calibri"/>
        </w:rPr>
      </w:pPr>
      <w:r>
        <w:rPr>
          <w:rFonts w:eastAsia="Calibri"/>
        </w:rPr>
        <w:t>1.1</w:t>
      </w:r>
      <w:r w:rsidRPr="00A01A15">
        <w:rPr>
          <w:rFonts w:eastAsia="Calibri"/>
        </w:rPr>
        <w:t>.</w:t>
      </w:r>
      <w:r>
        <w:rPr>
          <w:rFonts w:eastAsia="Calibri"/>
        </w:rPr>
        <w:t>4 Procedure</w:t>
      </w:r>
    </w:p>
    <w:p w14:paraId="356A7758" w14:textId="77777777" w:rsidR="003735DA" w:rsidRPr="00791616" w:rsidRDefault="003735DA" w:rsidP="003735DA">
      <w:pPr>
        <w:rPr>
          <w:sz w:val="36"/>
          <w:szCs w:val="36"/>
        </w:rPr>
      </w:pPr>
      <w:r w:rsidRPr="00791616">
        <w:t xml:space="preserve">The experiment was finished individually in a dimly lighted room. Stimuli were presented and responses were collected using E-Prime 2.0 on PC. The monitor was at 1024 × 768 resolution with 100 Hz refresh rate. </w:t>
      </w:r>
    </w:p>
    <w:p w14:paraId="5071397E" w14:textId="77777777" w:rsidR="003735DA" w:rsidRPr="00A01A15" w:rsidRDefault="003735DA" w:rsidP="003735DA">
      <w:pPr>
        <w:rPr>
          <w:sz w:val="36"/>
          <w:szCs w:val="36"/>
        </w:rPr>
      </w:pPr>
      <w:r w:rsidRPr="00A01A15">
        <w:t xml:space="preserve">The experiment has two phases (see Fig. S1). Following Sui et al. (2012), the first phase comprised an instruction stage in which participants were required to associate geometric shapes with labels. The shapes were not presented at this stage. The instruction stage lasted for approximately 60 seconds and shape-target associations were counterbalanced across the sample. </w:t>
      </w:r>
      <w:r w:rsidRPr="00A01A15">
        <w:lastRenderedPageBreak/>
        <w:t xml:space="preserve">Next, participants performed a matching task. At the start of each trial, a fixation cross was first displayed in the center of the screen for 500 ms. Then, a shape–label pairing as well as the fixation cross was presented for 100ms, respectively. The next frame showed a blank screen for 1500 ms, or until a response was made. Participants were asked to determine whether the shape was appropriately matched to the label by pressing one of the two response buttons as quickly and precisely as possible within this timeframe. </w:t>
      </w:r>
    </w:p>
    <w:p w14:paraId="22B77E67" w14:textId="77777777" w:rsidR="003735DA" w:rsidRPr="00A01A15" w:rsidRDefault="003735DA" w:rsidP="003735DA">
      <w:pPr>
        <w:rPr>
          <w:sz w:val="36"/>
          <w:szCs w:val="36"/>
        </w:rPr>
      </w:pPr>
      <w:r w:rsidRPr="00A01A15">
        <w:t xml:space="preserve">The participants needed to separately learn 4 sets of associations between shapes and labels. The associations contained 1 control condition and 3 sets of emotion- based conditions. In the control condition, participants learned the association between 3 geometric shapes (circle, horizontal ellipse and vertical ellipse) and three labels (Self, Friend, Stranger). In each of the emotion-based conditions, participants would see facial expressions (happy, sad, neutral) appear on the circle, horizontal ellipse and vertical ellipse (see Fig. S1). In each condition, before commencing the formal experimental trials, participants underwent a training session comprising 24 practice trials. After the practice trials, each participant completed 6 blocks of 60 trials in the task. There were six types of shape-label associations: Matching (Matching / Non-matching) x Shape (Self, Friend, Stranger) associations, with 60 trials for each association. Participants took a short break (up to 60 seconds) after each block. Each participant was required to repeat the experiment six times, with a one-week gap between each wave of experiments. </w:t>
      </w:r>
    </w:p>
    <w:p w14:paraId="7478F0E8" w14:textId="77777777" w:rsidR="003735DA" w:rsidRPr="00C95F25" w:rsidRDefault="003735DA" w:rsidP="003735DA">
      <w:pPr>
        <w:spacing w:beforeLines="100" w:before="240" w:afterLines="100" w:after="240"/>
        <w:jc w:val="center"/>
        <w:rPr>
          <w:rFonts w:eastAsia="MS Mincho"/>
          <w:color w:val="000000"/>
          <w:lang w:val="en-US" w:eastAsia="de-DE"/>
        </w:rPr>
      </w:pPr>
      <w:r>
        <w:rPr>
          <w:rFonts w:eastAsia="MS Mincho"/>
          <w:noProof/>
          <w:color w:val="000000"/>
          <w:lang w:val="en-US" w:eastAsia="de-DE"/>
        </w:rPr>
        <w:drawing>
          <wp:inline distT="0" distB="0" distL="0" distR="0" wp14:anchorId="57994226" wp14:editId="2D8BA377">
            <wp:extent cx="5619750" cy="270707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40622" cy="2717129"/>
                    </a:xfrm>
                    <a:prstGeom prst="rect">
                      <a:avLst/>
                    </a:prstGeom>
                  </pic:spPr>
                </pic:pic>
              </a:graphicData>
            </a:graphic>
          </wp:inline>
        </w:drawing>
      </w:r>
    </w:p>
    <w:p w14:paraId="5EBEFD06" w14:textId="77777777" w:rsidR="003735DA" w:rsidRPr="00090A6F" w:rsidRDefault="003735DA" w:rsidP="003735DA">
      <w:pPr>
        <w:pStyle w:val="Fig"/>
        <w:spacing w:after="240"/>
        <w:rPr>
          <w:rFonts w:eastAsiaTheme="minorEastAsia"/>
          <w:sz w:val="40"/>
          <w:szCs w:val="40"/>
        </w:rPr>
      </w:pPr>
      <w:r w:rsidRPr="00A01A15">
        <w:rPr>
          <w:rFonts w:eastAsia="SimSun"/>
          <w:b/>
          <w:noProof/>
          <w:lang w:val="en-US" w:eastAsia="zh-TW"/>
        </w:rPr>
        <w:t xml:space="preserve">Fig. S1 </w:t>
      </w:r>
      <w:r w:rsidRPr="002E4081">
        <w:rPr>
          <w:b/>
        </w:rPr>
        <w:t xml:space="preserve">Procedure of the </w:t>
      </w:r>
      <w:r>
        <w:rPr>
          <w:b/>
        </w:rPr>
        <w:t>SMT</w:t>
      </w:r>
      <w:r w:rsidRPr="002E4081">
        <w:rPr>
          <w:b/>
        </w:rPr>
        <w:t xml:space="preserve"> in Experiment B (Hu et al., 2023).</w:t>
      </w:r>
      <w:r w:rsidRPr="00A01A15">
        <w:t xml:space="preserve"> </w:t>
      </w:r>
      <w:r w:rsidRPr="00A01A15">
        <w:rPr>
          <w:i/>
          <w:iCs/>
        </w:rPr>
        <w:t>Note:</w:t>
      </w:r>
      <w:r w:rsidRPr="00A01A15">
        <w:t xml:space="preserve"> The labels and feedback appeared in Chinese in the experiment. In the associative learning task, the matched associations of shapes and labels was counterbalanced between participants. Timely feedback was not provided in formal trials. </w:t>
      </w:r>
    </w:p>
    <w:p w14:paraId="5FFDBC0D" w14:textId="77777777" w:rsidR="003735DA" w:rsidRPr="0066151E" w:rsidRDefault="003735DA" w:rsidP="003735DA">
      <w:pPr>
        <w:pStyle w:val="Heading2"/>
        <w:spacing w:before="240" w:after="240"/>
        <w:rPr>
          <w:color w:val="080ABF"/>
          <w:lang w:val="en-US"/>
        </w:rPr>
      </w:pPr>
      <w:r w:rsidRPr="0066151E">
        <w:rPr>
          <w:color w:val="080ABF"/>
          <w:lang w:val="en-US"/>
        </w:rPr>
        <w:t>1.2 Paper Selection Procedure</w:t>
      </w:r>
    </w:p>
    <w:p w14:paraId="242415A4" w14:textId="77777777" w:rsidR="003735DA" w:rsidRPr="00DA6D1C" w:rsidRDefault="003735DA" w:rsidP="003735DA">
      <w:pPr>
        <w:rPr>
          <w:color w:val="0F00DA"/>
        </w:rPr>
      </w:pPr>
      <w:r>
        <w:rPr>
          <w:color w:val="0F00DA"/>
        </w:rPr>
        <w:t xml:space="preserve">In </w:t>
      </w:r>
      <w:r w:rsidRPr="00DA6D1C">
        <w:rPr>
          <w:color w:val="0F00DA"/>
        </w:rPr>
        <w:t>F</w:t>
      </w:r>
      <w:r w:rsidRPr="00DA6D1C">
        <w:rPr>
          <w:rFonts w:hint="eastAsia"/>
          <w:color w:val="0F00DA"/>
        </w:rPr>
        <w:t>igure</w:t>
      </w:r>
      <w:r w:rsidRPr="00DA6D1C">
        <w:rPr>
          <w:color w:val="0F00DA"/>
        </w:rPr>
        <w:t xml:space="preserve"> </w:t>
      </w:r>
      <w:r w:rsidRPr="00DA6D1C">
        <w:rPr>
          <w:rFonts w:hint="eastAsia"/>
          <w:color w:val="0F00DA"/>
        </w:rPr>
        <w:t>S</w:t>
      </w:r>
      <w:r w:rsidRPr="00DA6D1C">
        <w:rPr>
          <w:color w:val="0F00DA"/>
        </w:rPr>
        <w:t>2</w:t>
      </w:r>
      <w:r>
        <w:rPr>
          <w:color w:val="0F00DA"/>
        </w:rPr>
        <w:t>, we presented the</w:t>
      </w:r>
      <w:r w:rsidRPr="00DA6D1C">
        <w:rPr>
          <w:color w:val="0F00DA"/>
        </w:rPr>
        <w:t xml:space="preserve"> </w:t>
      </w:r>
      <w:r w:rsidRPr="00DA6D1C">
        <w:rPr>
          <w:rFonts w:hint="eastAsia"/>
          <w:color w:val="0F00DA"/>
        </w:rPr>
        <w:t>detailed</w:t>
      </w:r>
      <w:r w:rsidRPr="00DA6D1C">
        <w:rPr>
          <w:color w:val="0F00DA"/>
        </w:rPr>
        <w:t xml:space="preserve"> </w:t>
      </w:r>
      <w:r w:rsidRPr="00DA6D1C">
        <w:rPr>
          <w:rFonts w:hint="eastAsia"/>
          <w:color w:val="0F00DA"/>
        </w:rPr>
        <w:t>paper</w:t>
      </w:r>
      <w:r w:rsidRPr="00DA6D1C">
        <w:rPr>
          <w:color w:val="0F00DA"/>
        </w:rPr>
        <w:t xml:space="preserve"> </w:t>
      </w:r>
      <w:r w:rsidRPr="00DA6D1C">
        <w:rPr>
          <w:rFonts w:hint="eastAsia"/>
          <w:color w:val="0F00DA"/>
        </w:rPr>
        <w:t>selection</w:t>
      </w:r>
      <w:r w:rsidRPr="00DA6D1C">
        <w:rPr>
          <w:color w:val="0F00DA"/>
        </w:rPr>
        <w:t xml:space="preserve"> </w:t>
      </w:r>
      <w:r w:rsidRPr="00DA6D1C">
        <w:rPr>
          <w:rFonts w:hint="eastAsia"/>
          <w:color w:val="0F00DA"/>
        </w:rPr>
        <w:t>procedure</w:t>
      </w:r>
      <w:r>
        <w:rPr>
          <w:color w:val="0F00DA"/>
        </w:rPr>
        <w:t xml:space="preserve">. </w:t>
      </w:r>
    </w:p>
    <w:p w14:paraId="175F0308" w14:textId="0423BA75" w:rsidR="003735DA" w:rsidRDefault="000C7E1F" w:rsidP="003735DA">
      <w:pPr>
        <w:spacing w:beforeLines="50" w:before="120" w:afterLines="50" w:after="120" w:line="360" w:lineRule="auto"/>
        <w:rPr>
          <w:sz w:val="36"/>
          <w:szCs w:val="36"/>
        </w:rPr>
      </w:pPr>
      <w:r>
        <w:rPr>
          <w:noProof/>
        </w:rPr>
        <w:lastRenderedPageBreak/>
        <w:drawing>
          <wp:inline distT="0" distB="0" distL="0" distR="0" wp14:anchorId="69B4D6D2" wp14:editId="59A21898">
            <wp:extent cx="5924550" cy="4327734"/>
            <wp:effectExtent l="0" t="0" r="0" b="0"/>
            <wp:docPr id="4865050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0505" name="图片 2" descr="图示&#10;&#10;描述已自动生成"/>
                    <pic:cNvPicPr>
                      <a:picLocks noChangeAspect="1" noChangeArrowheads="1"/>
                    </pic:cNvPicPr>
                  </pic:nvPicPr>
                  <pic:blipFill rotWithShape="1">
                    <a:blip r:embed="rId11">
                      <a:extLst>
                        <a:ext uri="{28A0092B-C50C-407E-A947-70E740481C1C}">
                          <a14:useLocalDpi xmlns:a14="http://schemas.microsoft.com/office/drawing/2010/main" val="0"/>
                        </a:ext>
                      </a:extLst>
                    </a:blip>
                    <a:srcRect l="7906" t="3609" r="22329" b="51092"/>
                    <a:stretch/>
                  </pic:blipFill>
                  <pic:spPr bwMode="auto">
                    <a:xfrm>
                      <a:off x="0" y="0"/>
                      <a:ext cx="5939864" cy="4338921"/>
                    </a:xfrm>
                    <a:prstGeom prst="rect">
                      <a:avLst/>
                    </a:prstGeom>
                    <a:noFill/>
                    <a:ln>
                      <a:noFill/>
                    </a:ln>
                    <a:extLst>
                      <a:ext uri="{53640926-AAD7-44D8-BBD7-CCE9431645EC}">
                        <a14:shadowObscured xmlns:a14="http://schemas.microsoft.com/office/drawing/2010/main"/>
                      </a:ext>
                    </a:extLst>
                  </pic:spPr>
                </pic:pic>
              </a:graphicData>
            </a:graphic>
          </wp:inline>
        </w:drawing>
      </w:r>
    </w:p>
    <w:p w14:paraId="33040434" w14:textId="77777777" w:rsidR="003735DA" w:rsidRPr="00DA6D1C" w:rsidRDefault="003735DA" w:rsidP="003735DA">
      <w:pPr>
        <w:pStyle w:val="Fig"/>
        <w:spacing w:after="240"/>
        <w:rPr>
          <w:rFonts w:eastAsiaTheme="minorEastAsia"/>
          <w:b/>
          <w:bCs w:val="0"/>
          <w:color w:val="0000DC"/>
        </w:rPr>
      </w:pPr>
      <w:r w:rsidRPr="000C7E1F">
        <w:rPr>
          <w:rFonts w:eastAsiaTheme="minorEastAsia" w:hint="eastAsia"/>
          <w:b/>
          <w:bCs w:val="0"/>
          <w:color w:val="0000DC"/>
          <w:highlight w:val="yellow"/>
        </w:rPr>
        <w:t>Figure</w:t>
      </w:r>
      <w:r w:rsidRPr="000C7E1F">
        <w:rPr>
          <w:rFonts w:eastAsiaTheme="minorEastAsia"/>
          <w:b/>
          <w:bCs w:val="0"/>
          <w:color w:val="0000DC"/>
          <w:highlight w:val="yellow"/>
        </w:rPr>
        <w:t xml:space="preserve"> S2</w:t>
      </w:r>
      <w:r w:rsidRPr="006017BA">
        <w:rPr>
          <w:rFonts w:eastAsiaTheme="minorEastAsia" w:hint="eastAsia"/>
          <w:b/>
          <w:bCs w:val="0"/>
          <w:color w:val="0000DC"/>
        </w:rPr>
        <w:t xml:space="preserve">. </w:t>
      </w:r>
      <w:r>
        <w:rPr>
          <w:rFonts w:eastAsiaTheme="minorEastAsia"/>
          <w:b/>
          <w:bCs w:val="0"/>
          <w:color w:val="0000DC"/>
        </w:rPr>
        <w:t>Paper Selection Procedure (</w:t>
      </w:r>
      <w:r w:rsidRPr="006017BA">
        <w:rPr>
          <w:rFonts w:eastAsiaTheme="minorEastAsia"/>
          <w:b/>
          <w:bCs w:val="0"/>
          <w:color w:val="0000DC"/>
          <w:lang w:val="en-US"/>
        </w:rPr>
        <w:t xml:space="preserve">adapted from </w:t>
      </w:r>
      <w:r w:rsidRPr="006017BA">
        <w:rPr>
          <w:b/>
          <w:color w:val="0000DC"/>
          <w:sz w:val="22"/>
        </w:rPr>
        <w:t>PRISMA Flow Diagram</w:t>
      </w:r>
      <w:r>
        <w:rPr>
          <w:b/>
          <w:color w:val="0000DC"/>
          <w:sz w:val="22"/>
        </w:rPr>
        <w:t xml:space="preserve"> (</w:t>
      </w:r>
      <w:r w:rsidRPr="006017BA">
        <w:rPr>
          <w:b/>
          <w:color w:val="0000DC"/>
          <w:sz w:val="22"/>
        </w:rPr>
        <w:t>Page et al., 2021)</w:t>
      </w:r>
      <w:r>
        <w:rPr>
          <w:b/>
          <w:color w:val="0000DC"/>
          <w:sz w:val="22"/>
        </w:rPr>
        <w:t>).</w:t>
      </w:r>
    </w:p>
    <w:p w14:paraId="3C21FE81" w14:textId="77777777" w:rsidR="003735DA" w:rsidRPr="00B10BA7" w:rsidRDefault="003735DA" w:rsidP="003735DA">
      <w:pPr>
        <w:pStyle w:val="Heading2"/>
        <w:spacing w:before="240" w:after="240"/>
        <w:rPr>
          <w:lang w:val="en-US"/>
        </w:rPr>
      </w:pPr>
      <w:r>
        <w:rPr>
          <w:lang w:val="en-US"/>
        </w:rPr>
        <w:t xml:space="preserve">1.3 </w:t>
      </w:r>
      <w:r w:rsidRPr="00E17822">
        <w:rPr>
          <w:rFonts w:hint="eastAsia"/>
          <w:lang w:val="en-US"/>
        </w:rPr>
        <w:t>P</w:t>
      </w:r>
      <w:r w:rsidRPr="00E17822">
        <w:rPr>
          <w:lang w:val="en-US"/>
        </w:rPr>
        <w:t xml:space="preserve">arameter </w:t>
      </w:r>
      <w:r w:rsidRPr="00E17822">
        <w:rPr>
          <w:rFonts w:hint="eastAsia"/>
          <w:lang w:val="en-US"/>
        </w:rPr>
        <w:t>R</w:t>
      </w:r>
      <w:r w:rsidRPr="00E17822">
        <w:rPr>
          <w:lang w:val="en-US"/>
        </w:rPr>
        <w:t xml:space="preserve">ecovery </w:t>
      </w:r>
      <w:r w:rsidRPr="00E17822">
        <w:rPr>
          <w:rFonts w:hint="eastAsia"/>
          <w:lang w:val="en-US"/>
        </w:rPr>
        <w:t>Result</w:t>
      </w:r>
      <w:r w:rsidRPr="00E17822">
        <w:rPr>
          <w:lang w:val="en-US"/>
        </w:rPr>
        <w:t xml:space="preserve"> </w:t>
      </w:r>
      <w:r w:rsidRPr="00E17822">
        <w:rPr>
          <w:rFonts w:hint="eastAsia"/>
          <w:lang w:val="en-US"/>
        </w:rPr>
        <w:t>for</w:t>
      </w:r>
      <w:r w:rsidRPr="00E17822">
        <w:rPr>
          <w:lang w:val="en-US"/>
        </w:rPr>
        <w:t xml:space="preserve"> Package </w:t>
      </w:r>
      <w:r>
        <w:rPr>
          <w:rFonts w:hint="eastAsia"/>
          <w:lang w:val="en-US"/>
        </w:rPr>
        <w:t>C</w:t>
      </w:r>
      <w:r w:rsidRPr="00E17822">
        <w:rPr>
          <w:lang w:val="en-US"/>
        </w:rPr>
        <w:t xml:space="preserve">omparison </w:t>
      </w:r>
    </w:p>
    <w:p w14:paraId="7F2D7CDE" w14:textId="77777777" w:rsidR="003735DA" w:rsidRPr="00A01A15" w:rsidRDefault="003735DA" w:rsidP="003735DA">
      <w:pPr>
        <w:rPr>
          <w:sz w:val="36"/>
          <w:szCs w:val="36"/>
        </w:rPr>
      </w:pPr>
      <w:r w:rsidRPr="00A01A15">
        <w:t xml:space="preserve">We chose not to utilize the HDDM package (Wiecki et al., 2013) since the computation process was significantly time-consuming, necessitating high computational resources and leading to prolonged overall analysis time. Instead, we performed a package com- parison by generating 100 datasets using the HDDM package in Python, in order to identify the most appropriate package for our analysis. These datasets were specifically configured with parameters </w:t>
      </w:r>
      <w:r w:rsidRPr="004E0C65">
        <w:rPr>
          <w:i/>
          <w:iCs/>
        </w:rPr>
        <w:t>a</w:t>
      </w:r>
      <w:r w:rsidRPr="00A01A15">
        <w:t xml:space="preserve"> = 2, </w:t>
      </w:r>
      <w:r w:rsidRPr="004E0C65">
        <w:rPr>
          <w:i/>
          <w:iCs/>
        </w:rPr>
        <w:t>t</w:t>
      </w:r>
      <w:r w:rsidRPr="00A01A15">
        <w:t xml:space="preserve"> = 0.3, </w:t>
      </w:r>
      <w:r w:rsidRPr="004E0C65">
        <w:rPr>
          <w:i/>
          <w:iCs/>
        </w:rPr>
        <w:t>v</w:t>
      </w:r>
      <w:r w:rsidRPr="00A01A15">
        <w:t xml:space="preserve"> = 1, and </w:t>
      </w:r>
      <w:r w:rsidRPr="004E0C65">
        <w:rPr>
          <w:i/>
          <w:iCs/>
        </w:rPr>
        <w:t>z</w:t>
      </w:r>
      <w:r w:rsidRPr="00A01A15">
        <w:t xml:space="preserve"> = 0.7. </w:t>
      </w:r>
    </w:p>
    <w:p w14:paraId="0F1C40F8" w14:textId="77777777" w:rsidR="003735DA" w:rsidRPr="00A01A15" w:rsidRDefault="003735DA" w:rsidP="003735DA">
      <w:pPr>
        <w:rPr>
          <w:sz w:val="36"/>
          <w:szCs w:val="36"/>
        </w:rPr>
      </w:pPr>
      <w:r w:rsidRPr="00A01A15">
        <w:t xml:space="preserve">Subsequently, we utilized three widely used DDM packages in R, namely RWiener (Viechtbauer, 2010), hausekeep (Lin, 2019), and FastDMinR (Voss &amp; Voss, 2007), to compute parameter estimates for these generated datasets. The evaluation process involved comparing the computed values obtained from the R packages with the set parameters. If the computed values from the R packages were found to be closer to the set values, it signified that the respective R package provided more accurate parameter estimation for the DDM. </w:t>
      </w:r>
    </w:p>
    <w:p w14:paraId="49F5285C" w14:textId="77777777" w:rsidR="003735DA" w:rsidRPr="00A01A15" w:rsidRDefault="003735DA" w:rsidP="003735DA">
      <w:pPr>
        <w:rPr>
          <w:sz w:val="36"/>
          <w:szCs w:val="36"/>
        </w:rPr>
      </w:pPr>
      <w:r w:rsidRPr="00A01A15">
        <w:t>Fig. S</w:t>
      </w:r>
      <w:r>
        <w:t>3</w:t>
      </w:r>
      <w:r w:rsidRPr="00A01A15">
        <w:t xml:space="preserve"> presents the results of the package comparison. The estimated drift rate (</w:t>
      </w:r>
      <w:r w:rsidRPr="00C17345">
        <w:rPr>
          <w:i/>
          <w:iCs/>
        </w:rPr>
        <w:t>v</w:t>
      </w:r>
      <w:r w:rsidRPr="00A01A15">
        <w:t>) obtained from RWiener was 1.01, with a 95% confidence interval of [.98, 1.03], which is closely aligned with our pre-defined values. Similarly, the estimated starting point (</w:t>
      </w:r>
      <w:r w:rsidRPr="004E0C65">
        <w:rPr>
          <w:i/>
          <w:iCs/>
        </w:rPr>
        <w:t>z</w:t>
      </w:r>
      <w:r w:rsidRPr="00A01A15">
        <w:t xml:space="preserve">) is 0.77, with a 95% confidence interval of [.76, .78], also very close to our pre-defined value. On the contrary, the parameters </w:t>
      </w:r>
      <w:r w:rsidRPr="00A01A15">
        <w:lastRenderedPageBreak/>
        <w:t xml:space="preserve">calculated using other packages either showed high inaccuracies, excessively wide confidence intervals or required extended computation times. As a result, we have opted to utilize RWiener for our calculations. It struck a favourable balance between accuracy, confidence interval width, and computational efficiency, making it the most suitable choice for our analysis. </w:t>
      </w:r>
    </w:p>
    <w:p w14:paraId="5D1A2916" w14:textId="77777777" w:rsidR="003735DA" w:rsidRPr="00090A6F" w:rsidRDefault="003735DA" w:rsidP="003735DA">
      <w:pPr>
        <w:spacing w:beforeLines="100" w:before="240" w:after="240"/>
        <w:rPr>
          <w:rFonts w:eastAsiaTheme="minorEastAsia"/>
          <w:lang w:val="en-US"/>
        </w:rPr>
      </w:pPr>
      <w:r>
        <w:rPr>
          <w:noProof/>
        </w:rPr>
        <w:drawing>
          <wp:inline distT="0" distB="0" distL="0" distR="0" wp14:anchorId="3DF37086" wp14:editId="3C823F2D">
            <wp:extent cx="5762625" cy="3742280"/>
            <wp:effectExtent l="0" t="0" r="0" b="0"/>
            <wp:docPr id="2" name="图片 2" descr="A group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group of graphs showing different colored lines&#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415" b="6890"/>
                    <a:stretch/>
                  </pic:blipFill>
                  <pic:spPr bwMode="auto">
                    <a:xfrm>
                      <a:off x="0" y="0"/>
                      <a:ext cx="5784009" cy="3756167"/>
                    </a:xfrm>
                    <a:prstGeom prst="rect">
                      <a:avLst/>
                    </a:prstGeom>
                    <a:noFill/>
                    <a:ln>
                      <a:noFill/>
                    </a:ln>
                    <a:extLst>
                      <a:ext uri="{53640926-AAD7-44D8-BBD7-CCE9431645EC}">
                        <a14:shadowObscured xmlns:a14="http://schemas.microsoft.com/office/drawing/2010/main"/>
                      </a:ext>
                    </a:extLst>
                  </pic:spPr>
                </pic:pic>
              </a:graphicData>
            </a:graphic>
          </wp:inline>
        </w:drawing>
      </w:r>
    </w:p>
    <w:p w14:paraId="4FA71EC3" w14:textId="77777777" w:rsidR="003735DA" w:rsidRPr="00090A6F" w:rsidRDefault="003735DA" w:rsidP="003735DA">
      <w:pPr>
        <w:pStyle w:val="Fig"/>
        <w:spacing w:after="240"/>
        <w:rPr>
          <w:rFonts w:eastAsiaTheme="minorEastAsia"/>
        </w:rPr>
      </w:pPr>
      <w:r w:rsidRPr="004E53A7">
        <w:rPr>
          <w:rFonts w:eastAsia="SimSun"/>
          <w:b/>
          <w:noProof/>
          <w:lang w:val="en-US" w:eastAsia="zh-TW"/>
        </w:rPr>
        <w:t xml:space="preserve">Fig. </w:t>
      </w:r>
      <w:r>
        <w:rPr>
          <w:rFonts w:eastAsia="SimSun"/>
          <w:b/>
          <w:noProof/>
          <w:lang w:val="en-US" w:eastAsia="zh-TW"/>
        </w:rPr>
        <w:t>S3</w:t>
      </w:r>
      <w:r w:rsidRPr="004E53A7">
        <w:rPr>
          <w:rFonts w:eastAsia="SimSun"/>
          <w:b/>
          <w:noProof/>
          <w:lang w:val="en-US" w:eastAsia="zh-TW"/>
        </w:rPr>
        <w:t xml:space="preserve"> </w:t>
      </w:r>
      <w:r w:rsidRPr="00A01A15">
        <w:rPr>
          <w:rFonts w:eastAsia="SimSun"/>
          <w:b/>
          <w:noProof/>
          <w:lang w:val="en-US" w:eastAsia="zh-TW"/>
        </w:rPr>
        <w:t>DDM Packages Comparison.</w:t>
      </w:r>
      <w:r>
        <w:rPr>
          <w:rFonts w:eastAsia="SimSun"/>
          <w:b/>
          <w:noProof/>
          <w:lang w:val="en-US" w:eastAsia="zh-TW"/>
        </w:rPr>
        <w:t xml:space="preserve"> </w:t>
      </w:r>
      <w:r w:rsidRPr="00A01A15">
        <w:rPr>
          <w:rFonts w:eastAsiaTheme="minorEastAsia"/>
          <w:i/>
          <w:iCs/>
          <w:lang w:val="en-US"/>
        </w:rPr>
        <w:t>Note:</w:t>
      </w:r>
      <w:r w:rsidRPr="00A01A15">
        <w:rPr>
          <w:rFonts w:eastAsiaTheme="minorEastAsia"/>
          <w:sz w:val="20"/>
          <w:szCs w:val="20"/>
          <w:lang w:val="en-US"/>
        </w:rPr>
        <w:t xml:space="preserve"> </w:t>
      </w:r>
      <w:r w:rsidRPr="00A01A15">
        <w:t>The parameters of interest in the Drift-Diffusion Model (DDM) are represented as follows: “</w:t>
      </w:r>
      <w:r w:rsidRPr="004E0C65">
        <w:rPr>
          <w:i/>
          <w:iCs/>
        </w:rPr>
        <w:t>a</w:t>
      </w:r>
      <w:r w:rsidRPr="00A01A15">
        <w:t>” denotes the threshold parameter, “</w:t>
      </w:r>
      <w:r w:rsidRPr="004E0C65">
        <w:rPr>
          <w:i/>
          <w:iCs/>
        </w:rPr>
        <w:t>t</w:t>
      </w:r>
      <w:r w:rsidRPr="00A01A15">
        <w:t>” represents the non-decision time, “</w:t>
      </w:r>
      <w:r w:rsidRPr="004E0C65">
        <w:rPr>
          <w:i/>
          <w:iCs/>
        </w:rPr>
        <w:t>v</w:t>
      </w:r>
      <w:r w:rsidRPr="00A01A15">
        <w:t>” indicates the drift rate, and “</w:t>
      </w:r>
      <w:r w:rsidRPr="004E0C65">
        <w:rPr>
          <w:i/>
          <w:iCs/>
        </w:rPr>
        <w:t>z</w:t>
      </w:r>
      <w:r w:rsidRPr="00A01A15">
        <w:t xml:space="preserve">”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 </w:t>
      </w:r>
    </w:p>
    <w:p w14:paraId="5953FCA6" w14:textId="77777777" w:rsidR="003735DA" w:rsidRDefault="003735DA" w:rsidP="003735DA">
      <w:pPr>
        <w:pStyle w:val="Heading1"/>
        <w:keepNext w:val="0"/>
        <w:keepLines w:val="0"/>
        <w:spacing w:before="480" w:after="480"/>
        <w:rPr>
          <w:rFonts w:eastAsia="Calibri"/>
          <w:b w:val="0"/>
          <w:szCs w:val="42"/>
        </w:rPr>
      </w:pPr>
      <w:r>
        <w:rPr>
          <w:rFonts w:eastAsia="Calibri"/>
          <w:szCs w:val="42"/>
        </w:rPr>
        <w:t xml:space="preserve">2 </w:t>
      </w:r>
      <w:r w:rsidRPr="00BC11EE">
        <w:rPr>
          <w:rFonts w:eastAsia="Calibri"/>
          <w:szCs w:val="42"/>
        </w:rPr>
        <w:t xml:space="preserve">Supplementary </w:t>
      </w:r>
      <w:r>
        <w:rPr>
          <w:rFonts w:eastAsia="Calibri"/>
          <w:szCs w:val="42"/>
        </w:rPr>
        <w:t>Results</w:t>
      </w:r>
    </w:p>
    <w:p w14:paraId="06105608" w14:textId="77777777" w:rsidR="003735DA" w:rsidRPr="00791616" w:rsidRDefault="003735DA" w:rsidP="003735DA">
      <w:pPr>
        <w:pStyle w:val="Heading2"/>
        <w:spacing w:before="240" w:after="240"/>
        <w:rPr>
          <w:lang w:val="en-US"/>
        </w:rPr>
      </w:pPr>
      <w:r w:rsidRPr="00791616">
        <w:rPr>
          <w:lang w:val="en-US"/>
        </w:rPr>
        <w:t xml:space="preserve">2.1 Group Level SPE for Other Measures </w:t>
      </w:r>
    </w:p>
    <w:p w14:paraId="3BC12FB2" w14:textId="77777777" w:rsidR="003735DA" w:rsidRPr="004E0C65" w:rsidRDefault="003735DA" w:rsidP="003735DA">
      <w:pPr>
        <w:rPr>
          <w:sz w:val="36"/>
          <w:szCs w:val="36"/>
        </w:rPr>
      </w:pPr>
      <w:r w:rsidRPr="004E0C65">
        <w:t xml:space="preserve">We conducted a meta-analysis of all the 6 indicators of SPE. The </w:t>
      </w:r>
      <w:r w:rsidRPr="000454C9">
        <w:rPr>
          <w:rFonts w:hint="eastAsia"/>
          <w:color w:val="0000DC"/>
        </w:rPr>
        <w:t>f</w:t>
      </w:r>
      <w:r w:rsidRPr="000454C9">
        <w:rPr>
          <w:color w:val="0000DC"/>
        </w:rPr>
        <w:t xml:space="preserve">orest plots </w:t>
      </w:r>
      <w:r w:rsidRPr="004E0C65">
        <w:t xml:space="preserve">were presented in Fig. S3. </w:t>
      </w:r>
    </w:p>
    <w:p w14:paraId="7D4FA1BE" w14:textId="2D2C8108" w:rsidR="003735DA" w:rsidRDefault="000C7E1F" w:rsidP="003735DA">
      <w:pPr>
        <w:spacing w:beforeLines="100" w:before="240" w:afterLines="100" w:after="240"/>
        <w:jc w:val="center"/>
        <w:rPr>
          <w:rFonts w:eastAsiaTheme="minorEastAsia"/>
          <w:color w:val="000000" w:themeColor="text1"/>
        </w:rPr>
      </w:pPr>
      <w:r>
        <w:rPr>
          <w:noProof/>
        </w:rPr>
        <w:lastRenderedPageBreak/>
        <w:drawing>
          <wp:inline distT="0" distB="0" distL="0" distR="0" wp14:anchorId="1F5EEACC" wp14:editId="39608E10">
            <wp:extent cx="5943600" cy="5943600"/>
            <wp:effectExtent l="0" t="0" r="0" b="0"/>
            <wp:docPr id="281307222" name="图片 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07222" name="图片 3" descr="电脑屏幕的照片&#10;&#10;中度可信度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2FCED4E" w14:textId="4CF4A58A" w:rsidR="003735DA" w:rsidRPr="002863D5" w:rsidRDefault="000C7E1F" w:rsidP="003735DA">
      <w:pPr>
        <w:pStyle w:val="Fig"/>
        <w:spacing w:after="240"/>
        <w:rPr>
          <w:rFonts w:eastAsiaTheme="minorEastAsia"/>
        </w:rPr>
      </w:pPr>
      <w:r w:rsidRPr="00FD5FD4">
        <w:rPr>
          <w:rFonts w:eastAsiaTheme="minorEastAsia"/>
          <w:b/>
          <w:color w:val="080ABF"/>
          <w:highlight w:val="yellow"/>
        </w:rPr>
        <w:t xml:space="preserve">Fig. </w:t>
      </w:r>
      <w:r w:rsidRPr="00FD5FD4">
        <w:rPr>
          <w:rFonts w:eastAsiaTheme="minorEastAsia" w:hint="eastAsia"/>
          <w:b/>
          <w:color w:val="080ABF"/>
          <w:highlight w:val="yellow"/>
        </w:rPr>
        <w:t>S</w:t>
      </w:r>
      <w:r w:rsidRPr="00FD5FD4">
        <w:rPr>
          <w:rFonts w:eastAsiaTheme="minorEastAsia"/>
          <w:b/>
          <w:color w:val="080ABF"/>
          <w:highlight w:val="yellow"/>
        </w:rPr>
        <w:t>4</w:t>
      </w:r>
      <w:r w:rsidR="003735DA" w:rsidRPr="00A73255">
        <w:rPr>
          <w:rFonts w:eastAsiaTheme="minorEastAsia"/>
          <w:b/>
          <w:color w:val="0F00DA"/>
        </w:rPr>
        <w:t xml:space="preserve"> </w:t>
      </w:r>
      <w:r w:rsidR="003735DA">
        <w:rPr>
          <w:rFonts w:eastAsiaTheme="minorEastAsia"/>
          <w:b/>
        </w:rPr>
        <w:t>(</w:t>
      </w:r>
      <w:r w:rsidR="003735DA" w:rsidRPr="00CD4B93">
        <w:rPr>
          <w:rFonts w:eastAsiaTheme="minorEastAsia"/>
          <w:b/>
        </w:rPr>
        <w:t>a</w:t>
      </w:r>
      <w:r w:rsidR="003735DA">
        <w:rPr>
          <w:rFonts w:eastAsiaTheme="minorEastAsia"/>
          <w:b/>
        </w:rPr>
        <w:t>)</w:t>
      </w:r>
      <w:r w:rsidR="003735DA" w:rsidRPr="00CD4B93">
        <w:rPr>
          <w:rFonts w:eastAsiaTheme="minorEastAsia"/>
          <w:b/>
        </w:rPr>
        <w:t xml:space="preserve"> </w:t>
      </w:r>
      <w:r w:rsidR="003735DA" w:rsidRPr="00A01A15">
        <w:t xml:space="preserve">Forest Plot for SPE Measures. </w:t>
      </w:r>
      <w:r w:rsidR="003735DA" w:rsidRPr="00A01A15">
        <w:rPr>
          <w:i/>
          <w:iCs/>
        </w:rPr>
        <w:t>Note</w:t>
      </w:r>
      <w:r w:rsidR="003735DA" w:rsidRPr="00A01A15">
        <w:t xml:space="preserve">: Fig (a)-(f) represent the forest plots corresponding to RT, ACC, </w:t>
      </w:r>
      <w:r w:rsidR="003735DA" w:rsidRPr="00FC2914">
        <w:rPr>
          <w:rFonts w:eastAsiaTheme="minorEastAsia" w:hint="eastAsia"/>
          <w:i/>
          <w:iCs/>
          <w:sz w:val="22"/>
          <w:szCs w:val="22"/>
        </w:rPr>
        <w:t>d</w:t>
      </w:r>
      <w:r w:rsidR="003735DA" w:rsidRPr="00FC2914">
        <w:rPr>
          <w:rFonts w:eastAsiaTheme="minorEastAsia"/>
          <w:i/>
          <w:iCs/>
          <w:sz w:val="22"/>
          <w:szCs w:val="22"/>
        </w:rPr>
        <w:t>’</w:t>
      </w:r>
      <w:r w:rsidR="003735DA" w:rsidRPr="00A01A15">
        <w:t xml:space="preserve">, </w:t>
      </w:r>
      <w:r w:rsidR="003735DA" w:rsidRPr="004E0C65">
        <w:rPr>
          <w:i/>
          <w:iCs/>
        </w:rPr>
        <w:t>η</w:t>
      </w:r>
      <w:r w:rsidR="003735DA" w:rsidRPr="00A01A15">
        <w:t xml:space="preserve">, </w:t>
      </w:r>
      <w:r w:rsidR="003735DA" w:rsidRPr="004E0C65">
        <w:rPr>
          <w:i/>
          <w:iCs/>
        </w:rPr>
        <w:t>v</w:t>
      </w:r>
      <w:r w:rsidR="003735DA" w:rsidRPr="00A01A15">
        <w:t xml:space="preserve">, and </w:t>
      </w:r>
      <w:r w:rsidR="003735DA" w:rsidRPr="004E0C65">
        <w:rPr>
          <w:i/>
          <w:iCs/>
        </w:rPr>
        <w:t>z</w:t>
      </w:r>
      <w:r w:rsidR="003735DA" w:rsidRPr="00A01A15">
        <w:t xml:space="preserve"> under the condition where Target is Close. Fig (g)-(l) represent the forest plots corresponding to </w:t>
      </w:r>
      <w:r w:rsidR="003735DA" w:rsidRPr="00FC2914">
        <w:rPr>
          <w:rFonts w:eastAsiaTheme="minorEastAsia" w:hint="eastAsia"/>
          <w:i/>
          <w:iCs/>
          <w:sz w:val="22"/>
          <w:szCs w:val="22"/>
        </w:rPr>
        <w:t>d</w:t>
      </w:r>
      <w:r w:rsidR="003735DA" w:rsidRPr="00FC2914">
        <w:rPr>
          <w:rFonts w:eastAsiaTheme="minorEastAsia"/>
          <w:i/>
          <w:iCs/>
          <w:sz w:val="22"/>
          <w:szCs w:val="22"/>
        </w:rPr>
        <w:t>’</w:t>
      </w:r>
      <w:r w:rsidR="003735DA" w:rsidRPr="00A01A15">
        <w:t xml:space="preserve">, </w:t>
      </w:r>
      <w:r w:rsidR="003735DA" w:rsidRPr="004E0C65">
        <w:rPr>
          <w:i/>
          <w:iCs/>
        </w:rPr>
        <w:t>η</w:t>
      </w:r>
      <w:r w:rsidR="003735DA" w:rsidRPr="00A01A15">
        <w:t xml:space="preserve">, </w:t>
      </w:r>
      <w:r w:rsidR="003735DA" w:rsidRPr="004E0C65">
        <w:rPr>
          <w:i/>
          <w:iCs/>
        </w:rPr>
        <w:t>v</w:t>
      </w:r>
      <w:r w:rsidR="003735DA" w:rsidRPr="00A01A15">
        <w:t xml:space="preserve">, and </w:t>
      </w:r>
      <w:r w:rsidR="003735DA" w:rsidRPr="004E0C65">
        <w:rPr>
          <w:i/>
          <w:iCs/>
        </w:rPr>
        <w:t>z</w:t>
      </w:r>
      <w:r w:rsidR="003735DA" w:rsidRPr="00A01A15">
        <w:t xml:space="preserve"> under the condition where Target is Stranger. </w:t>
      </w:r>
    </w:p>
    <w:p w14:paraId="6C28D021" w14:textId="77777777" w:rsidR="003735DA" w:rsidRPr="00185462" w:rsidRDefault="003735DA" w:rsidP="003735DA">
      <w:pPr>
        <w:rPr>
          <w:rFonts w:eastAsiaTheme="minorEastAsia"/>
        </w:rPr>
      </w:pPr>
      <w:r w:rsidRPr="004E0C65">
        <w:t>Due to the limited availability of papers on “Celebrity</w:t>
      </w:r>
      <w:r>
        <w:t>”</w:t>
      </w:r>
      <w:r w:rsidRPr="004E0C65">
        <w:t xml:space="preserve"> and “Nonperson”, we were unable to perform a meta-analysis on these baselines. Instead, we conducted paired- sample t-tests comparing self and baseline conditions. Hedges’ </w:t>
      </w:r>
      <w:r w:rsidRPr="004E0C65">
        <w:rPr>
          <w:i/>
          <w:iCs/>
        </w:rPr>
        <w:t>g</w:t>
      </w:r>
      <w:r w:rsidRPr="004E0C65">
        <w:t xml:space="preserve"> was calculated, and the results were presented in Table. S1. Considering there is only one paper available for these baselines, it is advisable to approach these results with caution. </w:t>
      </w:r>
    </w:p>
    <w:p w14:paraId="74C5797F" w14:textId="77777777" w:rsidR="003735DA" w:rsidRDefault="003735DA" w:rsidP="003735DA">
      <w:pPr>
        <w:spacing w:line="276" w:lineRule="auto"/>
        <w:rPr>
          <w:rFonts w:eastAsia="SimSun"/>
          <w:b/>
          <w:bCs/>
        </w:rPr>
      </w:pPr>
      <w:r>
        <w:br w:type="page"/>
      </w:r>
    </w:p>
    <w:p w14:paraId="56D2F28C" w14:textId="77777777" w:rsidR="003735DA" w:rsidRDefault="003735DA" w:rsidP="00EB3BBC">
      <w:pPr>
        <w:pStyle w:val="Table"/>
        <w:spacing w:line="240" w:lineRule="auto"/>
        <w:ind w:left="0" w:firstLine="0"/>
        <w:rPr>
          <w:b w:val="0"/>
          <w:bCs w:val="0"/>
        </w:rPr>
      </w:pPr>
      <w:r w:rsidRPr="000C7E1F">
        <w:rPr>
          <w:rFonts w:hint="eastAsia"/>
          <w:color w:val="080ABF"/>
          <w:highlight w:val="yellow"/>
        </w:rPr>
        <w:lastRenderedPageBreak/>
        <w:t>Table S1</w:t>
      </w:r>
      <w:r>
        <w:rPr>
          <w:rFonts w:hint="eastAsia"/>
        </w:rPr>
        <w:t xml:space="preserve"> </w:t>
      </w:r>
      <w:r w:rsidRPr="00E87322">
        <w:rPr>
          <w:rFonts w:hint="eastAsia"/>
          <w:b w:val="0"/>
          <w:bCs w:val="0"/>
        </w:rPr>
        <w:t xml:space="preserve">T-test Results of SPE Measures in </w:t>
      </w:r>
      <w:r>
        <w:rPr>
          <w:rFonts w:hint="eastAsia"/>
          <w:b w:val="0"/>
          <w:bCs w:val="0"/>
        </w:rPr>
        <w:t>SMT</w:t>
      </w:r>
    </w:p>
    <w:tbl>
      <w:tblPr>
        <w:tblW w:w="0" w:type="auto"/>
        <w:tblLook w:val="04A0" w:firstRow="1" w:lastRow="0" w:firstColumn="1" w:lastColumn="0" w:noHBand="0" w:noVBand="1"/>
      </w:tblPr>
      <w:tblGrid>
        <w:gridCol w:w="1182"/>
        <w:gridCol w:w="1182"/>
        <w:gridCol w:w="2068"/>
        <w:gridCol w:w="1304"/>
        <w:gridCol w:w="711"/>
        <w:gridCol w:w="726"/>
        <w:gridCol w:w="895"/>
        <w:gridCol w:w="222"/>
      </w:tblGrid>
      <w:tr w:rsidR="003735DA" w:rsidRPr="005362D3" w14:paraId="58F8475B" w14:textId="77777777" w:rsidTr="00B20AC9">
        <w:trPr>
          <w:gridAfter w:val="1"/>
          <w:trHeight w:val="317"/>
        </w:trPr>
        <w:tc>
          <w:tcPr>
            <w:tcW w:w="0" w:type="auto"/>
            <w:vMerge w:val="restart"/>
            <w:tcBorders>
              <w:top w:val="single" w:sz="8" w:space="0" w:color="auto"/>
              <w:left w:val="nil"/>
              <w:bottom w:val="single" w:sz="4" w:space="0" w:color="000000"/>
              <w:right w:val="nil"/>
            </w:tcBorders>
            <w:shd w:val="clear" w:color="auto" w:fill="auto"/>
            <w:vAlign w:val="center"/>
            <w:hideMark/>
          </w:tcPr>
          <w:p w14:paraId="75AFD6F9" w14:textId="77777777" w:rsidR="003735DA" w:rsidRPr="005362D3" w:rsidRDefault="003735DA" w:rsidP="00B20AC9">
            <w:pPr>
              <w:jc w:val="center"/>
              <w:rPr>
                <w:rFonts w:eastAsia="DengXian"/>
                <w:b/>
                <w:bCs/>
                <w:color w:val="000000"/>
                <w:sz w:val="22"/>
                <w:szCs w:val="22"/>
                <w:lang w:val="en-US"/>
              </w:rPr>
            </w:pPr>
            <w:bookmarkStart w:id="0" w:name="RANGE!A2"/>
            <w:r w:rsidRPr="005362D3">
              <w:rPr>
                <w:rFonts w:eastAsia="DengXian"/>
                <w:b/>
                <w:bCs/>
                <w:color w:val="000000"/>
                <w:sz w:val="22"/>
                <w:szCs w:val="22"/>
                <w:lang w:val="en-US"/>
              </w:rPr>
              <w:t>Baseline</w:t>
            </w:r>
            <w:bookmarkEnd w:id="0"/>
          </w:p>
        </w:tc>
        <w:tc>
          <w:tcPr>
            <w:tcW w:w="0" w:type="auto"/>
            <w:vMerge w:val="restart"/>
            <w:tcBorders>
              <w:top w:val="single" w:sz="8" w:space="0" w:color="auto"/>
              <w:left w:val="nil"/>
              <w:bottom w:val="single" w:sz="4" w:space="0" w:color="000000"/>
              <w:right w:val="nil"/>
            </w:tcBorders>
            <w:shd w:val="clear" w:color="auto" w:fill="auto"/>
            <w:vAlign w:val="center"/>
            <w:hideMark/>
          </w:tcPr>
          <w:p w14:paraId="75D700CB" w14:textId="77777777" w:rsidR="003735DA" w:rsidRPr="005362D3" w:rsidRDefault="003735DA" w:rsidP="00B20AC9">
            <w:pPr>
              <w:jc w:val="center"/>
              <w:rPr>
                <w:rFonts w:eastAsia="DengXian"/>
                <w:b/>
                <w:bCs/>
                <w:color w:val="000000"/>
                <w:sz w:val="22"/>
                <w:szCs w:val="22"/>
                <w:lang w:val="en-US"/>
              </w:rPr>
            </w:pPr>
            <w:r w:rsidRPr="005362D3">
              <w:rPr>
                <w:rFonts w:eastAsia="DengXian"/>
                <w:b/>
                <w:bCs/>
                <w:color w:val="000000"/>
                <w:sz w:val="22"/>
                <w:szCs w:val="22"/>
                <w:lang w:val="en-US"/>
              </w:rPr>
              <w:t>Indicators</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54467324" w14:textId="77777777" w:rsidR="003735DA" w:rsidRPr="005362D3" w:rsidRDefault="003735DA" w:rsidP="00B20AC9">
            <w:pPr>
              <w:jc w:val="center"/>
              <w:rPr>
                <w:rFonts w:eastAsia="DengXian"/>
                <w:b/>
                <w:bCs/>
                <w:i/>
                <w:iCs/>
                <w:color w:val="000000"/>
                <w:sz w:val="22"/>
                <w:szCs w:val="22"/>
                <w:lang w:val="en-US"/>
              </w:rPr>
            </w:pPr>
            <w:r w:rsidRPr="005362D3">
              <w:rPr>
                <w:rFonts w:eastAsia="DengXian"/>
                <w:b/>
                <w:bCs/>
                <w:color w:val="000000"/>
                <w:sz w:val="22"/>
                <w:szCs w:val="22"/>
                <w:lang w:val="en-US"/>
              </w:rPr>
              <w:t>Hedges</w:t>
            </w:r>
            <w:r w:rsidRPr="005362D3">
              <w:rPr>
                <w:rFonts w:eastAsia="DengXian"/>
                <w:b/>
                <w:bCs/>
                <w:i/>
                <w:iCs/>
                <w:color w:val="000000"/>
                <w:sz w:val="22"/>
                <w:szCs w:val="22"/>
                <w:lang w:val="en-US"/>
              </w:rPr>
              <w:t xml:space="preserve">' g </w:t>
            </w:r>
            <w:r w:rsidRPr="005362D3">
              <w:rPr>
                <w:rFonts w:eastAsia="DengXian"/>
                <w:b/>
                <w:bCs/>
                <w:color w:val="000000"/>
                <w:sz w:val="22"/>
                <w:szCs w:val="22"/>
                <w:lang w:val="en-US"/>
              </w:rPr>
              <w:t>[95% CI]</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2DBC0E9C" w14:textId="77777777" w:rsidR="003735DA" w:rsidRPr="005362D3" w:rsidRDefault="003735DA" w:rsidP="00B20AC9">
            <w:pPr>
              <w:jc w:val="center"/>
              <w:rPr>
                <w:rFonts w:eastAsia="DengXian"/>
                <w:b/>
                <w:bCs/>
                <w:color w:val="000000"/>
                <w:sz w:val="22"/>
                <w:szCs w:val="22"/>
                <w:lang w:val="en-US"/>
              </w:rPr>
            </w:pPr>
            <w:r w:rsidRPr="005362D3">
              <w:rPr>
                <w:rFonts w:eastAsia="DengXian"/>
                <w:b/>
                <w:bCs/>
                <w:color w:val="000000"/>
                <w:sz w:val="22"/>
                <w:szCs w:val="22"/>
                <w:lang w:val="en-US"/>
              </w:rPr>
              <w:t># of Studies</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22894B0B" w14:textId="77777777" w:rsidR="003735DA" w:rsidRPr="005362D3" w:rsidRDefault="003735DA" w:rsidP="00B20AC9">
            <w:pPr>
              <w:jc w:val="center"/>
              <w:rPr>
                <w:rFonts w:eastAsia="DengXian"/>
                <w:b/>
                <w:bCs/>
                <w:color w:val="000000"/>
                <w:sz w:val="22"/>
                <w:szCs w:val="22"/>
                <w:lang w:val="en-US"/>
              </w:rPr>
            </w:pPr>
            <w:r w:rsidRPr="005362D3">
              <w:rPr>
                <w:rFonts w:eastAsia="DengXian"/>
                <w:b/>
                <w:bCs/>
                <w:color w:val="000000"/>
                <w:sz w:val="22"/>
                <w:szCs w:val="22"/>
                <w:lang w:val="en-US"/>
              </w:rPr>
              <w:t>Q</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0810ACB5" w14:textId="77777777" w:rsidR="003735DA" w:rsidRPr="005362D3" w:rsidRDefault="003735DA" w:rsidP="00B20AC9">
            <w:pPr>
              <w:jc w:val="center"/>
              <w:rPr>
                <w:rFonts w:eastAsia="DengXian"/>
                <w:b/>
                <w:bCs/>
                <w:i/>
                <w:iCs/>
                <w:color w:val="000000"/>
                <w:sz w:val="22"/>
                <w:szCs w:val="22"/>
                <w:lang w:val="en-US"/>
              </w:rPr>
            </w:pPr>
            <w:r w:rsidRPr="005362D3">
              <w:rPr>
                <w:rFonts w:eastAsia="DengXian"/>
                <w:b/>
                <w:bCs/>
                <w:i/>
                <w:iCs/>
                <w:color w:val="000000"/>
                <w:sz w:val="22"/>
                <w:szCs w:val="22"/>
                <w:lang w:val="en-US"/>
              </w:rPr>
              <w:t>p</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02BE48B7" w14:textId="77777777" w:rsidR="003735DA" w:rsidRPr="005362D3" w:rsidRDefault="003735DA" w:rsidP="00B20AC9">
            <w:pPr>
              <w:jc w:val="center"/>
              <w:rPr>
                <w:rFonts w:eastAsia="DengXian"/>
                <w:b/>
                <w:bCs/>
                <w:i/>
                <w:iCs/>
                <w:color w:val="000000"/>
                <w:sz w:val="22"/>
                <w:szCs w:val="22"/>
                <w:lang w:val="en-US"/>
              </w:rPr>
            </w:pPr>
            <w:r w:rsidRPr="005362D3">
              <w:rPr>
                <w:rFonts w:eastAsia="DengXian"/>
                <w:b/>
                <w:bCs/>
                <w:i/>
                <w:iCs/>
                <w:color w:val="000000"/>
                <w:sz w:val="22"/>
                <w:szCs w:val="22"/>
                <w:lang w:val="en-US"/>
              </w:rPr>
              <w:t>I</w:t>
            </w:r>
            <w:r w:rsidRPr="005362D3">
              <w:rPr>
                <w:rFonts w:eastAsia="DengXian"/>
                <w:b/>
                <w:bCs/>
                <w:i/>
                <w:iCs/>
                <w:color w:val="000000"/>
                <w:sz w:val="22"/>
                <w:szCs w:val="22"/>
                <w:vertAlign w:val="superscript"/>
                <w:lang w:val="en-US"/>
              </w:rPr>
              <w:t>2</w:t>
            </w:r>
          </w:p>
        </w:tc>
      </w:tr>
      <w:tr w:rsidR="003735DA" w:rsidRPr="005362D3" w14:paraId="0B47EB0C" w14:textId="77777777" w:rsidTr="00B20AC9">
        <w:trPr>
          <w:trHeight w:val="285"/>
        </w:trPr>
        <w:tc>
          <w:tcPr>
            <w:tcW w:w="0" w:type="auto"/>
            <w:vMerge/>
            <w:tcBorders>
              <w:top w:val="single" w:sz="8" w:space="0" w:color="auto"/>
              <w:left w:val="nil"/>
              <w:bottom w:val="single" w:sz="4" w:space="0" w:color="000000"/>
              <w:right w:val="nil"/>
            </w:tcBorders>
            <w:vAlign w:val="center"/>
            <w:hideMark/>
          </w:tcPr>
          <w:p w14:paraId="47D654B6" w14:textId="77777777" w:rsidR="003735DA" w:rsidRPr="005362D3" w:rsidRDefault="003735DA" w:rsidP="00B20AC9">
            <w:pPr>
              <w:rPr>
                <w:rFonts w:eastAsia="DengXian"/>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047CB51E" w14:textId="77777777" w:rsidR="003735DA" w:rsidRPr="005362D3" w:rsidRDefault="003735DA" w:rsidP="00B20AC9">
            <w:pPr>
              <w:rPr>
                <w:rFonts w:eastAsia="DengXian"/>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3F3D020F" w14:textId="77777777" w:rsidR="003735DA" w:rsidRPr="005362D3" w:rsidRDefault="003735DA" w:rsidP="00B20AC9">
            <w:pPr>
              <w:rPr>
                <w:rFonts w:eastAsia="DengXian"/>
                <w:b/>
                <w:bCs/>
                <w:i/>
                <w:i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2284E233" w14:textId="77777777" w:rsidR="003735DA" w:rsidRPr="005362D3" w:rsidRDefault="003735DA" w:rsidP="00B20AC9">
            <w:pPr>
              <w:rPr>
                <w:rFonts w:eastAsia="DengXian"/>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5EE695D1" w14:textId="77777777" w:rsidR="003735DA" w:rsidRPr="005362D3" w:rsidRDefault="003735DA" w:rsidP="00B20AC9">
            <w:pPr>
              <w:rPr>
                <w:rFonts w:eastAsia="DengXian"/>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4F0E6437" w14:textId="77777777" w:rsidR="003735DA" w:rsidRPr="005362D3" w:rsidRDefault="003735DA" w:rsidP="00B20AC9">
            <w:pPr>
              <w:rPr>
                <w:rFonts w:eastAsia="DengXian"/>
                <w:b/>
                <w:bCs/>
                <w:i/>
                <w:i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76278465" w14:textId="77777777" w:rsidR="003735DA" w:rsidRPr="005362D3" w:rsidRDefault="003735DA" w:rsidP="00B20AC9">
            <w:pPr>
              <w:rPr>
                <w:rFonts w:eastAsia="DengXian"/>
                <w:b/>
                <w:bCs/>
                <w:i/>
                <w:iCs/>
                <w:color w:val="000000"/>
                <w:sz w:val="22"/>
                <w:szCs w:val="22"/>
                <w:lang w:val="en-US"/>
              </w:rPr>
            </w:pPr>
          </w:p>
        </w:tc>
        <w:tc>
          <w:tcPr>
            <w:tcW w:w="0" w:type="auto"/>
            <w:tcBorders>
              <w:top w:val="nil"/>
              <w:left w:val="nil"/>
              <w:bottom w:val="nil"/>
              <w:right w:val="nil"/>
            </w:tcBorders>
            <w:shd w:val="clear" w:color="auto" w:fill="auto"/>
            <w:noWrap/>
            <w:vAlign w:val="center"/>
            <w:hideMark/>
          </w:tcPr>
          <w:p w14:paraId="650EFE8A" w14:textId="77777777" w:rsidR="003735DA" w:rsidRPr="005362D3" w:rsidRDefault="003735DA" w:rsidP="00B20AC9">
            <w:pPr>
              <w:jc w:val="center"/>
              <w:rPr>
                <w:rFonts w:eastAsia="DengXian"/>
                <w:b/>
                <w:bCs/>
                <w:i/>
                <w:iCs/>
                <w:color w:val="000000"/>
                <w:sz w:val="22"/>
                <w:szCs w:val="22"/>
                <w:lang w:val="en-US"/>
              </w:rPr>
            </w:pPr>
          </w:p>
        </w:tc>
      </w:tr>
      <w:tr w:rsidR="003735DA" w:rsidRPr="002E2AF2" w14:paraId="5F55119B" w14:textId="77777777" w:rsidTr="00B20AC9">
        <w:trPr>
          <w:trHeight w:val="315"/>
        </w:trPr>
        <w:tc>
          <w:tcPr>
            <w:tcW w:w="0" w:type="auto"/>
            <w:tcBorders>
              <w:top w:val="nil"/>
              <w:left w:val="nil"/>
              <w:bottom w:val="nil"/>
              <w:right w:val="nil"/>
            </w:tcBorders>
            <w:shd w:val="clear" w:color="auto" w:fill="auto"/>
            <w:vAlign w:val="center"/>
            <w:hideMark/>
          </w:tcPr>
          <w:p w14:paraId="6110E8F3" w14:textId="77777777" w:rsidR="003735DA" w:rsidRPr="002E2AF2" w:rsidRDefault="003735DA" w:rsidP="00B20AC9">
            <w:pPr>
              <w:jc w:val="center"/>
              <w:rPr>
                <w:rFonts w:eastAsia="DengXian"/>
                <w:color w:val="000000"/>
                <w:sz w:val="22"/>
                <w:szCs w:val="22"/>
                <w:lang w:val="en-US"/>
              </w:rPr>
            </w:pPr>
            <w:r w:rsidRPr="002E2AF2">
              <w:rPr>
                <w:rFonts w:eastAsia="DengXian" w:hint="eastAsia"/>
                <w:color w:val="000000"/>
                <w:sz w:val="22"/>
                <w:szCs w:val="22"/>
                <w:lang w:val="en-US"/>
              </w:rPr>
              <w:t>Celebrity</w:t>
            </w:r>
          </w:p>
        </w:tc>
        <w:tc>
          <w:tcPr>
            <w:tcW w:w="0" w:type="auto"/>
            <w:tcBorders>
              <w:top w:val="nil"/>
              <w:left w:val="nil"/>
              <w:bottom w:val="nil"/>
              <w:right w:val="nil"/>
            </w:tcBorders>
            <w:shd w:val="clear" w:color="auto" w:fill="auto"/>
            <w:vAlign w:val="center"/>
            <w:hideMark/>
          </w:tcPr>
          <w:p w14:paraId="60C597F4" w14:textId="77777777" w:rsidR="003735DA" w:rsidRPr="002E2AF2" w:rsidRDefault="003735DA" w:rsidP="00B20AC9">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17635824" w14:textId="77777777" w:rsidR="003735DA" w:rsidRPr="002E2AF2" w:rsidRDefault="003735DA" w:rsidP="00B20AC9">
            <w:pPr>
              <w:rPr>
                <w:sz w:val="20"/>
                <w:szCs w:val="20"/>
                <w:lang w:val="en-US"/>
              </w:rPr>
            </w:pPr>
          </w:p>
        </w:tc>
        <w:tc>
          <w:tcPr>
            <w:tcW w:w="0" w:type="auto"/>
            <w:tcBorders>
              <w:top w:val="nil"/>
              <w:left w:val="nil"/>
              <w:bottom w:val="nil"/>
              <w:right w:val="nil"/>
            </w:tcBorders>
            <w:shd w:val="clear" w:color="auto" w:fill="auto"/>
            <w:noWrap/>
            <w:vAlign w:val="center"/>
            <w:hideMark/>
          </w:tcPr>
          <w:p w14:paraId="59391127" w14:textId="77777777" w:rsidR="003735DA" w:rsidRPr="002E2AF2" w:rsidRDefault="003735DA" w:rsidP="00B20AC9">
            <w:pPr>
              <w:rPr>
                <w:sz w:val="20"/>
                <w:szCs w:val="20"/>
                <w:lang w:val="en-US"/>
              </w:rPr>
            </w:pPr>
          </w:p>
        </w:tc>
        <w:tc>
          <w:tcPr>
            <w:tcW w:w="0" w:type="auto"/>
            <w:tcBorders>
              <w:top w:val="nil"/>
              <w:left w:val="nil"/>
              <w:bottom w:val="nil"/>
              <w:right w:val="nil"/>
            </w:tcBorders>
            <w:shd w:val="clear" w:color="auto" w:fill="auto"/>
            <w:vAlign w:val="center"/>
            <w:hideMark/>
          </w:tcPr>
          <w:p w14:paraId="7D53E838" w14:textId="77777777" w:rsidR="003735DA" w:rsidRPr="002E2AF2" w:rsidRDefault="003735DA" w:rsidP="00B20AC9">
            <w:pPr>
              <w:rPr>
                <w:sz w:val="20"/>
                <w:szCs w:val="20"/>
                <w:lang w:val="en-US"/>
              </w:rPr>
            </w:pPr>
          </w:p>
        </w:tc>
        <w:tc>
          <w:tcPr>
            <w:tcW w:w="0" w:type="auto"/>
            <w:tcBorders>
              <w:top w:val="nil"/>
              <w:left w:val="nil"/>
              <w:bottom w:val="nil"/>
              <w:right w:val="nil"/>
            </w:tcBorders>
            <w:shd w:val="clear" w:color="auto" w:fill="auto"/>
            <w:vAlign w:val="center"/>
            <w:hideMark/>
          </w:tcPr>
          <w:p w14:paraId="1700B17F" w14:textId="77777777" w:rsidR="003735DA" w:rsidRPr="002E2AF2" w:rsidRDefault="003735DA" w:rsidP="00B20AC9">
            <w:pPr>
              <w:rPr>
                <w:sz w:val="20"/>
                <w:szCs w:val="20"/>
                <w:lang w:val="en-US"/>
              </w:rPr>
            </w:pPr>
          </w:p>
        </w:tc>
        <w:tc>
          <w:tcPr>
            <w:tcW w:w="0" w:type="auto"/>
            <w:tcBorders>
              <w:top w:val="nil"/>
              <w:left w:val="nil"/>
              <w:bottom w:val="nil"/>
              <w:right w:val="nil"/>
            </w:tcBorders>
            <w:shd w:val="clear" w:color="auto" w:fill="auto"/>
            <w:vAlign w:val="center"/>
            <w:hideMark/>
          </w:tcPr>
          <w:p w14:paraId="10A60013" w14:textId="77777777" w:rsidR="003735DA" w:rsidRPr="002E2AF2" w:rsidRDefault="003735DA" w:rsidP="00B20AC9">
            <w:pPr>
              <w:rPr>
                <w:sz w:val="20"/>
                <w:szCs w:val="20"/>
                <w:lang w:val="en-US"/>
              </w:rPr>
            </w:pPr>
          </w:p>
        </w:tc>
        <w:tc>
          <w:tcPr>
            <w:tcW w:w="0" w:type="auto"/>
            <w:vAlign w:val="center"/>
            <w:hideMark/>
          </w:tcPr>
          <w:p w14:paraId="4B5D8F73" w14:textId="77777777" w:rsidR="003735DA" w:rsidRPr="002E2AF2" w:rsidRDefault="003735DA" w:rsidP="00B20AC9">
            <w:pPr>
              <w:rPr>
                <w:sz w:val="20"/>
                <w:szCs w:val="20"/>
                <w:lang w:val="en-US"/>
              </w:rPr>
            </w:pPr>
          </w:p>
        </w:tc>
      </w:tr>
      <w:tr w:rsidR="000C7E1F" w:rsidRPr="002E2AF2" w14:paraId="7EF23D2B" w14:textId="77777777" w:rsidTr="00B20AC9">
        <w:trPr>
          <w:trHeight w:val="315"/>
        </w:trPr>
        <w:tc>
          <w:tcPr>
            <w:tcW w:w="0" w:type="auto"/>
            <w:tcBorders>
              <w:top w:val="nil"/>
              <w:left w:val="nil"/>
              <w:bottom w:val="nil"/>
              <w:right w:val="nil"/>
            </w:tcBorders>
            <w:shd w:val="clear" w:color="auto" w:fill="auto"/>
            <w:vAlign w:val="center"/>
            <w:hideMark/>
          </w:tcPr>
          <w:p w14:paraId="5D91578D" w14:textId="77777777" w:rsidR="000C7E1F" w:rsidRPr="002E2AF2" w:rsidRDefault="000C7E1F" w:rsidP="000C7E1F">
            <w:pPr>
              <w:rPr>
                <w:sz w:val="20"/>
                <w:szCs w:val="20"/>
                <w:lang w:val="en-US"/>
              </w:rPr>
            </w:pPr>
          </w:p>
        </w:tc>
        <w:tc>
          <w:tcPr>
            <w:tcW w:w="0" w:type="auto"/>
            <w:tcBorders>
              <w:top w:val="nil"/>
              <w:left w:val="nil"/>
              <w:bottom w:val="nil"/>
              <w:right w:val="nil"/>
            </w:tcBorders>
            <w:shd w:val="clear" w:color="auto" w:fill="auto"/>
            <w:noWrap/>
            <w:vAlign w:val="center"/>
            <w:hideMark/>
          </w:tcPr>
          <w:p w14:paraId="2BD899CF" w14:textId="77777777" w:rsidR="000C7E1F" w:rsidRPr="002E2AF2" w:rsidRDefault="000C7E1F" w:rsidP="000C7E1F">
            <w:pPr>
              <w:jc w:val="center"/>
              <w:rPr>
                <w:rFonts w:eastAsia="DengXian"/>
                <w:color w:val="000000"/>
                <w:sz w:val="22"/>
                <w:szCs w:val="22"/>
                <w:lang w:val="en-US"/>
              </w:rPr>
            </w:pPr>
            <w:r w:rsidRPr="002E2AF2">
              <w:rPr>
                <w:rFonts w:eastAsia="DengXian"/>
                <w:color w:val="000000"/>
                <w:sz w:val="22"/>
                <w:szCs w:val="22"/>
                <w:lang w:val="en-US"/>
              </w:rPr>
              <w:t>RT</w:t>
            </w:r>
          </w:p>
        </w:tc>
        <w:tc>
          <w:tcPr>
            <w:tcW w:w="0" w:type="auto"/>
            <w:tcBorders>
              <w:top w:val="nil"/>
              <w:left w:val="nil"/>
              <w:bottom w:val="nil"/>
              <w:right w:val="nil"/>
            </w:tcBorders>
            <w:shd w:val="clear" w:color="auto" w:fill="auto"/>
            <w:noWrap/>
            <w:vAlign w:val="center"/>
            <w:hideMark/>
          </w:tcPr>
          <w:p w14:paraId="2F916F05" w14:textId="4636FFEE" w:rsidR="000C7E1F" w:rsidRPr="002E2AF2" w:rsidRDefault="000C7E1F" w:rsidP="000C7E1F">
            <w:pPr>
              <w:jc w:val="center"/>
              <w:rPr>
                <w:rFonts w:eastAsia="DengXian"/>
                <w:color w:val="000000"/>
                <w:sz w:val="22"/>
                <w:szCs w:val="22"/>
                <w:lang w:val="en-US"/>
              </w:rPr>
            </w:pPr>
            <w:r w:rsidRPr="00AA5D1F">
              <w:rPr>
                <w:rFonts w:eastAsia="DengXian"/>
                <w:color w:val="080ABF"/>
                <w:sz w:val="22"/>
                <w:szCs w:val="22"/>
                <w:lang w:val="en-US"/>
              </w:rPr>
              <w:t xml:space="preserve">1.76 [1.11, 2.41] </w:t>
            </w:r>
          </w:p>
        </w:tc>
        <w:tc>
          <w:tcPr>
            <w:tcW w:w="0" w:type="auto"/>
            <w:tcBorders>
              <w:top w:val="nil"/>
              <w:left w:val="nil"/>
              <w:bottom w:val="nil"/>
              <w:right w:val="nil"/>
            </w:tcBorders>
            <w:shd w:val="clear" w:color="auto" w:fill="auto"/>
            <w:noWrap/>
            <w:vAlign w:val="center"/>
            <w:hideMark/>
          </w:tcPr>
          <w:p w14:paraId="795CDDF7" w14:textId="292C7B65" w:rsidR="000C7E1F" w:rsidRPr="002E2AF2" w:rsidRDefault="000C7E1F" w:rsidP="000C7E1F">
            <w:pPr>
              <w:jc w:val="center"/>
              <w:rPr>
                <w:rFonts w:eastAsia="DengXian"/>
                <w:color w:val="000000"/>
                <w:sz w:val="22"/>
                <w:szCs w:val="22"/>
                <w:lang w:val="en-US"/>
              </w:rPr>
            </w:pPr>
            <w:r w:rsidRPr="00AA5D1F">
              <w:rPr>
                <w:rFonts w:eastAsia="DengXian"/>
                <w:color w:val="080ABF"/>
                <w:sz w:val="22"/>
                <w:szCs w:val="22"/>
                <w:lang w:val="en-US"/>
              </w:rPr>
              <w:t>1</w:t>
            </w:r>
          </w:p>
        </w:tc>
        <w:tc>
          <w:tcPr>
            <w:tcW w:w="0" w:type="auto"/>
            <w:tcBorders>
              <w:top w:val="nil"/>
              <w:left w:val="nil"/>
              <w:bottom w:val="nil"/>
              <w:right w:val="nil"/>
            </w:tcBorders>
            <w:shd w:val="clear" w:color="auto" w:fill="auto"/>
            <w:vAlign w:val="center"/>
          </w:tcPr>
          <w:p w14:paraId="7ABC540C"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25F1525D"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35F172F5" w14:textId="77777777" w:rsidR="000C7E1F" w:rsidRPr="002E2AF2" w:rsidRDefault="000C7E1F" w:rsidP="000C7E1F">
            <w:pPr>
              <w:jc w:val="center"/>
              <w:rPr>
                <w:rFonts w:eastAsia="DengXian"/>
                <w:color w:val="000000"/>
                <w:sz w:val="22"/>
                <w:szCs w:val="22"/>
                <w:lang w:val="en-US"/>
              </w:rPr>
            </w:pPr>
          </w:p>
        </w:tc>
        <w:tc>
          <w:tcPr>
            <w:tcW w:w="0" w:type="auto"/>
            <w:vAlign w:val="center"/>
            <w:hideMark/>
          </w:tcPr>
          <w:p w14:paraId="0AD3EB30" w14:textId="77777777" w:rsidR="000C7E1F" w:rsidRPr="002E2AF2" w:rsidRDefault="000C7E1F" w:rsidP="000C7E1F">
            <w:pPr>
              <w:rPr>
                <w:sz w:val="20"/>
                <w:szCs w:val="20"/>
                <w:lang w:val="en-US"/>
              </w:rPr>
            </w:pPr>
          </w:p>
        </w:tc>
      </w:tr>
      <w:tr w:rsidR="000C7E1F" w:rsidRPr="002E2AF2" w14:paraId="4A4AF509" w14:textId="77777777" w:rsidTr="00B20AC9">
        <w:trPr>
          <w:trHeight w:val="315"/>
        </w:trPr>
        <w:tc>
          <w:tcPr>
            <w:tcW w:w="0" w:type="auto"/>
            <w:tcBorders>
              <w:top w:val="nil"/>
              <w:left w:val="nil"/>
              <w:bottom w:val="nil"/>
              <w:right w:val="nil"/>
            </w:tcBorders>
            <w:shd w:val="clear" w:color="auto" w:fill="auto"/>
            <w:vAlign w:val="center"/>
            <w:hideMark/>
          </w:tcPr>
          <w:p w14:paraId="2E218552"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57046771" w14:textId="77777777" w:rsidR="000C7E1F" w:rsidRPr="002E2AF2" w:rsidRDefault="000C7E1F" w:rsidP="000C7E1F">
            <w:pPr>
              <w:jc w:val="center"/>
              <w:rPr>
                <w:rFonts w:eastAsia="DengXian"/>
                <w:color w:val="000000"/>
                <w:sz w:val="22"/>
                <w:szCs w:val="22"/>
                <w:lang w:val="en-US"/>
              </w:rPr>
            </w:pPr>
            <w:r w:rsidRPr="002E2AF2">
              <w:rPr>
                <w:rFonts w:eastAsia="DengXian"/>
                <w:color w:val="000000"/>
                <w:sz w:val="22"/>
                <w:szCs w:val="22"/>
                <w:lang w:val="en-US"/>
              </w:rPr>
              <w:t>ACC</w:t>
            </w:r>
          </w:p>
        </w:tc>
        <w:tc>
          <w:tcPr>
            <w:tcW w:w="0" w:type="auto"/>
            <w:tcBorders>
              <w:top w:val="nil"/>
              <w:left w:val="nil"/>
              <w:bottom w:val="nil"/>
              <w:right w:val="nil"/>
            </w:tcBorders>
            <w:shd w:val="clear" w:color="auto" w:fill="auto"/>
            <w:noWrap/>
            <w:vAlign w:val="center"/>
            <w:hideMark/>
          </w:tcPr>
          <w:p w14:paraId="5F012CEB" w14:textId="085315E8" w:rsidR="000C7E1F" w:rsidRPr="002E2AF2" w:rsidRDefault="000C7E1F" w:rsidP="000C7E1F">
            <w:pPr>
              <w:jc w:val="center"/>
              <w:rPr>
                <w:rFonts w:eastAsia="DengXian"/>
                <w:color w:val="000000"/>
                <w:sz w:val="22"/>
                <w:szCs w:val="22"/>
                <w:lang w:val="en-US"/>
              </w:rPr>
            </w:pPr>
            <w:r w:rsidRPr="00AA5D1F">
              <w:rPr>
                <w:rFonts w:eastAsia="DengXian"/>
                <w:color w:val="080ABF"/>
                <w:sz w:val="22"/>
                <w:szCs w:val="22"/>
                <w:lang w:val="en-US"/>
              </w:rPr>
              <w:t xml:space="preserve">2.08 [1.39, 2.77] </w:t>
            </w:r>
          </w:p>
        </w:tc>
        <w:tc>
          <w:tcPr>
            <w:tcW w:w="0" w:type="auto"/>
            <w:tcBorders>
              <w:top w:val="nil"/>
              <w:left w:val="nil"/>
              <w:bottom w:val="nil"/>
              <w:right w:val="nil"/>
            </w:tcBorders>
            <w:shd w:val="clear" w:color="auto" w:fill="auto"/>
            <w:noWrap/>
            <w:vAlign w:val="center"/>
            <w:hideMark/>
          </w:tcPr>
          <w:p w14:paraId="4B252F87" w14:textId="10560D18" w:rsidR="000C7E1F" w:rsidRPr="002E2AF2" w:rsidRDefault="000C7E1F" w:rsidP="000C7E1F">
            <w:pPr>
              <w:jc w:val="center"/>
              <w:rPr>
                <w:rFonts w:eastAsia="DengXian"/>
                <w:color w:val="000000"/>
                <w:sz w:val="22"/>
                <w:szCs w:val="22"/>
                <w:lang w:val="en-US"/>
              </w:rPr>
            </w:pPr>
            <w:r w:rsidRPr="00AA5D1F">
              <w:rPr>
                <w:rFonts w:eastAsia="DengXian"/>
                <w:color w:val="080ABF"/>
                <w:sz w:val="22"/>
                <w:szCs w:val="22"/>
                <w:lang w:val="en-US"/>
              </w:rPr>
              <w:t>1</w:t>
            </w:r>
          </w:p>
        </w:tc>
        <w:tc>
          <w:tcPr>
            <w:tcW w:w="0" w:type="auto"/>
            <w:tcBorders>
              <w:top w:val="nil"/>
              <w:left w:val="nil"/>
              <w:bottom w:val="nil"/>
              <w:right w:val="nil"/>
            </w:tcBorders>
            <w:shd w:val="clear" w:color="auto" w:fill="auto"/>
            <w:vAlign w:val="center"/>
          </w:tcPr>
          <w:p w14:paraId="6C9D270E"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63F03C32"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12422A9A" w14:textId="77777777" w:rsidR="000C7E1F" w:rsidRPr="002E2AF2" w:rsidRDefault="000C7E1F" w:rsidP="000C7E1F">
            <w:pPr>
              <w:jc w:val="center"/>
              <w:rPr>
                <w:rFonts w:eastAsia="DengXian"/>
                <w:color w:val="000000"/>
                <w:sz w:val="22"/>
                <w:szCs w:val="22"/>
                <w:lang w:val="en-US"/>
              </w:rPr>
            </w:pPr>
          </w:p>
        </w:tc>
        <w:tc>
          <w:tcPr>
            <w:tcW w:w="0" w:type="auto"/>
            <w:vAlign w:val="center"/>
            <w:hideMark/>
          </w:tcPr>
          <w:p w14:paraId="0F6900A8" w14:textId="77777777" w:rsidR="000C7E1F" w:rsidRPr="002E2AF2" w:rsidRDefault="000C7E1F" w:rsidP="000C7E1F">
            <w:pPr>
              <w:rPr>
                <w:sz w:val="20"/>
                <w:szCs w:val="20"/>
                <w:lang w:val="en-US"/>
              </w:rPr>
            </w:pPr>
          </w:p>
        </w:tc>
      </w:tr>
      <w:tr w:rsidR="000C7E1F" w:rsidRPr="002E2AF2" w14:paraId="33081F0E" w14:textId="77777777" w:rsidTr="00B20AC9">
        <w:trPr>
          <w:trHeight w:val="315"/>
        </w:trPr>
        <w:tc>
          <w:tcPr>
            <w:tcW w:w="0" w:type="auto"/>
            <w:tcBorders>
              <w:top w:val="nil"/>
              <w:left w:val="nil"/>
              <w:bottom w:val="nil"/>
              <w:right w:val="nil"/>
            </w:tcBorders>
            <w:shd w:val="clear" w:color="auto" w:fill="auto"/>
            <w:vAlign w:val="center"/>
            <w:hideMark/>
          </w:tcPr>
          <w:p w14:paraId="38A74977"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04BA22FD" w14:textId="77777777" w:rsidR="000C7E1F" w:rsidRPr="002E2AF2" w:rsidRDefault="000C7E1F" w:rsidP="000C7E1F">
            <w:pPr>
              <w:jc w:val="center"/>
              <w:rPr>
                <w:rFonts w:eastAsia="DengXian"/>
                <w:i/>
                <w:iCs/>
                <w:color w:val="000000"/>
                <w:sz w:val="22"/>
                <w:szCs w:val="22"/>
                <w:lang w:val="en-US"/>
              </w:rPr>
            </w:pPr>
            <w:r w:rsidRPr="002E2AF2">
              <w:rPr>
                <w:rFonts w:eastAsia="DengXian"/>
                <w:i/>
                <w:iCs/>
                <w:color w:val="000000"/>
                <w:sz w:val="22"/>
                <w:szCs w:val="22"/>
                <w:lang w:val="en-US"/>
              </w:rPr>
              <w:t>d</w:t>
            </w:r>
          </w:p>
        </w:tc>
        <w:tc>
          <w:tcPr>
            <w:tcW w:w="0" w:type="auto"/>
            <w:tcBorders>
              <w:top w:val="nil"/>
              <w:left w:val="nil"/>
              <w:bottom w:val="nil"/>
              <w:right w:val="nil"/>
            </w:tcBorders>
            <w:shd w:val="clear" w:color="auto" w:fill="auto"/>
            <w:noWrap/>
            <w:vAlign w:val="center"/>
            <w:hideMark/>
          </w:tcPr>
          <w:p w14:paraId="73DD05B2" w14:textId="69CD1CB2" w:rsidR="000C7E1F" w:rsidRPr="002E2AF2" w:rsidRDefault="000C7E1F" w:rsidP="000C7E1F">
            <w:pPr>
              <w:jc w:val="center"/>
              <w:rPr>
                <w:rFonts w:eastAsia="DengXian"/>
                <w:color w:val="000000"/>
                <w:sz w:val="22"/>
                <w:szCs w:val="22"/>
                <w:lang w:val="en-US"/>
              </w:rPr>
            </w:pPr>
            <w:r w:rsidRPr="00AA5D1F">
              <w:rPr>
                <w:rFonts w:eastAsia="DengXian"/>
                <w:color w:val="080ABF"/>
                <w:sz w:val="22"/>
                <w:szCs w:val="22"/>
                <w:lang w:val="en-US"/>
              </w:rPr>
              <w:t xml:space="preserve">1.41 [0.79, 2.03] </w:t>
            </w:r>
          </w:p>
        </w:tc>
        <w:tc>
          <w:tcPr>
            <w:tcW w:w="0" w:type="auto"/>
            <w:tcBorders>
              <w:top w:val="nil"/>
              <w:left w:val="nil"/>
              <w:bottom w:val="nil"/>
              <w:right w:val="nil"/>
            </w:tcBorders>
            <w:shd w:val="clear" w:color="auto" w:fill="auto"/>
            <w:noWrap/>
            <w:vAlign w:val="center"/>
            <w:hideMark/>
          </w:tcPr>
          <w:p w14:paraId="013069F1" w14:textId="3D416C11" w:rsidR="000C7E1F" w:rsidRPr="002E2AF2" w:rsidRDefault="000C7E1F" w:rsidP="000C7E1F">
            <w:pPr>
              <w:jc w:val="center"/>
              <w:rPr>
                <w:rFonts w:eastAsia="DengXian"/>
                <w:color w:val="000000"/>
                <w:sz w:val="22"/>
                <w:szCs w:val="22"/>
                <w:lang w:val="en-US"/>
              </w:rPr>
            </w:pPr>
            <w:r w:rsidRPr="00AA5D1F">
              <w:rPr>
                <w:rFonts w:eastAsia="DengXian"/>
                <w:color w:val="080ABF"/>
                <w:sz w:val="22"/>
                <w:szCs w:val="22"/>
                <w:lang w:val="en-US"/>
              </w:rPr>
              <w:t>1</w:t>
            </w:r>
          </w:p>
        </w:tc>
        <w:tc>
          <w:tcPr>
            <w:tcW w:w="0" w:type="auto"/>
            <w:tcBorders>
              <w:top w:val="nil"/>
              <w:left w:val="nil"/>
              <w:bottom w:val="nil"/>
              <w:right w:val="nil"/>
            </w:tcBorders>
            <w:shd w:val="clear" w:color="auto" w:fill="auto"/>
            <w:vAlign w:val="center"/>
          </w:tcPr>
          <w:p w14:paraId="395CE1CC"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3B4F1F22"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656A405A" w14:textId="77777777" w:rsidR="000C7E1F" w:rsidRPr="002E2AF2" w:rsidRDefault="000C7E1F" w:rsidP="000C7E1F">
            <w:pPr>
              <w:jc w:val="center"/>
              <w:rPr>
                <w:rFonts w:eastAsia="DengXian"/>
                <w:color w:val="000000"/>
                <w:sz w:val="22"/>
                <w:szCs w:val="22"/>
                <w:lang w:val="en-US"/>
              </w:rPr>
            </w:pPr>
          </w:p>
        </w:tc>
        <w:tc>
          <w:tcPr>
            <w:tcW w:w="0" w:type="auto"/>
            <w:vAlign w:val="center"/>
            <w:hideMark/>
          </w:tcPr>
          <w:p w14:paraId="3833B734" w14:textId="77777777" w:rsidR="000C7E1F" w:rsidRPr="002E2AF2" w:rsidRDefault="000C7E1F" w:rsidP="000C7E1F">
            <w:pPr>
              <w:rPr>
                <w:sz w:val="20"/>
                <w:szCs w:val="20"/>
                <w:lang w:val="en-US"/>
              </w:rPr>
            </w:pPr>
          </w:p>
        </w:tc>
      </w:tr>
      <w:tr w:rsidR="000C7E1F" w:rsidRPr="002E2AF2" w14:paraId="02C03952" w14:textId="77777777" w:rsidTr="00B20AC9">
        <w:trPr>
          <w:trHeight w:val="315"/>
        </w:trPr>
        <w:tc>
          <w:tcPr>
            <w:tcW w:w="0" w:type="auto"/>
            <w:tcBorders>
              <w:top w:val="nil"/>
              <w:left w:val="nil"/>
              <w:bottom w:val="nil"/>
              <w:right w:val="nil"/>
            </w:tcBorders>
            <w:shd w:val="clear" w:color="auto" w:fill="auto"/>
            <w:vAlign w:val="center"/>
            <w:hideMark/>
          </w:tcPr>
          <w:p w14:paraId="599C3BC5"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59ADCCAE" w14:textId="77777777" w:rsidR="000C7E1F" w:rsidRPr="002E2AF2" w:rsidRDefault="000C7E1F" w:rsidP="000C7E1F">
            <w:pPr>
              <w:jc w:val="center"/>
              <w:rPr>
                <w:rFonts w:eastAsia="DengXian"/>
                <w:i/>
                <w:iCs/>
                <w:color w:val="000000"/>
                <w:sz w:val="22"/>
                <w:szCs w:val="22"/>
                <w:lang w:val="en-US"/>
              </w:rPr>
            </w:pPr>
            <w:r w:rsidRPr="002E2AF2">
              <w:rPr>
                <w:rFonts w:eastAsia="DengXian"/>
                <w:i/>
                <w:iCs/>
                <w:color w:val="000000"/>
                <w:sz w:val="22"/>
                <w:szCs w:val="22"/>
                <w:lang w:val="en-US"/>
              </w:rPr>
              <w:t>η</w:t>
            </w:r>
          </w:p>
        </w:tc>
        <w:tc>
          <w:tcPr>
            <w:tcW w:w="0" w:type="auto"/>
            <w:tcBorders>
              <w:top w:val="nil"/>
              <w:left w:val="nil"/>
              <w:bottom w:val="nil"/>
              <w:right w:val="nil"/>
            </w:tcBorders>
            <w:shd w:val="clear" w:color="auto" w:fill="auto"/>
            <w:noWrap/>
            <w:vAlign w:val="center"/>
            <w:hideMark/>
          </w:tcPr>
          <w:p w14:paraId="7B92206D" w14:textId="3022D94D" w:rsidR="000C7E1F" w:rsidRPr="002E2AF2" w:rsidRDefault="000C7E1F" w:rsidP="000C7E1F">
            <w:pPr>
              <w:jc w:val="center"/>
              <w:rPr>
                <w:rFonts w:eastAsia="DengXian"/>
                <w:color w:val="000000"/>
                <w:sz w:val="22"/>
                <w:szCs w:val="22"/>
                <w:lang w:val="en-US"/>
              </w:rPr>
            </w:pPr>
            <w:r w:rsidRPr="00AA5D1F">
              <w:rPr>
                <w:rFonts w:eastAsia="DengXian"/>
                <w:color w:val="080ABF"/>
                <w:sz w:val="22"/>
                <w:szCs w:val="22"/>
                <w:lang w:val="en-US"/>
              </w:rPr>
              <w:t xml:space="preserve">2.7 [1.93, 3.46] </w:t>
            </w:r>
          </w:p>
        </w:tc>
        <w:tc>
          <w:tcPr>
            <w:tcW w:w="0" w:type="auto"/>
            <w:tcBorders>
              <w:top w:val="nil"/>
              <w:left w:val="nil"/>
              <w:bottom w:val="nil"/>
              <w:right w:val="nil"/>
            </w:tcBorders>
            <w:shd w:val="clear" w:color="auto" w:fill="auto"/>
            <w:noWrap/>
            <w:vAlign w:val="center"/>
            <w:hideMark/>
          </w:tcPr>
          <w:p w14:paraId="2FF2E10C" w14:textId="7CD5A60B" w:rsidR="000C7E1F" w:rsidRPr="002E2AF2" w:rsidRDefault="000C7E1F" w:rsidP="000C7E1F">
            <w:pPr>
              <w:jc w:val="center"/>
              <w:rPr>
                <w:rFonts w:eastAsia="DengXian"/>
                <w:color w:val="000000"/>
                <w:sz w:val="22"/>
                <w:szCs w:val="22"/>
                <w:lang w:val="en-US"/>
              </w:rPr>
            </w:pPr>
            <w:r w:rsidRPr="00AA5D1F">
              <w:rPr>
                <w:rFonts w:eastAsia="DengXian"/>
                <w:color w:val="080ABF"/>
                <w:sz w:val="22"/>
                <w:szCs w:val="22"/>
                <w:lang w:val="en-US"/>
              </w:rPr>
              <w:t>1</w:t>
            </w:r>
          </w:p>
        </w:tc>
        <w:tc>
          <w:tcPr>
            <w:tcW w:w="0" w:type="auto"/>
            <w:tcBorders>
              <w:top w:val="nil"/>
              <w:left w:val="nil"/>
              <w:bottom w:val="nil"/>
              <w:right w:val="nil"/>
            </w:tcBorders>
            <w:shd w:val="clear" w:color="auto" w:fill="auto"/>
            <w:vAlign w:val="center"/>
          </w:tcPr>
          <w:p w14:paraId="13B04F1F"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6DD80FDB"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14E53C39" w14:textId="77777777" w:rsidR="000C7E1F" w:rsidRPr="002E2AF2" w:rsidRDefault="000C7E1F" w:rsidP="000C7E1F">
            <w:pPr>
              <w:jc w:val="center"/>
              <w:rPr>
                <w:rFonts w:eastAsia="DengXian"/>
                <w:color w:val="000000"/>
                <w:sz w:val="22"/>
                <w:szCs w:val="22"/>
                <w:lang w:val="en-US"/>
              </w:rPr>
            </w:pPr>
          </w:p>
        </w:tc>
        <w:tc>
          <w:tcPr>
            <w:tcW w:w="0" w:type="auto"/>
            <w:vAlign w:val="center"/>
            <w:hideMark/>
          </w:tcPr>
          <w:p w14:paraId="39440D55" w14:textId="77777777" w:rsidR="000C7E1F" w:rsidRPr="002E2AF2" w:rsidRDefault="000C7E1F" w:rsidP="000C7E1F">
            <w:pPr>
              <w:rPr>
                <w:sz w:val="20"/>
                <w:szCs w:val="20"/>
                <w:lang w:val="en-US"/>
              </w:rPr>
            </w:pPr>
          </w:p>
        </w:tc>
      </w:tr>
      <w:tr w:rsidR="000C7E1F" w:rsidRPr="002E2AF2" w14:paraId="1C6D1ECB" w14:textId="77777777" w:rsidTr="00B20AC9">
        <w:trPr>
          <w:trHeight w:val="315"/>
        </w:trPr>
        <w:tc>
          <w:tcPr>
            <w:tcW w:w="0" w:type="auto"/>
            <w:tcBorders>
              <w:top w:val="nil"/>
              <w:left w:val="nil"/>
              <w:bottom w:val="nil"/>
              <w:right w:val="nil"/>
            </w:tcBorders>
            <w:shd w:val="clear" w:color="auto" w:fill="auto"/>
            <w:vAlign w:val="center"/>
            <w:hideMark/>
          </w:tcPr>
          <w:p w14:paraId="23639E30"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3FB84F09" w14:textId="77777777" w:rsidR="000C7E1F" w:rsidRPr="002E2AF2" w:rsidRDefault="000C7E1F" w:rsidP="000C7E1F">
            <w:pPr>
              <w:jc w:val="center"/>
              <w:rPr>
                <w:rFonts w:eastAsia="DengXian"/>
                <w:i/>
                <w:iCs/>
                <w:color w:val="000000"/>
                <w:sz w:val="22"/>
                <w:szCs w:val="22"/>
                <w:lang w:val="en-US"/>
              </w:rPr>
            </w:pPr>
            <w:r w:rsidRPr="002E2AF2">
              <w:rPr>
                <w:rFonts w:eastAsia="DengXian"/>
                <w:i/>
                <w:iCs/>
                <w:color w:val="000000"/>
                <w:sz w:val="22"/>
                <w:szCs w:val="22"/>
                <w:lang w:val="en-US"/>
              </w:rPr>
              <w:t>v</w:t>
            </w:r>
          </w:p>
        </w:tc>
        <w:tc>
          <w:tcPr>
            <w:tcW w:w="0" w:type="auto"/>
            <w:tcBorders>
              <w:top w:val="nil"/>
              <w:left w:val="nil"/>
              <w:bottom w:val="nil"/>
              <w:right w:val="nil"/>
            </w:tcBorders>
            <w:shd w:val="clear" w:color="auto" w:fill="auto"/>
            <w:noWrap/>
            <w:vAlign w:val="center"/>
            <w:hideMark/>
          </w:tcPr>
          <w:p w14:paraId="1CBCF492" w14:textId="35131D61" w:rsidR="000C7E1F" w:rsidRPr="002E2AF2" w:rsidRDefault="000C7E1F" w:rsidP="000C7E1F">
            <w:pPr>
              <w:jc w:val="center"/>
              <w:rPr>
                <w:rFonts w:eastAsia="DengXian"/>
                <w:color w:val="000000"/>
                <w:sz w:val="22"/>
                <w:szCs w:val="22"/>
                <w:lang w:val="en-US"/>
              </w:rPr>
            </w:pPr>
            <w:r w:rsidRPr="00AA5D1F">
              <w:rPr>
                <w:rFonts w:eastAsia="DengXian"/>
                <w:color w:val="080ABF"/>
                <w:sz w:val="22"/>
                <w:szCs w:val="22"/>
                <w:lang w:val="en-US"/>
              </w:rPr>
              <w:t xml:space="preserve">1.46 [.83, 2.08] </w:t>
            </w:r>
          </w:p>
        </w:tc>
        <w:tc>
          <w:tcPr>
            <w:tcW w:w="0" w:type="auto"/>
            <w:tcBorders>
              <w:top w:val="nil"/>
              <w:left w:val="nil"/>
              <w:bottom w:val="nil"/>
              <w:right w:val="nil"/>
            </w:tcBorders>
            <w:shd w:val="clear" w:color="auto" w:fill="auto"/>
            <w:noWrap/>
            <w:vAlign w:val="center"/>
            <w:hideMark/>
          </w:tcPr>
          <w:p w14:paraId="17FF58E3" w14:textId="6EACBD9E" w:rsidR="000C7E1F" w:rsidRPr="002E2AF2" w:rsidRDefault="000C7E1F" w:rsidP="000C7E1F">
            <w:pPr>
              <w:jc w:val="center"/>
              <w:rPr>
                <w:rFonts w:eastAsia="DengXian"/>
                <w:color w:val="000000"/>
                <w:sz w:val="22"/>
                <w:szCs w:val="22"/>
                <w:lang w:val="en-US"/>
              </w:rPr>
            </w:pPr>
            <w:r w:rsidRPr="00AA5D1F">
              <w:rPr>
                <w:rFonts w:eastAsia="DengXian"/>
                <w:color w:val="080ABF"/>
                <w:sz w:val="22"/>
                <w:szCs w:val="22"/>
                <w:lang w:val="en-US"/>
              </w:rPr>
              <w:t>1</w:t>
            </w:r>
          </w:p>
        </w:tc>
        <w:tc>
          <w:tcPr>
            <w:tcW w:w="0" w:type="auto"/>
            <w:tcBorders>
              <w:top w:val="nil"/>
              <w:left w:val="nil"/>
              <w:bottom w:val="nil"/>
              <w:right w:val="nil"/>
            </w:tcBorders>
            <w:shd w:val="clear" w:color="auto" w:fill="auto"/>
            <w:vAlign w:val="center"/>
          </w:tcPr>
          <w:p w14:paraId="3A01B9C2"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6F401147"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07E3CDC7" w14:textId="77777777" w:rsidR="000C7E1F" w:rsidRPr="002E2AF2" w:rsidRDefault="000C7E1F" w:rsidP="000C7E1F">
            <w:pPr>
              <w:jc w:val="center"/>
              <w:rPr>
                <w:rFonts w:eastAsia="DengXian"/>
                <w:color w:val="000000"/>
                <w:sz w:val="22"/>
                <w:szCs w:val="22"/>
                <w:lang w:val="en-US"/>
              </w:rPr>
            </w:pPr>
          </w:p>
        </w:tc>
        <w:tc>
          <w:tcPr>
            <w:tcW w:w="0" w:type="auto"/>
            <w:vAlign w:val="center"/>
            <w:hideMark/>
          </w:tcPr>
          <w:p w14:paraId="4959FDDF" w14:textId="77777777" w:rsidR="000C7E1F" w:rsidRPr="002E2AF2" w:rsidRDefault="000C7E1F" w:rsidP="000C7E1F">
            <w:pPr>
              <w:rPr>
                <w:sz w:val="20"/>
                <w:szCs w:val="20"/>
                <w:lang w:val="en-US"/>
              </w:rPr>
            </w:pPr>
          </w:p>
        </w:tc>
      </w:tr>
      <w:tr w:rsidR="000C7E1F" w:rsidRPr="005362D3" w14:paraId="20F19C91" w14:textId="77777777" w:rsidTr="00B20AC9">
        <w:trPr>
          <w:trHeight w:val="315"/>
        </w:trPr>
        <w:tc>
          <w:tcPr>
            <w:tcW w:w="0" w:type="auto"/>
            <w:tcBorders>
              <w:top w:val="nil"/>
              <w:left w:val="nil"/>
              <w:bottom w:val="nil"/>
              <w:right w:val="nil"/>
            </w:tcBorders>
            <w:shd w:val="clear" w:color="auto" w:fill="auto"/>
            <w:vAlign w:val="center"/>
            <w:hideMark/>
          </w:tcPr>
          <w:p w14:paraId="21430FDD"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24C45B04" w14:textId="77777777" w:rsidR="000C7E1F" w:rsidRPr="002E2AF2" w:rsidRDefault="000C7E1F" w:rsidP="000C7E1F">
            <w:pPr>
              <w:jc w:val="center"/>
              <w:rPr>
                <w:rFonts w:eastAsia="DengXian"/>
                <w:i/>
                <w:iCs/>
                <w:color w:val="000000"/>
                <w:sz w:val="22"/>
                <w:szCs w:val="22"/>
                <w:lang w:val="en-US"/>
              </w:rPr>
            </w:pPr>
            <w:r w:rsidRPr="002E2AF2">
              <w:rPr>
                <w:rFonts w:eastAsia="DengXian"/>
                <w:i/>
                <w:iCs/>
                <w:color w:val="000000"/>
                <w:sz w:val="22"/>
                <w:szCs w:val="22"/>
                <w:lang w:val="en-US"/>
              </w:rPr>
              <w:t>z</w:t>
            </w:r>
          </w:p>
        </w:tc>
        <w:tc>
          <w:tcPr>
            <w:tcW w:w="0" w:type="auto"/>
            <w:tcBorders>
              <w:top w:val="nil"/>
              <w:left w:val="nil"/>
              <w:bottom w:val="nil"/>
              <w:right w:val="nil"/>
            </w:tcBorders>
            <w:shd w:val="clear" w:color="auto" w:fill="auto"/>
            <w:noWrap/>
            <w:vAlign w:val="center"/>
            <w:hideMark/>
          </w:tcPr>
          <w:p w14:paraId="1BE4781B" w14:textId="586B0DD5" w:rsidR="000C7E1F" w:rsidRPr="002E2AF2" w:rsidRDefault="000C7E1F" w:rsidP="000C7E1F">
            <w:pPr>
              <w:jc w:val="center"/>
              <w:rPr>
                <w:rFonts w:eastAsia="DengXian"/>
                <w:color w:val="000000"/>
                <w:sz w:val="22"/>
                <w:szCs w:val="22"/>
                <w:lang w:val="en-US"/>
              </w:rPr>
            </w:pPr>
            <w:r w:rsidRPr="00AA5D1F">
              <w:rPr>
                <w:rFonts w:eastAsia="DengXian"/>
                <w:color w:val="080ABF"/>
                <w:sz w:val="22"/>
                <w:szCs w:val="22"/>
                <w:lang w:val="en-US"/>
              </w:rPr>
              <w:t>.0</w:t>
            </w:r>
            <w:r w:rsidRPr="00AA5D1F">
              <w:rPr>
                <w:rFonts w:eastAsia="DengXian" w:hint="eastAsia"/>
                <w:color w:val="080ABF"/>
                <w:sz w:val="22"/>
                <w:szCs w:val="22"/>
                <w:lang w:val="en-US"/>
              </w:rPr>
              <w:t>1</w:t>
            </w:r>
            <w:r w:rsidRPr="00AA5D1F">
              <w:rPr>
                <w:rFonts w:eastAsia="DengXian"/>
                <w:color w:val="080ABF"/>
                <w:sz w:val="22"/>
                <w:szCs w:val="22"/>
                <w:lang w:val="en-US"/>
              </w:rPr>
              <w:t xml:space="preserve"> [</w:t>
            </w:r>
            <w:r w:rsidRPr="00AA5D1F">
              <w:rPr>
                <w:rFonts w:eastAsia="DengXian" w:hint="eastAsia"/>
                <w:color w:val="080ABF"/>
                <w:sz w:val="22"/>
                <w:szCs w:val="22"/>
                <w:lang w:val="en-US"/>
              </w:rPr>
              <w:t>-.54</w:t>
            </w:r>
            <w:r w:rsidRPr="00AA5D1F">
              <w:rPr>
                <w:rFonts w:eastAsia="DengXian"/>
                <w:color w:val="080ABF"/>
                <w:sz w:val="22"/>
                <w:szCs w:val="22"/>
                <w:lang w:val="en-US"/>
              </w:rPr>
              <w:t>, .</w:t>
            </w:r>
            <w:r w:rsidRPr="00AA5D1F">
              <w:rPr>
                <w:rFonts w:eastAsia="DengXian" w:hint="eastAsia"/>
                <w:color w:val="080ABF"/>
                <w:sz w:val="22"/>
                <w:szCs w:val="22"/>
                <w:lang w:val="en-US"/>
              </w:rPr>
              <w:t>56</w:t>
            </w:r>
            <w:r w:rsidRPr="00AA5D1F">
              <w:rPr>
                <w:rFonts w:eastAsia="DengXian"/>
                <w:color w:val="080ABF"/>
                <w:sz w:val="22"/>
                <w:szCs w:val="22"/>
                <w:lang w:val="en-US"/>
              </w:rPr>
              <w:t xml:space="preserve">] </w:t>
            </w:r>
          </w:p>
        </w:tc>
        <w:tc>
          <w:tcPr>
            <w:tcW w:w="0" w:type="auto"/>
            <w:tcBorders>
              <w:top w:val="nil"/>
              <w:left w:val="nil"/>
              <w:bottom w:val="nil"/>
              <w:right w:val="nil"/>
            </w:tcBorders>
            <w:shd w:val="clear" w:color="auto" w:fill="auto"/>
            <w:noWrap/>
            <w:vAlign w:val="center"/>
            <w:hideMark/>
          </w:tcPr>
          <w:p w14:paraId="26E05A82" w14:textId="49FA5C76" w:rsidR="000C7E1F" w:rsidRPr="002E2AF2" w:rsidRDefault="000C7E1F" w:rsidP="000C7E1F">
            <w:pPr>
              <w:jc w:val="center"/>
              <w:rPr>
                <w:rFonts w:eastAsia="DengXian"/>
                <w:color w:val="000000"/>
                <w:sz w:val="22"/>
                <w:szCs w:val="22"/>
                <w:lang w:val="en-US"/>
              </w:rPr>
            </w:pPr>
            <w:r w:rsidRPr="00AA5D1F">
              <w:rPr>
                <w:rFonts w:eastAsia="DengXian"/>
                <w:color w:val="080ABF"/>
                <w:sz w:val="22"/>
                <w:szCs w:val="22"/>
                <w:lang w:val="en-US"/>
              </w:rPr>
              <w:t>1</w:t>
            </w:r>
          </w:p>
        </w:tc>
        <w:tc>
          <w:tcPr>
            <w:tcW w:w="0" w:type="auto"/>
            <w:tcBorders>
              <w:top w:val="nil"/>
              <w:left w:val="nil"/>
              <w:bottom w:val="nil"/>
              <w:right w:val="nil"/>
            </w:tcBorders>
            <w:shd w:val="clear" w:color="auto" w:fill="auto"/>
            <w:vAlign w:val="center"/>
          </w:tcPr>
          <w:p w14:paraId="07FCF7A2"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0EB4C37E"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47BC70BF" w14:textId="77777777" w:rsidR="000C7E1F" w:rsidRPr="002E2AF2" w:rsidRDefault="000C7E1F" w:rsidP="000C7E1F">
            <w:pPr>
              <w:jc w:val="center"/>
              <w:rPr>
                <w:rFonts w:eastAsia="DengXian"/>
                <w:color w:val="000000"/>
                <w:sz w:val="22"/>
                <w:szCs w:val="22"/>
                <w:lang w:val="en-US"/>
              </w:rPr>
            </w:pPr>
          </w:p>
        </w:tc>
        <w:tc>
          <w:tcPr>
            <w:tcW w:w="0" w:type="auto"/>
            <w:vAlign w:val="center"/>
            <w:hideMark/>
          </w:tcPr>
          <w:p w14:paraId="233E1D2A" w14:textId="77777777" w:rsidR="000C7E1F" w:rsidRPr="002E2AF2" w:rsidRDefault="000C7E1F" w:rsidP="000C7E1F">
            <w:pPr>
              <w:rPr>
                <w:sz w:val="20"/>
                <w:szCs w:val="20"/>
                <w:lang w:val="en-US"/>
              </w:rPr>
            </w:pPr>
          </w:p>
        </w:tc>
      </w:tr>
      <w:tr w:rsidR="000C7E1F" w:rsidRPr="002E2AF2" w14:paraId="23BFB688" w14:textId="77777777" w:rsidTr="00B20AC9">
        <w:trPr>
          <w:trHeight w:val="315"/>
        </w:trPr>
        <w:tc>
          <w:tcPr>
            <w:tcW w:w="0" w:type="auto"/>
            <w:tcBorders>
              <w:top w:val="nil"/>
              <w:left w:val="nil"/>
              <w:bottom w:val="nil"/>
              <w:right w:val="nil"/>
            </w:tcBorders>
            <w:shd w:val="clear" w:color="auto" w:fill="auto"/>
            <w:vAlign w:val="center"/>
            <w:hideMark/>
          </w:tcPr>
          <w:p w14:paraId="70102503" w14:textId="77777777" w:rsidR="000C7E1F" w:rsidRPr="005D5792" w:rsidRDefault="000C7E1F" w:rsidP="000C7E1F">
            <w:pPr>
              <w:jc w:val="center"/>
              <w:rPr>
                <w:rFonts w:eastAsia="DengXian"/>
                <w:color w:val="080ABF"/>
                <w:sz w:val="22"/>
                <w:szCs w:val="22"/>
                <w:lang w:val="en-US"/>
              </w:rPr>
            </w:pPr>
            <w:r w:rsidRPr="005D5792">
              <w:rPr>
                <w:rFonts w:eastAsia="DengXian" w:hint="eastAsia"/>
                <w:color w:val="080ABF"/>
                <w:sz w:val="22"/>
                <w:szCs w:val="22"/>
                <w:lang w:val="en-US"/>
              </w:rPr>
              <w:t>Nonperson</w:t>
            </w:r>
          </w:p>
        </w:tc>
        <w:tc>
          <w:tcPr>
            <w:tcW w:w="0" w:type="auto"/>
            <w:tcBorders>
              <w:top w:val="nil"/>
              <w:left w:val="nil"/>
              <w:bottom w:val="nil"/>
              <w:right w:val="nil"/>
            </w:tcBorders>
            <w:shd w:val="clear" w:color="auto" w:fill="auto"/>
            <w:noWrap/>
            <w:vAlign w:val="center"/>
            <w:hideMark/>
          </w:tcPr>
          <w:p w14:paraId="3668E917" w14:textId="77777777" w:rsidR="000C7E1F" w:rsidRPr="005D5792" w:rsidRDefault="000C7E1F" w:rsidP="000C7E1F">
            <w:pPr>
              <w:jc w:val="center"/>
              <w:rPr>
                <w:rFonts w:eastAsia="DengXian"/>
                <w:color w:val="080ABF"/>
                <w:sz w:val="22"/>
                <w:szCs w:val="22"/>
                <w:lang w:val="en-US"/>
              </w:rPr>
            </w:pPr>
          </w:p>
        </w:tc>
        <w:tc>
          <w:tcPr>
            <w:tcW w:w="0" w:type="auto"/>
            <w:tcBorders>
              <w:top w:val="nil"/>
              <w:left w:val="nil"/>
              <w:bottom w:val="nil"/>
              <w:right w:val="nil"/>
            </w:tcBorders>
            <w:shd w:val="clear" w:color="auto" w:fill="auto"/>
            <w:noWrap/>
            <w:vAlign w:val="center"/>
            <w:hideMark/>
          </w:tcPr>
          <w:p w14:paraId="71C2DAB7" w14:textId="77777777" w:rsidR="000C7E1F" w:rsidRPr="005D5792" w:rsidRDefault="000C7E1F" w:rsidP="000C7E1F">
            <w:pPr>
              <w:rPr>
                <w:color w:val="080ABF"/>
                <w:sz w:val="20"/>
                <w:szCs w:val="20"/>
                <w:lang w:val="en-US"/>
              </w:rPr>
            </w:pPr>
          </w:p>
        </w:tc>
        <w:tc>
          <w:tcPr>
            <w:tcW w:w="0" w:type="auto"/>
            <w:tcBorders>
              <w:top w:val="nil"/>
              <w:left w:val="nil"/>
              <w:bottom w:val="nil"/>
              <w:right w:val="nil"/>
            </w:tcBorders>
            <w:shd w:val="clear" w:color="auto" w:fill="auto"/>
            <w:noWrap/>
            <w:vAlign w:val="center"/>
            <w:hideMark/>
          </w:tcPr>
          <w:p w14:paraId="5B4D83A2" w14:textId="77777777" w:rsidR="000C7E1F" w:rsidRPr="005D5792" w:rsidRDefault="000C7E1F" w:rsidP="000C7E1F">
            <w:pPr>
              <w:jc w:val="center"/>
              <w:rPr>
                <w:color w:val="080ABF"/>
                <w:sz w:val="20"/>
                <w:szCs w:val="20"/>
                <w:lang w:val="en-US"/>
              </w:rPr>
            </w:pPr>
          </w:p>
        </w:tc>
        <w:tc>
          <w:tcPr>
            <w:tcW w:w="0" w:type="auto"/>
            <w:tcBorders>
              <w:top w:val="nil"/>
              <w:left w:val="nil"/>
              <w:bottom w:val="nil"/>
              <w:right w:val="nil"/>
            </w:tcBorders>
            <w:shd w:val="clear" w:color="auto" w:fill="auto"/>
            <w:vAlign w:val="center"/>
            <w:hideMark/>
          </w:tcPr>
          <w:p w14:paraId="47BFC015" w14:textId="77777777" w:rsidR="000C7E1F" w:rsidRPr="005D5792" w:rsidRDefault="000C7E1F" w:rsidP="000C7E1F">
            <w:pPr>
              <w:jc w:val="center"/>
              <w:rPr>
                <w:color w:val="080ABF"/>
                <w:sz w:val="20"/>
                <w:szCs w:val="20"/>
                <w:lang w:val="en-US"/>
              </w:rPr>
            </w:pPr>
          </w:p>
        </w:tc>
        <w:tc>
          <w:tcPr>
            <w:tcW w:w="0" w:type="auto"/>
            <w:tcBorders>
              <w:top w:val="nil"/>
              <w:left w:val="nil"/>
              <w:bottom w:val="nil"/>
              <w:right w:val="nil"/>
            </w:tcBorders>
            <w:shd w:val="clear" w:color="auto" w:fill="auto"/>
            <w:vAlign w:val="center"/>
            <w:hideMark/>
          </w:tcPr>
          <w:p w14:paraId="2238C47E" w14:textId="77777777" w:rsidR="000C7E1F" w:rsidRPr="005D5792" w:rsidRDefault="000C7E1F" w:rsidP="000C7E1F">
            <w:pPr>
              <w:jc w:val="center"/>
              <w:rPr>
                <w:color w:val="080ABF"/>
                <w:sz w:val="20"/>
                <w:szCs w:val="20"/>
                <w:lang w:val="en-US"/>
              </w:rPr>
            </w:pPr>
          </w:p>
        </w:tc>
        <w:tc>
          <w:tcPr>
            <w:tcW w:w="0" w:type="auto"/>
            <w:tcBorders>
              <w:top w:val="nil"/>
              <w:left w:val="nil"/>
              <w:bottom w:val="nil"/>
              <w:right w:val="nil"/>
            </w:tcBorders>
            <w:shd w:val="clear" w:color="auto" w:fill="auto"/>
            <w:vAlign w:val="center"/>
            <w:hideMark/>
          </w:tcPr>
          <w:p w14:paraId="76D6C799" w14:textId="77777777" w:rsidR="000C7E1F" w:rsidRPr="005D5792" w:rsidRDefault="000C7E1F" w:rsidP="000C7E1F">
            <w:pPr>
              <w:jc w:val="center"/>
              <w:rPr>
                <w:color w:val="080ABF"/>
                <w:sz w:val="20"/>
                <w:szCs w:val="20"/>
                <w:lang w:val="en-US"/>
              </w:rPr>
            </w:pPr>
          </w:p>
        </w:tc>
        <w:tc>
          <w:tcPr>
            <w:tcW w:w="0" w:type="auto"/>
            <w:vAlign w:val="center"/>
            <w:hideMark/>
          </w:tcPr>
          <w:p w14:paraId="28B430C5" w14:textId="77777777" w:rsidR="000C7E1F" w:rsidRPr="005D5792" w:rsidRDefault="000C7E1F" w:rsidP="000C7E1F">
            <w:pPr>
              <w:rPr>
                <w:color w:val="080ABF"/>
                <w:sz w:val="20"/>
                <w:szCs w:val="20"/>
                <w:lang w:val="en-US"/>
              </w:rPr>
            </w:pPr>
          </w:p>
        </w:tc>
      </w:tr>
      <w:tr w:rsidR="000C7E1F" w:rsidRPr="002E2AF2" w14:paraId="2AF803FE" w14:textId="77777777" w:rsidTr="00B20AC9">
        <w:trPr>
          <w:trHeight w:val="315"/>
        </w:trPr>
        <w:tc>
          <w:tcPr>
            <w:tcW w:w="0" w:type="auto"/>
            <w:tcBorders>
              <w:top w:val="nil"/>
              <w:left w:val="nil"/>
              <w:bottom w:val="nil"/>
              <w:right w:val="nil"/>
            </w:tcBorders>
            <w:shd w:val="clear" w:color="auto" w:fill="auto"/>
            <w:vAlign w:val="center"/>
            <w:hideMark/>
          </w:tcPr>
          <w:p w14:paraId="0CCA4565" w14:textId="77777777" w:rsidR="000C7E1F" w:rsidRPr="005D5792" w:rsidRDefault="000C7E1F" w:rsidP="000C7E1F">
            <w:pPr>
              <w:jc w:val="center"/>
              <w:rPr>
                <w:color w:val="080ABF"/>
                <w:sz w:val="20"/>
                <w:szCs w:val="20"/>
                <w:lang w:val="en-US"/>
              </w:rPr>
            </w:pPr>
          </w:p>
        </w:tc>
        <w:tc>
          <w:tcPr>
            <w:tcW w:w="0" w:type="auto"/>
            <w:tcBorders>
              <w:top w:val="nil"/>
              <w:left w:val="nil"/>
              <w:bottom w:val="nil"/>
              <w:right w:val="nil"/>
            </w:tcBorders>
            <w:shd w:val="clear" w:color="auto" w:fill="auto"/>
            <w:noWrap/>
            <w:vAlign w:val="center"/>
            <w:hideMark/>
          </w:tcPr>
          <w:p w14:paraId="46D4D9D4" w14:textId="77777777"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RT</w:t>
            </w:r>
          </w:p>
        </w:tc>
        <w:tc>
          <w:tcPr>
            <w:tcW w:w="0" w:type="auto"/>
            <w:tcBorders>
              <w:top w:val="nil"/>
              <w:left w:val="nil"/>
              <w:bottom w:val="nil"/>
              <w:right w:val="nil"/>
            </w:tcBorders>
            <w:shd w:val="clear" w:color="auto" w:fill="auto"/>
            <w:noWrap/>
            <w:vAlign w:val="center"/>
            <w:hideMark/>
          </w:tcPr>
          <w:p w14:paraId="6EB5854F" w14:textId="0BA5E42C"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 xml:space="preserve">.61 [.35, .86] </w:t>
            </w:r>
          </w:p>
        </w:tc>
        <w:tc>
          <w:tcPr>
            <w:tcW w:w="0" w:type="auto"/>
            <w:tcBorders>
              <w:top w:val="nil"/>
              <w:left w:val="nil"/>
              <w:bottom w:val="nil"/>
              <w:right w:val="nil"/>
            </w:tcBorders>
            <w:shd w:val="clear" w:color="auto" w:fill="auto"/>
            <w:noWrap/>
            <w:vAlign w:val="center"/>
            <w:hideMark/>
          </w:tcPr>
          <w:p w14:paraId="44C82C19" w14:textId="0A2FB406"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4</w:t>
            </w:r>
          </w:p>
        </w:tc>
        <w:tc>
          <w:tcPr>
            <w:tcW w:w="0" w:type="auto"/>
            <w:tcBorders>
              <w:top w:val="nil"/>
              <w:left w:val="nil"/>
              <w:bottom w:val="nil"/>
              <w:right w:val="nil"/>
            </w:tcBorders>
            <w:shd w:val="clear" w:color="auto" w:fill="auto"/>
            <w:vAlign w:val="center"/>
            <w:hideMark/>
          </w:tcPr>
          <w:p w14:paraId="4E50936C" w14:textId="77BA60FA"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8.79</w:t>
            </w:r>
          </w:p>
        </w:tc>
        <w:tc>
          <w:tcPr>
            <w:tcW w:w="0" w:type="auto"/>
            <w:tcBorders>
              <w:top w:val="nil"/>
              <w:left w:val="nil"/>
              <w:bottom w:val="nil"/>
              <w:right w:val="nil"/>
            </w:tcBorders>
            <w:shd w:val="clear" w:color="auto" w:fill="auto"/>
            <w:vAlign w:val="center"/>
            <w:hideMark/>
          </w:tcPr>
          <w:p w14:paraId="043475FF" w14:textId="30D2BA80" w:rsidR="000C7E1F" w:rsidRPr="005D5792" w:rsidRDefault="000C7E1F" w:rsidP="000C7E1F">
            <w:pPr>
              <w:jc w:val="center"/>
              <w:rPr>
                <w:rFonts w:eastAsia="DengXian"/>
                <w:color w:val="080ABF"/>
                <w:sz w:val="22"/>
                <w:szCs w:val="22"/>
                <w:lang w:val="en-US"/>
              </w:rPr>
            </w:pPr>
            <w:r>
              <w:rPr>
                <w:rFonts w:eastAsia="DengXian" w:hint="eastAsia"/>
                <w:color w:val="080ABF"/>
                <w:sz w:val="22"/>
                <w:szCs w:val="22"/>
                <w:lang w:val="en-US"/>
              </w:rPr>
              <w:t>.032</w:t>
            </w:r>
          </w:p>
        </w:tc>
        <w:tc>
          <w:tcPr>
            <w:tcW w:w="0" w:type="auto"/>
            <w:tcBorders>
              <w:top w:val="nil"/>
              <w:left w:val="nil"/>
              <w:bottom w:val="nil"/>
              <w:right w:val="nil"/>
            </w:tcBorders>
            <w:shd w:val="clear" w:color="auto" w:fill="auto"/>
            <w:vAlign w:val="center"/>
            <w:hideMark/>
          </w:tcPr>
          <w:p w14:paraId="6B9F705B" w14:textId="65EF2A8F"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71.30%</w:t>
            </w:r>
          </w:p>
        </w:tc>
        <w:tc>
          <w:tcPr>
            <w:tcW w:w="0" w:type="auto"/>
            <w:vAlign w:val="center"/>
            <w:hideMark/>
          </w:tcPr>
          <w:p w14:paraId="5EA64027" w14:textId="77777777" w:rsidR="000C7E1F" w:rsidRPr="005D5792" w:rsidRDefault="000C7E1F" w:rsidP="000C7E1F">
            <w:pPr>
              <w:rPr>
                <w:color w:val="080ABF"/>
                <w:sz w:val="20"/>
                <w:szCs w:val="20"/>
                <w:lang w:val="en-US"/>
              </w:rPr>
            </w:pPr>
          </w:p>
        </w:tc>
      </w:tr>
      <w:tr w:rsidR="000C7E1F" w:rsidRPr="002E2AF2" w14:paraId="588661C0" w14:textId="77777777" w:rsidTr="00B20AC9">
        <w:trPr>
          <w:trHeight w:val="315"/>
        </w:trPr>
        <w:tc>
          <w:tcPr>
            <w:tcW w:w="0" w:type="auto"/>
            <w:tcBorders>
              <w:top w:val="nil"/>
              <w:left w:val="nil"/>
              <w:bottom w:val="nil"/>
              <w:right w:val="nil"/>
            </w:tcBorders>
            <w:shd w:val="clear" w:color="auto" w:fill="auto"/>
            <w:vAlign w:val="center"/>
            <w:hideMark/>
          </w:tcPr>
          <w:p w14:paraId="07BDE95D" w14:textId="77777777" w:rsidR="000C7E1F" w:rsidRPr="005D5792" w:rsidRDefault="000C7E1F" w:rsidP="000C7E1F">
            <w:pPr>
              <w:jc w:val="center"/>
              <w:rPr>
                <w:rFonts w:eastAsia="DengXian"/>
                <w:color w:val="080ABF"/>
                <w:sz w:val="22"/>
                <w:szCs w:val="22"/>
                <w:lang w:val="en-US"/>
              </w:rPr>
            </w:pPr>
          </w:p>
        </w:tc>
        <w:tc>
          <w:tcPr>
            <w:tcW w:w="0" w:type="auto"/>
            <w:tcBorders>
              <w:top w:val="nil"/>
              <w:left w:val="nil"/>
              <w:bottom w:val="nil"/>
              <w:right w:val="nil"/>
            </w:tcBorders>
            <w:shd w:val="clear" w:color="auto" w:fill="auto"/>
            <w:noWrap/>
            <w:vAlign w:val="center"/>
            <w:hideMark/>
          </w:tcPr>
          <w:p w14:paraId="1BAE5035" w14:textId="77777777"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ACC</w:t>
            </w:r>
          </w:p>
        </w:tc>
        <w:tc>
          <w:tcPr>
            <w:tcW w:w="0" w:type="auto"/>
            <w:tcBorders>
              <w:top w:val="nil"/>
              <w:left w:val="nil"/>
              <w:bottom w:val="nil"/>
              <w:right w:val="nil"/>
            </w:tcBorders>
            <w:shd w:val="clear" w:color="auto" w:fill="auto"/>
            <w:noWrap/>
            <w:vAlign w:val="center"/>
            <w:hideMark/>
          </w:tcPr>
          <w:p w14:paraId="0947B64F" w14:textId="0228CB90"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 xml:space="preserve">1.53 [.23, 2.83] </w:t>
            </w:r>
          </w:p>
        </w:tc>
        <w:tc>
          <w:tcPr>
            <w:tcW w:w="0" w:type="auto"/>
            <w:tcBorders>
              <w:top w:val="nil"/>
              <w:left w:val="nil"/>
              <w:bottom w:val="nil"/>
              <w:right w:val="nil"/>
            </w:tcBorders>
            <w:shd w:val="clear" w:color="auto" w:fill="auto"/>
            <w:noWrap/>
            <w:vAlign w:val="center"/>
            <w:hideMark/>
          </w:tcPr>
          <w:p w14:paraId="1F2998E4" w14:textId="505D3896"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4</w:t>
            </w:r>
          </w:p>
        </w:tc>
        <w:tc>
          <w:tcPr>
            <w:tcW w:w="0" w:type="auto"/>
            <w:tcBorders>
              <w:top w:val="nil"/>
              <w:left w:val="nil"/>
              <w:bottom w:val="nil"/>
              <w:right w:val="nil"/>
            </w:tcBorders>
            <w:shd w:val="clear" w:color="auto" w:fill="auto"/>
            <w:vAlign w:val="center"/>
            <w:hideMark/>
          </w:tcPr>
          <w:p w14:paraId="19DB3268" w14:textId="67D65739"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65.50</w:t>
            </w:r>
          </w:p>
        </w:tc>
        <w:tc>
          <w:tcPr>
            <w:tcW w:w="0" w:type="auto"/>
            <w:tcBorders>
              <w:top w:val="nil"/>
              <w:left w:val="nil"/>
              <w:bottom w:val="nil"/>
              <w:right w:val="nil"/>
            </w:tcBorders>
            <w:shd w:val="clear" w:color="auto" w:fill="auto"/>
            <w:vAlign w:val="center"/>
            <w:hideMark/>
          </w:tcPr>
          <w:p w14:paraId="09296F84" w14:textId="503B4D63" w:rsidR="000C7E1F" w:rsidRPr="005D5792" w:rsidRDefault="000C7E1F" w:rsidP="000C7E1F">
            <w:pPr>
              <w:jc w:val="center"/>
              <w:rPr>
                <w:rFonts w:eastAsia="DengXian"/>
                <w:color w:val="080ABF"/>
                <w:sz w:val="22"/>
                <w:szCs w:val="22"/>
                <w:lang w:val="en-US"/>
              </w:rPr>
            </w:pPr>
            <w:r>
              <w:rPr>
                <w:rFonts w:eastAsia="DengXian" w:hint="eastAsia"/>
                <w:color w:val="080ABF"/>
                <w:sz w:val="22"/>
                <w:szCs w:val="22"/>
                <w:lang w:val="en-US"/>
              </w:rPr>
              <w:t>&lt;.001</w:t>
            </w:r>
          </w:p>
        </w:tc>
        <w:tc>
          <w:tcPr>
            <w:tcW w:w="0" w:type="auto"/>
            <w:tcBorders>
              <w:top w:val="nil"/>
              <w:left w:val="nil"/>
              <w:bottom w:val="nil"/>
              <w:right w:val="nil"/>
            </w:tcBorders>
            <w:shd w:val="clear" w:color="auto" w:fill="auto"/>
            <w:vAlign w:val="center"/>
            <w:hideMark/>
          </w:tcPr>
          <w:p w14:paraId="15A7C31E" w14:textId="4D3A4EDD"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96.44%</w:t>
            </w:r>
          </w:p>
        </w:tc>
        <w:tc>
          <w:tcPr>
            <w:tcW w:w="0" w:type="auto"/>
            <w:vAlign w:val="center"/>
            <w:hideMark/>
          </w:tcPr>
          <w:p w14:paraId="5FF51729" w14:textId="77777777" w:rsidR="000C7E1F" w:rsidRPr="005D5792" w:rsidRDefault="000C7E1F" w:rsidP="000C7E1F">
            <w:pPr>
              <w:rPr>
                <w:color w:val="080ABF"/>
                <w:sz w:val="20"/>
                <w:szCs w:val="20"/>
                <w:lang w:val="en-US"/>
              </w:rPr>
            </w:pPr>
          </w:p>
        </w:tc>
      </w:tr>
      <w:tr w:rsidR="000C7E1F" w:rsidRPr="002E2AF2" w14:paraId="1F84F670" w14:textId="77777777" w:rsidTr="00B20AC9">
        <w:trPr>
          <w:trHeight w:val="315"/>
        </w:trPr>
        <w:tc>
          <w:tcPr>
            <w:tcW w:w="0" w:type="auto"/>
            <w:tcBorders>
              <w:top w:val="nil"/>
              <w:left w:val="nil"/>
              <w:bottom w:val="nil"/>
              <w:right w:val="nil"/>
            </w:tcBorders>
            <w:shd w:val="clear" w:color="auto" w:fill="auto"/>
            <w:vAlign w:val="center"/>
            <w:hideMark/>
          </w:tcPr>
          <w:p w14:paraId="3660E522" w14:textId="77777777" w:rsidR="000C7E1F" w:rsidRPr="005D5792" w:rsidRDefault="000C7E1F" w:rsidP="000C7E1F">
            <w:pPr>
              <w:jc w:val="center"/>
              <w:rPr>
                <w:rFonts w:eastAsia="DengXian"/>
                <w:color w:val="080ABF"/>
                <w:sz w:val="22"/>
                <w:szCs w:val="22"/>
                <w:lang w:val="en-US"/>
              </w:rPr>
            </w:pPr>
          </w:p>
        </w:tc>
        <w:tc>
          <w:tcPr>
            <w:tcW w:w="0" w:type="auto"/>
            <w:tcBorders>
              <w:top w:val="nil"/>
              <w:left w:val="nil"/>
              <w:bottom w:val="nil"/>
              <w:right w:val="nil"/>
            </w:tcBorders>
            <w:shd w:val="clear" w:color="auto" w:fill="auto"/>
            <w:noWrap/>
            <w:vAlign w:val="center"/>
            <w:hideMark/>
          </w:tcPr>
          <w:p w14:paraId="3E430FC9" w14:textId="77777777" w:rsidR="000C7E1F" w:rsidRPr="005D5792" w:rsidRDefault="000C7E1F" w:rsidP="000C7E1F">
            <w:pPr>
              <w:jc w:val="center"/>
              <w:rPr>
                <w:rFonts w:eastAsia="DengXian"/>
                <w:i/>
                <w:iCs/>
                <w:color w:val="080ABF"/>
                <w:sz w:val="22"/>
                <w:szCs w:val="22"/>
                <w:lang w:val="en-US"/>
              </w:rPr>
            </w:pPr>
            <w:r w:rsidRPr="005D5792">
              <w:rPr>
                <w:rFonts w:eastAsia="DengXian"/>
                <w:i/>
                <w:iCs/>
                <w:color w:val="080ABF"/>
                <w:sz w:val="22"/>
                <w:szCs w:val="22"/>
                <w:lang w:val="en-US"/>
              </w:rPr>
              <w:t>d</w:t>
            </w:r>
          </w:p>
        </w:tc>
        <w:tc>
          <w:tcPr>
            <w:tcW w:w="0" w:type="auto"/>
            <w:tcBorders>
              <w:top w:val="nil"/>
              <w:left w:val="nil"/>
              <w:bottom w:val="nil"/>
              <w:right w:val="nil"/>
            </w:tcBorders>
            <w:shd w:val="clear" w:color="auto" w:fill="auto"/>
            <w:noWrap/>
            <w:vAlign w:val="center"/>
            <w:hideMark/>
          </w:tcPr>
          <w:p w14:paraId="2DC161F8" w14:textId="303C58EA"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 xml:space="preserve">0.67 [.27, 1.08] </w:t>
            </w:r>
          </w:p>
        </w:tc>
        <w:tc>
          <w:tcPr>
            <w:tcW w:w="0" w:type="auto"/>
            <w:tcBorders>
              <w:top w:val="nil"/>
              <w:left w:val="nil"/>
              <w:bottom w:val="nil"/>
              <w:right w:val="nil"/>
            </w:tcBorders>
            <w:shd w:val="clear" w:color="auto" w:fill="auto"/>
            <w:noWrap/>
            <w:vAlign w:val="center"/>
            <w:hideMark/>
          </w:tcPr>
          <w:p w14:paraId="6ED839AA" w14:textId="2D17AB97"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4</w:t>
            </w:r>
          </w:p>
        </w:tc>
        <w:tc>
          <w:tcPr>
            <w:tcW w:w="0" w:type="auto"/>
            <w:tcBorders>
              <w:top w:val="nil"/>
              <w:left w:val="nil"/>
              <w:bottom w:val="nil"/>
              <w:right w:val="nil"/>
            </w:tcBorders>
            <w:shd w:val="clear" w:color="auto" w:fill="auto"/>
            <w:vAlign w:val="center"/>
            <w:hideMark/>
          </w:tcPr>
          <w:p w14:paraId="78290F0A" w14:textId="3071198B"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20.24</w:t>
            </w:r>
          </w:p>
        </w:tc>
        <w:tc>
          <w:tcPr>
            <w:tcW w:w="0" w:type="auto"/>
            <w:tcBorders>
              <w:top w:val="nil"/>
              <w:left w:val="nil"/>
              <w:bottom w:val="nil"/>
              <w:right w:val="nil"/>
            </w:tcBorders>
            <w:shd w:val="clear" w:color="auto" w:fill="auto"/>
            <w:vAlign w:val="center"/>
            <w:hideMark/>
          </w:tcPr>
          <w:p w14:paraId="5A32DC35" w14:textId="264050BB" w:rsidR="000C7E1F" w:rsidRPr="005D5792" w:rsidRDefault="000C7E1F" w:rsidP="000C7E1F">
            <w:pPr>
              <w:jc w:val="center"/>
              <w:rPr>
                <w:rFonts w:eastAsia="DengXian"/>
                <w:color w:val="080ABF"/>
                <w:sz w:val="22"/>
                <w:szCs w:val="22"/>
                <w:lang w:val="en-US"/>
              </w:rPr>
            </w:pPr>
            <w:r>
              <w:rPr>
                <w:rFonts w:eastAsia="DengXian" w:hint="eastAsia"/>
                <w:color w:val="080ABF"/>
                <w:sz w:val="22"/>
                <w:szCs w:val="22"/>
                <w:lang w:val="en-US"/>
              </w:rPr>
              <w:t>&lt;.001</w:t>
            </w:r>
          </w:p>
        </w:tc>
        <w:tc>
          <w:tcPr>
            <w:tcW w:w="0" w:type="auto"/>
            <w:tcBorders>
              <w:top w:val="nil"/>
              <w:left w:val="nil"/>
              <w:bottom w:val="nil"/>
              <w:right w:val="nil"/>
            </w:tcBorders>
            <w:shd w:val="clear" w:color="auto" w:fill="auto"/>
            <w:vAlign w:val="center"/>
            <w:hideMark/>
          </w:tcPr>
          <w:p w14:paraId="6C36B48B" w14:textId="3D2DD64B"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88.70%</w:t>
            </w:r>
          </w:p>
        </w:tc>
        <w:tc>
          <w:tcPr>
            <w:tcW w:w="0" w:type="auto"/>
            <w:vAlign w:val="center"/>
            <w:hideMark/>
          </w:tcPr>
          <w:p w14:paraId="09B929CB" w14:textId="77777777" w:rsidR="000C7E1F" w:rsidRPr="005D5792" w:rsidRDefault="000C7E1F" w:rsidP="000C7E1F">
            <w:pPr>
              <w:rPr>
                <w:color w:val="080ABF"/>
                <w:sz w:val="20"/>
                <w:szCs w:val="20"/>
                <w:lang w:val="en-US"/>
              </w:rPr>
            </w:pPr>
          </w:p>
        </w:tc>
      </w:tr>
      <w:tr w:rsidR="000C7E1F" w:rsidRPr="002E2AF2" w14:paraId="50CB4508" w14:textId="77777777" w:rsidTr="00B20AC9">
        <w:trPr>
          <w:trHeight w:val="315"/>
        </w:trPr>
        <w:tc>
          <w:tcPr>
            <w:tcW w:w="0" w:type="auto"/>
            <w:tcBorders>
              <w:top w:val="nil"/>
              <w:left w:val="nil"/>
              <w:bottom w:val="nil"/>
              <w:right w:val="nil"/>
            </w:tcBorders>
            <w:shd w:val="clear" w:color="auto" w:fill="auto"/>
            <w:vAlign w:val="center"/>
            <w:hideMark/>
          </w:tcPr>
          <w:p w14:paraId="4AEEE82D" w14:textId="77777777" w:rsidR="000C7E1F" w:rsidRPr="005D5792" w:rsidRDefault="000C7E1F" w:rsidP="000C7E1F">
            <w:pPr>
              <w:jc w:val="center"/>
              <w:rPr>
                <w:rFonts w:eastAsia="DengXian"/>
                <w:color w:val="080ABF"/>
                <w:sz w:val="22"/>
                <w:szCs w:val="22"/>
                <w:lang w:val="en-US"/>
              </w:rPr>
            </w:pPr>
          </w:p>
        </w:tc>
        <w:tc>
          <w:tcPr>
            <w:tcW w:w="0" w:type="auto"/>
            <w:tcBorders>
              <w:top w:val="nil"/>
              <w:left w:val="nil"/>
              <w:bottom w:val="nil"/>
              <w:right w:val="nil"/>
            </w:tcBorders>
            <w:shd w:val="clear" w:color="auto" w:fill="auto"/>
            <w:noWrap/>
            <w:vAlign w:val="center"/>
            <w:hideMark/>
          </w:tcPr>
          <w:p w14:paraId="4A4DD6BF" w14:textId="77777777" w:rsidR="000C7E1F" w:rsidRPr="005D5792" w:rsidRDefault="000C7E1F" w:rsidP="000C7E1F">
            <w:pPr>
              <w:jc w:val="center"/>
              <w:rPr>
                <w:rFonts w:eastAsia="DengXian"/>
                <w:i/>
                <w:iCs/>
                <w:color w:val="080ABF"/>
                <w:sz w:val="22"/>
                <w:szCs w:val="22"/>
                <w:lang w:val="en-US"/>
              </w:rPr>
            </w:pPr>
            <w:r w:rsidRPr="005D5792">
              <w:rPr>
                <w:rFonts w:eastAsia="DengXian"/>
                <w:i/>
                <w:iCs/>
                <w:color w:val="080ABF"/>
                <w:sz w:val="22"/>
                <w:szCs w:val="22"/>
                <w:lang w:val="en-US"/>
              </w:rPr>
              <w:t>η</w:t>
            </w:r>
          </w:p>
        </w:tc>
        <w:tc>
          <w:tcPr>
            <w:tcW w:w="0" w:type="auto"/>
            <w:tcBorders>
              <w:top w:val="nil"/>
              <w:left w:val="nil"/>
              <w:bottom w:val="nil"/>
              <w:right w:val="nil"/>
            </w:tcBorders>
            <w:shd w:val="clear" w:color="auto" w:fill="auto"/>
            <w:noWrap/>
            <w:vAlign w:val="center"/>
            <w:hideMark/>
          </w:tcPr>
          <w:p w14:paraId="27343368" w14:textId="0E91D18D"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 xml:space="preserve">1.49 [.32, 2.65] </w:t>
            </w:r>
          </w:p>
        </w:tc>
        <w:tc>
          <w:tcPr>
            <w:tcW w:w="0" w:type="auto"/>
            <w:tcBorders>
              <w:top w:val="nil"/>
              <w:left w:val="nil"/>
              <w:bottom w:val="nil"/>
              <w:right w:val="nil"/>
            </w:tcBorders>
            <w:shd w:val="clear" w:color="auto" w:fill="auto"/>
            <w:noWrap/>
            <w:vAlign w:val="center"/>
            <w:hideMark/>
          </w:tcPr>
          <w:p w14:paraId="18A4E457" w14:textId="00D0D76E"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4</w:t>
            </w:r>
          </w:p>
        </w:tc>
        <w:tc>
          <w:tcPr>
            <w:tcW w:w="0" w:type="auto"/>
            <w:tcBorders>
              <w:top w:val="nil"/>
              <w:left w:val="nil"/>
              <w:bottom w:val="nil"/>
              <w:right w:val="nil"/>
            </w:tcBorders>
            <w:shd w:val="clear" w:color="auto" w:fill="auto"/>
            <w:vAlign w:val="center"/>
            <w:hideMark/>
          </w:tcPr>
          <w:p w14:paraId="08D8A2FE" w14:textId="05993A09"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52.11</w:t>
            </w:r>
          </w:p>
        </w:tc>
        <w:tc>
          <w:tcPr>
            <w:tcW w:w="0" w:type="auto"/>
            <w:tcBorders>
              <w:top w:val="nil"/>
              <w:left w:val="nil"/>
              <w:bottom w:val="nil"/>
              <w:right w:val="nil"/>
            </w:tcBorders>
            <w:shd w:val="clear" w:color="auto" w:fill="auto"/>
            <w:vAlign w:val="center"/>
            <w:hideMark/>
          </w:tcPr>
          <w:p w14:paraId="79F1A563" w14:textId="52349FA6" w:rsidR="000C7E1F" w:rsidRPr="005D5792" w:rsidRDefault="000C7E1F" w:rsidP="000C7E1F">
            <w:pPr>
              <w:jc w:val="center"/>
              <w:rPr>
                <w:rFonts w:eastAsia="DengXian"/>
                <w:color w:val="080ABF"/>
                <w:sz w:val="22"/>
                <w:szCs w:val="22"/>
                <w:lang w:val="en-US"/>
              </w:rPr>
            </w:pPr>
            <w:r>
              <w:rPr>
                <w:rFonts w:eastAsia="DengXian" w:hint="eastAsia"/>
                <w:color w:val="080ABF"/>
                <w:sz w:val="22"/>
                <w:szCs w:val="22"/>
                <w:lang w:val="en-US"/>
              </w:rPr>
              <w:t>&lt;.001</w:t>
            </w:r>
          </w:p>
        </w:tc>
        <w:tc>
          <w:tcPr>
            <w:tcW w:w="0" w:type="auto"/>
            <w:tcBorders>
              <w:top w:val="nil"/>
              <w:left w:val="nil"/>
              <w:bottom w:val="nil"/>
              <w:right w:val="nil"/>
            </w:tcBorders>
            <w:shd w:val="clear" w:color="auto" w:fill="auto"/>
            <w:vAlign w:val="center"/>
            <w:hideMark/>
          </w:tcPr>
          <w:p w14:paraId="4662D33B" w14:textId="1A38C209"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94.76%</w:t>
            </w:r>
          </w:p>
        </w:tc>
        <w:tc>
          <w:tcPr>
            <w:tcW w:w="0" w:type="auto"/>
            <w:vAlign w:val="center"/>
            <w:hideMark/>
          </w:tcPr>
          <w:p w14:paraId="584E5978" w14:textId="77777777" w:rsidR="000C7E1F" w:rsidRPr="005D5792" w:rsidRDefault="000C7E1F" w:rsidP="000C7E1F">
            <w:pPr>
              <w:rPr>
                <w:color w:val="080ABF"/>
                <w:sz w:val="20"/>
                <w:szCs w:val="20"/>
                <w:lang w:val="en-US"/>
              </w:rPr>
            </w:pPr>
          </w:p>
        </w:tc>
      </w:tr>
      <w:tr w:rsidR="000C7E1F" w:rsidRPr="002E2AF2" w14:paraId="4C37C7EE" w14:textId="77777777" w:rsidTr="00B20AC9">
        <w:trPr>
          <w:trHeight w:val="315"/>
        </w:trPr>
        <w:tc>
          <w:tcPr>
            <w:tcW w:w="0" w:type="auto"/>
            <w:tcBorders>
              <w:top w:val="nil"/>
              <w:left w:val="nil"/>
              <w:bottom w:val="nil"/>
              <w:right w:val="nil"/>
            </w:tcBorders>
            <w:shd w:val="clear" w:color="auto" w:fill="auto"/>
            <w:vAlign w:val="center"/>
            <w:hideMark/>
          </w:tcPr>
          <w:p w14:paraId="21242816" w14:textId="77777777" w:rsidR="000C7E1F" w:rsidRPr="005D5792" w:rsidRDefault="000C7E1F" w:rsidP="000C7E1F">
            <w:pPr>
              <w:jc w:val="center"/>
              <w:rPr>
                <w:rFonts w:eastAsia="DengXian"/>
                <w:color w:val="080ABF"/>
                <w:sz w:val="22"/>
                <w:szCs w:val="22"/>
                <w:lang w:val="en-US"/>
              </w:rPr>
            </w:pPr>
          </w:p>
        </w:tc>
        <w:tc>
          <w:tcPr>
            <w:tcW w:w="0" w:type="auto"/>
            <w:tcBorders>
              <w:top w:val="nil"/>
              <w:left w:val="nil"/>
              <w:bottom w:val="nil"/>
              <w:right w:val="nil"/>
            </w:tcBorders>
            <w:shd w:val="clear" w:color="auto" w:fill="auto"/>
            <w:noWrap/>
            <w:vAlign w:val="center"/>
            <w:hideMark/>
          </w:tcPr>
          <w:p w14:paraId="0322A837" w14:textId="77777777" w:rsidR="000C7E1F" w:rsidRPr="005D5792" w:rsidRDefault="000C7E1F" w:rsidP="000C7E1F">
            <w:pPr>
              <w:jc w:val="center"/>
              <w:rPr>
                <w:rFonts w:eastAsia="DengXian"/>
                <w:i/>
                <w:iCs/>
                <w:color w:val="080ABF"/>
                <w:sz w:val="22"/>
                <w:szCs w:val="22"/>
                <w:lang w:val="en-US"/>
              </w:rPr>
            </w:pPr>
            <w:r w:rsidRPr="005D5792">
              <w:rPr>
                <w:rFonts w:eastAsia="DengXian"/>
                <w:i/>
                <w:iCs/>
                <w:color w:val="080ABF"/>
                <w:sz w:val="22"/>
                <w:szCs w:val="22"/>
                <w:lang w:val="en-US"/>
              </w:rPr>
              <w:t>v</w:t>
            </w:r>
          </w:p>
        </w:tc>
        <w:tc>
          <w:tcPr>
            <w:tcW w:w="0" w:type="auto"/>
            <w:tcBorders>
              <w:top w:val="nil"/>
              <w:left w:val="nil"/>
              <w:bottom w:val="nil"/>
              <w:right w:val="nil"/>
            </w:tcBorders>
            <w:shd w:val="clear" w:color="auto" w:fill="auto"/>
            <w:noWrap/>
            <w:vAlign w:val="center"/>
            <w:hideMark/>
          </w:tcPr>
          <w:p w14:paraId="639BFFC0" w14:textId="40EFFDE5"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 xml:space="preserve">.63 [.33, .94] </w:t>
            </w:r>
          </w:p>
        </w:tc>
        <w:tc>
          <w:tcPr>
            <w:tcW w:w="0" w:type="auto"/>
            <w:tcBorders>
              <w:top w:val="nil"/>
              <w:left w:val="nil"/>
              <w:bottom w:val="nil"/>
              <w:right w:val="nil"/>
            </w:tcBorders>
            <w:shd w:val="clear" w:color="auto" w:fill="auto"/>
            <w:noWrap/>
            <w:vAlign w:val="center"/>
            <w:hideMark/>
          </w:tcPr>
          <w:p w14:paraId="72AF4450" w14:textId="68E8E727"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4</w:t>
            </w:r>
          </w:p>
        </w:tc>
        <w:tc>
          <w:tcPr>
            <w:tcW w:w="0" w:type="auto"/>
            <w:tcBorders>
              <w:top w:val="nil"/>
              <w:left w:val="nil"/>
              <w:bottom w:val="nil"/>
              <w:right w:val="nil"/>
            </w:tcBorders>
            <w:shd w:val="clear" w:color="auto" w:fill="auto"/>
            <w:vAlign w:val="center"/>
            <w:hideMark/>
          </w:tcPr>
          <w:p w14:paraId="48DCA08E" w14:textId="664F51FC"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15.</w:t>
            </w:r>
            <w:r>
              <w:rPr>
                <w:rFonts w:eastAsia="DengXian" w:hint="eastAsia"/>
                <w:color w:val="080ABF"/>
                <w:sz w:val="22"/>
                <w:szCs w:val="22"/>
                <w:lang w:val="en-US"/>
              </w:rPr>
              <w:t>55</w:t>
            </w:r>
          </w:p>
        </w:tc>
        <w:tc>
          <w:tcPr>
            <w:tcW w:w="0" w:type="auto"/>
            <w:tcBorders>
              <w:top w:val="nil"/>
              <w:left w:val="nil"/>
              <w:bottom w:val="nil"/>
              <w:right w:val="nil"/>
            </w:tcBorders>
            <w:shd w:val="clear" w:color="auto" w:fill="auto"/>
            <w:vAlign w:val="center"/>
            <w:hideMark/>
          </w:tcPr>
          <w:p w14:paraId="53084C37" w14:textId="55754061"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.0</w:t>
            </w:r>
            <w:r>
              <w:rPr>
                <w:rFonts w:eastAsia="DengXian" w:hint="eastAsia"/>
                <w:color w:val="080ABF"/>
                <w:sz w:val="22"/>
                <w:szCs w:val="22"/>
                <w:lang w:val="en-US"/>
              </w:rPr>
              <w:t>01</w:t>
            </w:r>
          </w:p>
        </w:tc>
        <w:tc>
          <w:tcPr>
            <w:tcW w:w="0" w:type="auto"/>
            <w:tcBorders>
              <w:top w:val="nil"/>
              <w:left w:val="nil"/>
              <w:bottom w:val="nil"/>
              <w:right w:val="nil"/>
            </w:tcBorders>
            <w:shd w:val="clear" w:color="auto" w:fill="auto"/>
            <w:vAlign w:val="center"/>
            <w:hideMark/>
          </w:tcPr>
          <w:p w14:paraId="0060B1A7" w14:textId="7228B837"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82.98%</w:t>
            </w:r>
          </w:p>
        </w:tc>
        <w:tc>
          <w:tcPr>
            <w:tcW w:w="0" w:type="auto"/>
            <w:vAlign w:val="center"/>
            <w:hideMark/>
          </w:tcPr>
          <w:p w14:paraId="188BF4B7" w14:textId="77777777" w:rsidR="000C7E1F" w:rsidRPr="005D5792" w:rsidRDefault="000C7E1F" w:rsidP="000C7E1F">
            <w:pPr>
              <w:rPr>
                <w:color w:val="080ABF"/>
                <w:sz w:val="20"/>
                <w:szCs w:val="20"/>
                <w:lang w:val="en-US"/>
              </w:rPr>
            </w:pPr>
          </w:p>
        </w:tc>
      </w:tr>
      <w:tr w:rsidR="000C7E1F" w:rsidRPr="002E2AF2" w14:paraId="50D3DB77" w14:textId="77777777" w:rsidTr="00B20AC9">
        <w:trPr>
          <w:trHeight w:val="330"/>
        </w:trPr>
        <w:tc>
          <w:tcPr>
            <w:tcW w:w="0" w:type="auto"/>
            <w:tcBorders>
              <w:top w:val="nil"/>
              <w:left w:val="nil"/>
              <w:bottom w:val="single" w:sz="8" w:space="0" w:color="auto"/>
              <w:right w:val="nil"/>
            </w:tcBorders>
            <w:shd w:val="clear" w:color="auto" w:fill="auto"/>
            <w:vAlign w:val="center"/>
            <w:hideMark/>
          </w:tcPr>
          <w:p w14:paraId="12FDC731" w14:textId="77777777" w:rsidR="000C7E1F" w:rsidRPr="005D5792" w:rsidRDefault="000C7E1F" w:rsidP="000C7E1F">
            <w:pPr>
              <w:rPr>
                <w:rFonts w:ascii="Cambria" w:eastAsia="DengXian" w:hAnsi="Cambria" w:cs="SimSun"/>
                <w:color w:val="080ABF"/>
                <w:lang w:val="en-US"/>
              </w:rPr>
            </w:pPr>
            <w:r w:rsidRPr="005D5792">
              <w:rPr>
                <w:rFonts w:ascii="Cambria" w:eastAsia="DengXian" w:hAnsi="Cambria" w:cs="SimSun"/>
                <w:color w:val="080ABF"/>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2CCF64AA" w14:textId="77777777" w:rsidR="000C7E1F" w:rsidRPr="005D5792" w:rsidRDefault="000C7E1F" w:rsidP="000C7E1F">
            <w:pPr>
              <w:jc w:val="center"/>
              <w:rPr>
                <w:rFonts w:eastAsia="DengXian"/>
                <w:i/>
                <w:iCs/>
                <w:color w:val="080ABF"/>
                <w:sz w:val="22"/>
                <w:szCs w:val="22"/>
                <w:lang w:val="en-US"/>
              </w:rPr>
            </w:pPr>
            <w:r w:rsidRPr="005D5792">
              <w:rPr>
                <w:rFonts w:eastAsia="DengXian"/>
                <w:i/>
                <w:iCs/>
                <w:color w:val="080ABF"/>
                <w:sz w:val="22"/>
                <w:szCs w:val="22"/>
                <w:lang w:val="en-US"/>
              </w:rPr>
              <w:t>z</w:t>
            </w:r>
          </w:p>
        </w:tc>
        <w:tc>
          <w:tcPr>
            <w:tcW w:w="0" w:type="auto"/>
            <w:tcBorders>
              <w:top w:val="nil"/>
              <w:left w:val="nil"/>
              <w:bottom w:val="single" w:sz="8" w:space="0" w:color="auto"/>
              <w:right w:val="nil"/>
            </w:tcBorders>
            <w:shd w:val="clear" w:color="auto" w:fill="auto"/>
            <w:noWrap/>
            <w:vAlign w:val="center"/>
            <w:hideMark/>
          </w:tcPr>
          <w:p w14:paraId="2B559AA3" w14:textId="0F12A5F7" w:rsidR="000C7E1F" w:rsidRPr="005D5792" w:rsidRDefault="000C7E1F" w:rsidP="000C7E1F">
            <w:pPr>
              <w:jc w:val="center"/>
              <w:rPr>
                <w:rFonts w:eastAsia="DengXian"/>
                <w:color w:val="080ABF"/>
                <w:sz w:val="22"/>
                <w:szCs w:val="22"/>
                <w:lang w:val="en-US"/>
              </w:rPr>
            </w:pPr>
            <w:r>
              <w:rPr>
                <w:rFonts w:eastAsia="DengXian" w:hint="eastAsia"/>
                <w:color w:val="080ABF"/>
                <w:sz w:val="22"/>
                <w:szCs w:val="22"/>
                <w:lang w:val="en-US"/>
              </w:rPr>
              <w:t>-</w:t>
            </w:r>
            <w:r w:rsidRPr="005D5792">
              <w:rPr>
                <w:rFonts w:eastAsia="DengXian"/>
                <w:color w:val="080ABF"/>
                <w:sz w:val="22"/>
                <w:szCs w:val="22"/>
                <w:lang w:val="en-US"/>
              </w:rPr>
              <w:t>.</w:t>
            </w:r>
            <w:r>
              <w:rPr>
                <w:rFonts w:eastAsia="DengXian" w:hint="eastAsia"/>
                <w:color w:val="080ABF"/>
                <w:sz w:val="22"/>
                <w:szCs w:val="22"/>
                <w:lang w:val="en-US"/>
              </w:rPr>
              <w:t>09</w:t>
            </w:r>
            <w:r w:rsidRPr="005D5792">
              <w:rPr>
                <w:rFonts w:eastAsia="DengXian"/>
                <w:color w:val="080ABF"/>
                <w:sz w:val="22"/>
                <w:szCs w:val="22"/>
                <w:lang w:val="en-US"/>
              </w:rPr>
              <w:t xml:space="preserve"> [</w:t>
            </w:r>
            <w:r>
              <w:rPr>
                <w:rFonts w:eastAsia="DengXian" w:hint="eastAsia"/>
                <w:color w:val="080ABF"/>
                <w:sz w:val="22"/>
                <w:szCs w:val="22"/>
                <w:lang w:val="en-US"/>
              </w:rPr>
              <w:t>-.19</w:t>
            </w:r>
            <w:r w:rsidRPr="005D5792">
              <w:rPr>
                <w:rFonts w:eastAsia="DengXian"/>
                <w:color w:val="080ABF"/>
                <w:sz w:val="22"/>
                <w:szCs w:val="22"/>
                <w:lang w:val="en-US"/>
              </w:rPr>
              <w:t>, .</w:t>
            </w:r>
            <w:r>
              <w:rPr>
                <w:rFonts w:eastAsia="DengXian" w:hint="eastAsia"/>
                <w:color w:val="080ABF"/>
                <w:sz w:val="22"/>
                <w:szCs w:val="22"/>
                <w:lang w:val="en-US"/>
              </w:rPr>
              <w:t>01</w:t>
            </w:r>
            <w:r w:rsidRPr="005D5792">
              <w:rPr>
                <w:rFonts w:eastAsia="DengXian"/>
                <w:color w:val="080ABF"/>
                <w:sz w:val="22"/>
                <w:szCs w:val="22"/>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0E1A20A1" w14:textId="1277E2C8"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4</w:t>
            </w:r>
          </w:p>
        </w:tc>
        <w:tc>
          <w:tcPr>
            <w:tcW w:w="0" w:type="auto"/>
            <w:tcBorders>
              <w:top w:val="nil"/>
              <w:left w:val="nil"/>
              <w:bottom w:val="single" w:sz="8" w:space="0" w:color="auto"/>
              <w:right w:val="nil"/>
            </w:tcBorders>
            <w:shd w:val="clear" w:color="auto" w:fill="auto"/>
            <w:vAlign w:val="center"/>
            <w:hideMark/>
          </w:tcPr>
          <w:p w14:paraId="1B6289EC" w14:textId="7059A968" w:rsidR="000C7E1F" w:rsidRPr="005D5792" w:rsidRDefault="000C7E1F" w:rsidP="000C7E1F">
            <w:pPr>
              <w:jc w:val="center"/>
              <w:rPr>
                <w:rFonts w:eastAsia="DengXian"/>
                <w:color w:val="080ABF"/>
                <w:sz w:val="22"/>
                <w:szCs w:val="22"/>
                <w:lang w:val="en-US"/>
              </w:rPr>
            </w:pPr>
            <w:r>
              <w:rPr>
                <w:rFonts w:eastAsia="DengXian" w:hint="eastAsia"/>
                <w:color w:val="080ABF"/>
                <w:sz w:val="22"/>
                <w:szCs w:val="22"/>
                <w:lang w:val="en-US"/>
              </w:rPr>
              <w:t>4.61</w:t>
            </w:r>
          </w:p>
        </w:tc>
        <w:tc>
          <w:tcPr>
            <w:tcW w:w="0" w:type="auto"/>
            <w:tcBorders>
              <w:top w:val="nil"/>
              <w:left w:val="nil"/>
              <w:bottom w:val="single" w:sz="8" w:space="0" w:color="auto"/>
              <w:right w:val="nil"/>
            </w:tcBorders>
            <w:shd w:val="clear" w:color="auto" w:fill="auto"/>
            <w:vAlign w:val="center"/>
            <w:hideMark/>
          </w:tcPr>
          <w:p w14:paraId="2E51D683" w14:textId="31001154"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w:t>
            </w:r>
            <w:r>
              <w:rPr>
                <w:rFonts w:eastAsia="DengXian" w:hint="eastAsia"/>
                <w:color w:val="080ABF"/>
                <w:sz w:val="22"/>
                <w:szCs w:val="22"/>
                <w:lang w:val="en-US"/>
              </w:rPr>
              <w:t>203</w:t>
            </w:r>
          </w:p>
        </w:tc>
        <w:tc>
          <w:tcPr>
            <w:tcW w:w="0" w:type="auto"/>
            <w:tcBorders>
              <w:top w:val="nil"/>
              <w:left w:val="nil"/>
              <w:bottom w:val="single" w:sz="8" w:space="0" w:color="auto"/>
              <w:right w:val="nil"/>
            </w:tcBorders>
            <w:shd w:val="clear" w:color="auto" w:fill="auto"/>
            <w:vAlign w:val="center"/>
            <w:hideMark/>
          </w:tcPr>
          <w:p w14:paraId="149F26C6" w14:textId="6C67B6B0"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0.0</w:t>
            </w:r>
            <w:r>
              <w:rPr>
                <w:rFonts w:eastAsia="DengXian" w:hint="eastAsia"/>
                <w:color w:val="080ABF"/>
                <w:sz w:val="22"/>
                <w:szCs w:val="22"/>
                <w:lang w:val="en-US"/>
              </w:rPr>
              <w:t>3</w:t>
            </w:r>
            <w:r w:rsidRPr="005D5792">
              <w:rPr>
                <w:rFonts w:eastAsia="DengXian"/>
                <w:color w:val="080ABF"/>
                <w:sz w:val="22"/>
                <w:szCs w:val="22"/>
                <w:lang w:val="en-US"/>
              </w:rPr>
              <w:t>%</w:t>
            </w:r>
          </w:p>
        </w:tc>
        <w:tc>
          <w:tcPr>
            <w:tcW w:w="0" w:type="auto"/>
            <w:vAlign w:val="center"/>
            <w:hideMark/>
          </w:tcPr>
          <w:p w14:paraId="389F42D6" w14:textId="77777777" w:rsidR="000C7E1F" w:rsidRPr="005D5792" w:rsidRDefault="000C7E1F" w:rsidP="000C7E1F">
            <w:pPr>
              <w:rPr>
                <w:color w:val="080ABF"/>
                <w:sz w:val="20"/>
                <w:szCs w:val="20"/>
                <w:lang w:val="en-US"/>
              </w:rPr>
            </w:pPr>
          </w:p>
        </w:tc>
      </w:tr>
    </w:tbl>
    <w:p w14:paraId="6A974842" w14:textId="77777777" w:rsidR="003735DA" w:rsidRPr="009773CE" w:rsidRDefault="003735DA" w:rsidP="003735DA">
      <w:pPr>
        <w:pStyle w:val="Heading2"/>
        <w:spacing w:before="240" w:after="240"/>
        <w:rPr>
          <w:lang w:val="en-US"/>
        </w:rPr>
      </w:pPr>
      <w:r>
        <w:rPr>
          <w:lang w:val="en-US"/>
        </w:rPr>
        <w:t xml:space="preserve">2.2 </w:t>
      </w:r>
      <w:r w:rsidRPr="009773CE">
        <w:rPr>
          <w:lang w:val="en-US"/>
        </w:rPr>
        <w:t xml:space="preserve">Split-Half Reliability Using </w:t>
      </w:r>
      <w:r w:rsidRPr="005D5792">
        <w:rPr>
          <w:color w:val="080ABF"/>
          <w:lang w:val="en-US"/>
        </w:rPr>
        <w:t xml:space="preserve">Three Splitting Approaches </w:t>
      </w:r>
    </w:p>
    <w:p w14:paraId="48BBF89F" w14:textId="77777777" w:rsidR="003735DA" w:rsidRDefault="003735DA" w:rsidP="003735DA">
      <w:pPr>
        <w:rPr>
          <w:rFonts w:eastAsiaTheme="minorEastAsia"/>
          <w:sz w:val="36"/>
          <w:szCs w:val="36"/>
        </w:rPr>
      </w:pPr>
      <w:r w:rsidRPr="009773CE">
        <w:t xml:space="preserve">In this section, we presented the Split-Half Reliability (SHR) results for the SPE measures using </w:t>
      </w:r>
      <w:r w:rsidRPr="005D5792">
        <w:rPr>
          <w:color w:val="080ABF"/>
        </w:rPr>
        <w:t>three split-half methods: first-second, odd-even and permutated</w:t>
      </w:r>
      <w:r w:rsidRPr="009773CE">
        <w:t>. We also included the drift rate (</w:t>
      </w:r>
      <w:r w:rsidRPr="004E0C65">
        <w:rPr>
          <w:i/>
          <w:iCs/>
        </w:rPr>
        <w:t>v</w:t>
      </w:r>
      <w:r w:rsidRPr="009773CE">
        <w:t>) and starting point (</w:t>
      </w:r>
      <w:r w:rsidRPr="004E0C65">
        <w:rPr>
          <w:i/>
          <w:iCs/>
        </w:rPr>
        <w:t>z</w:t>
      </w:r>
      <w:r w:rsidRPr="009773CE">
        <w:t xml:space="preserve">) estimated from the “hausekeep” </w:t>
      </w:r>
      <w:r w:rsidRPr="009773CE">
        <w:rPr>
          <w:color w:val="000000" w:themeColor="text1"/>
        </w:rPr>
        <w:t>package in the analysis. However, it’s important to highlight that the estimation of parameter “</w:t>
      </w:r>
      <w:r w:rsidRPr="00E87322">
        <w:rPr>
          <w:i/>
          <w:iCs/>
          <w:color w:val="000000" w:themeColor="text1"/>
        </w:rPr>
        <w:t>a</w:t>
      </w:r>
      <w:r w:rsidRPr="009773CE">
        <w:rPr>
          <w:color w:val="000000" w:themeColor="text1"/>
        </w:rPr>
        <w:t xml:space="preserve">” in “hausekeep” significantly deviates from the HDDM approach, primarily because of its assumption that </w:t>
      </w:r>
      <w:r w:rsidRPr="004E0C65">
        <w:rPr>
          <w:i/>
          <w:iCs/>
          <w:color w:val="000000" w:themeColor="text1"/>
        </w:rPr>
        <w:t>z</w:t>
      </w:r>
      <w:r w:rsidRPr="009773CE">
        <w:rPr>
          <w:color w:val="000000" w:themeColor="text1"/>
        </w:rPr>
        <w:t xml:space="preserve"> = </w:t>
      </w:r>
      <w:r w:rsidRPr="004E0C65">
        <w:rPr>
          <w:i/>
          <w:iCs/>
          <w:color w:val="000000" w:themeColor="text1"/>
        </w:rPr>
        <w:t>a</w:t>
      </w:r>
      <w:r>
        <w:rPr>
          <w:rFonts w:eastAsiaTheme="minorEastAsia" w:hint="eastAsia"/>
          <w:i/>
          <w:iCs/>
          <w:color w:val="000000" w:themeColor="text1"/>
        </w:rPr>
        <w:t xml:space="preserve"> </w:t>
      </w:r>
      <w:r w:rsidRPr="009773CE">
        <w:rPr>
          <w:color w:val="000000" w:themeColor="text1"/>
        </w:rPr>
        <w:t>/</w:t>
      </w:r>
      <w:r>
        <w:rPr>
          <w:rFonts w:eastAsiaTheme="minorEastAsia" w:hint="eastAsia"/>
          <w:color w:val="000000" w:themeColor="text1"/>
        </w:rPr>
        <w:t xml:space="preserve"> </w:t>
      </w:r>
      <w:r w:rsidRPr="009773CE">
        <w:rPr>
          <w:color w:val="000000" w:themeColor="text1"/>
        </w:rPr>
        <w:t>2 (refer to Fig. S2). As a result, we have chosen not to include the results obtained from this package in the main text. Nevertheless, we presented them here for reference and transparency. Please refer to Fig. S</w:t>
      </w:r>
      <w:r w:rsidRPr="00A73255">
        <w:rPr>
          <w:color w:val="0F00DA"/>
        </w:rPr>
        <w:t>5</w:t>
      </w:r>
      <w:r w:rsidRPr="009773CE">
        <w:rPr>
          <w:color w:val="000000" w:themeColor="text1"/>
        </w:rPr>
        <w:t xml:space="preserve"> for the visual representation of the results. </w:t>
      </w:r>
    </w:p>
    <w:p w14:paraId="6E3DD422" w14:textId="20C22E9D" w:rsidR="003735DA" w:rsidRPr="007A3F65" w:rsidRDefault="000C7E1F" w:rsidP="003735DA">
      <w:pPr>
        <w:spacing w:after="240"/>
        <w:jc w:val="center"/>
        <w:rPr>
          <w:sz w:val="36"/>
          <w:szCs w:val="36"/>
        </w:rPr>
      </w:pPr>
      <w:r>
        <w:rPr>
          <w:noProof/>
        </w:rPr>
        <w:lastRenderedPageBreak/>
        <w:drawing>
          <wp:inline distT="0" distB="0" distL="0" distR="0" wp14:anchorId="54830CAF" wp14:editId="6E903A9D">
            <wp:extent cx="5943600" cy="4754880"/>
            <wp:effectExtent l="0" t="0" r="0" b="7620"/>
            <wp:docPr id="1928160119" name="图片 3"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0119" name="图片 3" descr="图片包含 图表&#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5001D87" w14:textId="77777777" w:rsidR="003735DA" w:rsidRPr="002863D5" w:rsidRDefault="003735DA" w:rsidP="003735DA">
      <w:pPr>
        <w:pStyle w:val="Fig"/>
        <w:spacing w:after="240"/>
        <w:rPr>
          <w:rFonts w:eastAsiaTheme="minorEastAsia"/>
        </w:rPr>
      </w:pPr>
      <w:r w:rsidRPr="000C7E1F">
        <w:rPr>
          <w:b/>
          <w:color w:val="080ABF"/>
          <w:highlight w:val="yellow"/>
        </w:rPr>
        <w:t>Fig. S5</w:t>
      </w:r>
      <w:r w:rsidRPr="007A1157">
        <w:rPr>
          <w:b/>
          <w:color w:val="080ABF"/>
        </w:rPr>
        <w:t xml:space="preserve"> </w:t>
      </w:r>
      <w:r w:rsidRPr="00A01A15">
        <w:rPr>
          <w:b/>
        </w:rPr>
        <w:t xml:space="preserve">Results of SHR Using </w:t>
      </w:r>
      <w:r w:rsidRPr="007A1157">
        <w:rPr>
          <w:b/>
          <w:color w:val="080ABF"/>
        </w:rPr>
        <w:t>Three Split-half Methods.</w:t>
      </w:r>
      <w:r w:rsidRPr="007A1157">
        <w:rPr>
          <w:color w:val="080ABF"/>
        </w:rPr>
        <w:t xml:space="preserve"> </w:t>
      </w:r>
      <w:r w:rsidRPr="00A01A15">
        <w:t>(</w:t>
      </w:r>
      <w:r>
        <w:rPr>
          <w:rFonts w:eastAsiaTheme="minorEastAsia" w:hint="eastAsia"/>
        </w:rPr>
        <w:t>a</w:t>
      </w:r>
      <w:r w:rsidRPr="00A01A15">
        <w:t>) Results of SHR using Permutated Split-half Methods</w:t>
      </w:r>
      <w:r>
        <w:rPr>
          <w:rFonts w:eastAsiaTheme="minorEastAsia" w:hint="eastAsia"/>
        </w:rPr>
        <w:t>;</w:t>
      </w:r>
      <w:r w:rsidRPr="00A01A15">
        <w:t xml:space="preserve"> (</w:t>
      </w:r>
      <w:r>
        <w:rPr>
          <w:rFonts w:eastAsiaTheme="minorEastAsia" w:hint="eastAsia"/>
        </w:rPr>
        <w:t>b</w:t>
      </w:r>
      <w:r w:rsidRPr="00A01A15">
        <w:t>) Results of SHR using First-Second Split-half Methods; (</w:t>
      </w:r>
      <w:r>
        <w:rPr>
          <w:rFonts w:eastAsiaTheme="minorEastAsia" w:hint="eastAsia"/>
        </w:rPr>
        <w:t>c</w:t>
      </w:r>
      <w:r w:rsidRPr="00A01A15">
        <w:t xml:space="preserve">) Results of SHR using Odd-Even Split-half Methods. </w:t>
      </w:r>
      <w:r w:rsidRPr="00A01A15">
        <w:rPr>
          <w:i/>
          <w:iCs/>
        </w:rPr>
        <w:t>Note</w:t>
      </w:r>
      <w:r w:rsidRPr="00A01A15">
        <w:t xml:space="preserve">: The vertical axis of the graph listed </w:t>
      </w:r>
      <w:r w:rsidRPr="00624D4E">
        <w:rPr>
          <w:color w:val="000000" w:themeColor="text1"/>
        </w:rPr>
        <w:t>32 different SPE measures</w:t>
      </w:r>
      <w:r w:rsidRPr="00A01A15">
        <w:t xml:space="preserve">, combining six indicators (RT, ACC, </w:t>
      </w:r>
      <w:r w:rsidRPr="00D314D0">
        <w:rPr>
          <w:rFonts w:eastAsiaTheme="minorEastAsia" w:hint="eastAsia"/>
          <w:i/>
          <w:iCs/>
          <w:sz w:val="22"/>
          <w:szCs w:val="22"/>
        </w:rPr>
        <w:t>d</w:t>
      </w:r>
      <w:r w:rsidRPr="00D314D0">
        <w:rPr>
          <w:rFonts w:eastAsiaTheme="minorEastAsia"/>
          <w:i/>
          <w:iCs/>
          <w:sz w:val="22"/>
          <w:szCs w:val="22"/>
        </w:rPr>
        <w:t>’</w:t>
      </w:r>
      <w:r w:rsidRPr="00D314D0">
        <w:t xml:space="preserve">, </w:t>
      </w:r>
      <w:r w:rsidRPr="00D314D0">
        <w:rPr>
          <w:i/>
          <w:iCs/>
        </w:rPr>
        <w:t>η</w:t>
      </w:r>
      <w:r w:rsidRPr="00D314D0">
        <w:t xml:space="preserve">, </w:t>
      </w:r>
      <w:r w:rsidRPr="00D314D0">
        <w:rPr>
          <w:i/>
          <w:iCs/>
        </w:rPr>
        <w:t>v</w:t>
      </w:r>
      <w:r w:rsidRPr="00D314D0">
        <w:t xml:space="preserve">, </w:t>
      </w:r>
      <w:r w:rsidRPr="00D314D0">
        <w:rPr>
          <w:i/>
          <w:iCs/>
        </w:rPr>
        <w:t>z</w:t>
      </w:r>
      <w:r w:rsidRPr="00A01A15">
        <w:t xml:space="preserve">) and four baseline conditions (close other, stranger, celebrity, and non-person). The v and z implemented using the “hausekeep” package were also included. </w:t>
      </w:r>
      <w:r w:rsidRPr="00F063B3">
        <w:t>The weighted average split-half reliability and 95% confidence intervals are shown by points and lines.</w:t>
      </w:r>
      <w:r w:rsidRPr="00A01A15">
        <w:t xml:space="preserve"> The figure is divided into separate facets arranged from left to right, each representing weighted average split-half reliability calculated using three distinct methods: first-second, odd-even and permutated. </w:t>
      </w:r>
    </w:p>
    <w:p w14:paraId="0079A395" w14:textId="77777777" w:rsidR="003735DA" w:rsidRPr="009773CE" w:rsidRDefault="003735DA" w:rsidP="003735DA">
      <w:pPr>
        <w:rPr>
          <w:sz w:val="36"/>
          <w:szCs w:val="36"/>
        </w:rPr>
      </w:pPr>
      <w:r w:rsidRPr="009773CE">
        <w:t>It’s evident that the pattern of the results from the first-second split-half methods was similar to the permutated split-half method’s outcomes. The top four split-half reliabilities, ranked highest, were as follows: Reaction Time (RT) with the</w:t>
      </w:r>
      <w:r>
        <w:t xml:space="preserve"> “</w:t>
      </w:r>
      <w:r w:rsidRPr="009773CE">
        <w:t>Stranger” contrast, Efficiency (</w:t>
      </w:r>
      <w:r w:rsidRPr="00D314D0">
        <w:rPr>
          <w:i/>
          <w:iCs/>
        </w:rPr>
        <w:t>η</w:t>
      </w:r>
      <w:r w:rsidRPr="009773CE">
        <w:t>) with the “Stranger” contrast, RT with the</w:t>
      </w:r>
      <w:r>
        <w:rPr>
          <w:lang w:val="en-US"/>
        </w:rPr>
        <w:t xml:space="preserve"> “Cl</w:t>
      </w:r>
      <w:r w:rsidRPr="009773CE">
        <w:t xml:space="preserve">ose other” contrast, </w:t>
      </w:r>
      <w:r w:rsidRPr="00D314D0">
        <w:rPr>
          <w:i/>
          <w:iCs/>
        </w:rPr>
        <w:t>η</w:t>
      </w:r>
      <w:r w:rsidRPr="009773CE">
        <w:t xml:space="preserve"> with the “Self vs Close” contrast. However, the results obtained from the odd-even split-half method were notably different from the other two methods. We hypothesize that this discrepancy may be attributed to the odd-even method’s sensitivity to temporal dependencies, which could have been influenced by the inherent sequential nature of responses in the </w:t>
      </w:r>
      <w:r>
        <w:t>SMT</w:t>
      </w:r>
      <w:r w:rsidRPr="009773CE">
        <w:t xml:space="preserve">. Further investigation into the presence and impact of </w:t>
      </w:r>
      <w:r w:rsidRPr="009773CE">
        <w:lastRenderedPageBreak/>
        <w:t xml:space="preserve">serial dependency in the data would be valuable to better understand the observed variations in the split-half reliabilities among the different methods. </w:t>
      </w:r>
    </w:p>
    <w:p w14:paraId="55852EF2" w14:textId="77777777" w:rsidR="003735DA" w:rsidRPr="009773CE" w:rsidRDefault="003735DA" w:rsidP="003735DA">
      <w:pPr>
        <w:pStyle w:val="Heading2"/>
        <w:spacing w:before="240" w:after="240"/>
        <w:rPr>
          <w:lang w:val="en-US"/>
        </w:rPr>
      </w:pPr>
      <w:r w:rsidRPr="009773CE">
        <w:rPr>
          <w:lang w:val="en-US"/>
        </w:rPr>
        <w:t xml:space="preserve">2.3 ICCs for SPE Measures Using Another Dataset </w:t>
      </w:r>
    </w:p>
    <w:p w14:paraId="7166CD02" w14:textId="77777777" w:rsidR="003735DA" w:rsidRDefault="003735DA" w:rsidP="003735DA">
      <w:pPr>
        <w:rPr>
          <w:rFonts w:eastAsiaTheme="minorEastAsia"/>
          <w:noProof/>
          <w:color w:val="000000" w:themeColor="text1"/>
          <w:lang w:val="en-US"/>
        </w:rPr>
      </w:pPr>
      <w:r w:rsidRPr="007A3F65">
        <w:t>In Fig. S</w:t>
      </w:r>
      <w:r w:rsidRPr="00A73255">
        <w:rPr>
          <w:color w:val="0F00DA"/>
        </w:rPr>
        <w:t>6</w:t>
      </w:r>
      <w:r w:rsidRPr="007A3F65">
        <w:t>, we presented the results of the Intraclass Correlation Coefficients (ICC2) for the SPE measures, where drift rate (</w:t>
      </w:r>
      <w:r w:rsidRPr="00D314D0">
        <w:rPr>
          <w:i/>
          <w:iCs/>
        </w:rPr>
        <w:t>v</w:t>
      </w:r>
      <w:r w:rsidRPr="007A3F65">
        <w:t>) and starting point (</w:t>
      </w:r>
      <w:r w:rsidRPr="00D314D0">
        <w:rPr>
          <w:i/>
          <w:iCs/>
        </w:rPr>
        <w:t>z</w:t>
      </w:r>
      <w:r w:rsidRPr="007A3F65">
        <w:t xml:space="preserve">) estimated from the “hausekeep” package were also included. In Fig. S5(b), we extended our exploration of ICC2 to include the SPE measures from one additional dataset. However, the </w:t>
      </w:r>
      <w:r>
        <w:t>SMT</w:t>
      </w:r>
      <w:r w:rsidRPr="007A3F65">
        <w:t xml:space="preserve"> used in this dataset deviated quite strongly from the original </w:t>
      </w:r>
      <w:r>
        <w:t>SMT</w:t>
      </w:r>
      <w:r w:rsidRPr="007A3F65">
        <w:t xml:space="preserve"> paradigm. Due to these significant differences, ICC2 obtained from this dataset may reflect variations introduced by the modified </w:t>
      </w:r>
      <w:r>
        <w:t>SMT</w:t>
      </w:r>
      <w:r w:rsidRPr="007A3F65">
        <w:t xml:space="preserve"> rather than directly comparable results to the original paradigm. </w:t>
      </w:r>
    </w:p>
    <w:p w14:paraId="0FD3BBE4" w14:textId="77777777" w:rsidR="003735DA" w:rsidRPr="007A3F65" w:rsidRDefault="003735DA" w:rsidP="003735DA">
      <w:pPr>
        <w:pStyle w:val="NormalWeb"/>
        <w:spacing w:after="100"/>
        <w:rPr>
          <w:rFonts w:eastAsiaTheme="minorEastAsia"/>
          <w:color w:val="000000" w:themeColor="text1"/>
          <w:sz w:val="36"/>
          <w:szCs w:val="36"/>
        </w:rPr>
      </w:pPr>
      <w:r>
        <w:rPr>
          <w:noProof/>
        </w:rPr>
        <w:drawing>
          <wp:inline distT="0" distB="0" distL="0" distR="0" wp14:anchorId="49F3F945" wp14:editId="2FAE9B44">
            <wp:extent cx="5943600" cy="2377440"/>
            <wp:effectExtent l="0" t="0" r="0" b="3810"/>
            <wp:docPr id="1395294757" name="图片 4"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94757" name="图片 4" descr="表格&#10;&#10;中度可信度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48DBDE8A" w14:textId="77777777" w:rsidR="003735DA" w:rsidRPr="004E0C65" w:rsidRDefault="003735DA" w:rsidP="003735DA">
      <w:pPr>
        <w:pStyle w:val="Fig"/>
        <w:spacing w:after="240"/>
        <w:rPr>
          <w:sz w:val="40"/>
          <w:szCs w:val="40"/>
        </w:rPr>
      </w:pPr>
      <w:r w:rsidRPr="007A1157">
        <w:rPr>
          <w:rFonts w:eastAsia="SimSun"/>
          <w:b/>
          <w:noProof/>
          <w:color w:val="080ABF"/>
          <w:lang w:val="en-US" w:eastAsia="zh-TW"/>
        </w:rPr>
        <w:t xml:space="preserve">Fig. </w:t>
      </w:r>
      <w:r w:rsidRPr="007A1157">
        <w:rPr>
          <w:rFonts w:eastAsia="SimSun"/>
          <w:b/>
          <w:noProof/>
          <w:color w:val="080ABF"/>
          <w:lang w:val="en-US"/>
        </w:rPr>
        <w:t xml:space="preserve">S6 </w:t>
      </w:r>
      <w:r w:rsidRPr="004E0C65">
        <w:rPr>
          <w:b/>
        </w:rPr>
        <w:t xml:space="preserve">ICCs for SPE Measures Using Hu et al. (2023) and Another Dataset. </w:t>
      </w:r>
      <w:r w:rsidRPr="004E0C65">
        <w:t xml:space="preserve">(a) ICC2 for SPE measures using Hu et al. (2023); (b) ICC2 for SPE measures using an additional dataset. </w:t>
      </w:r>
      <w:r w:rsidRPr="004E0C65">
        <w:rPr>
          <w:i/>
          <w:iCs/>
        </w:rPr>
        <w:t>Note</w:t>
      </w:r>
      <w:r w:rsidRPr="004E0C65">
        <w:t xml:space="preserve">: The vertical axis of the graph illustrates eight distinct indicators, which includes two additional indices from the DDM, implemented using the “hausekeep” package. </w:t>
      </w:r>
      <w:r w:rsidRPr="00F063B3">
        <w:t xml:space="preserve">The line and dots on the graph represent the value of ICC2, along with their corresponding 95% confidence intervals. The dashed line indicates that the confidence interval for that point estimate extends beyond the range of our coordinate axes (0, 1). </w:t>
      </w:r>
    </w:p>
    <w:p w14:paraId="35F51D44" w14:textId="77777777" w:rsidR="003735DA" w:rsidRDefault="003735DA" w:rsidP="003735DA">
      <w:pPr>
        <w:spacing w:line="276" w:lineRule="auto"/>
      </w:pPr>
      <w:r>
        <w:br w:type="page"/>
      </w:r>
    </w:p>
    <w:p w14:paraId="177077F9" w14:textId="77777777" w:rsidR="003735DA" w:rsidRPr="00D314D0" w:rsidRDefault="003735DA" w:rsidP="003735DA">
      <w:pPr>
        <w:rPr>
          <w:rFonts w:eastAsiaTheme="minorEastAsia"/>
          <w:sz w:val="36"/>
          <w:szCs w:val="36"/>
        </w:rPr>
      </w:pPr>
      <w:r w:rsidRPr="004E0C65">
        <w:lastRenderedPageBreak/>
        <w:t xml:space="preserve">Since the original design of Hu et al. (2023) incorporated measures from the Beck Depression Inventory-II (BDI-II) (Wang et al., 2011). Thus, in Fig. </w:t>
      </w:r>
      <w:r w:rsidRPr="00A73255">
        <w:rPr>
          <w:color w:val="0F00DA"/>
        </w:rPr>
        <w:t>S7</w:t>
      </w:r>
      <w:r w:rsidRPr="004E0C65">
        <w:t xml:space="preserve">, we incorporated the BDI-II scores of individual participants as covariates when calculating ICC2. Notably, even after accounting for these BDI scores as covariates, we observed consistent ICC2 values both before and after this adjustment. </w:t>
      </w:r>
    </w:p>
    <w:p w14:paraId="50B73CC2" w14:textId="77777777" w:rsidR="003735DA" w:rsidRPr="009773CE" w:rsidRDefault="003735DA" w:rsidP="003735DA">
      <w:pPr>
        <w:spacing w:beforeLines="100" w:before="240" w:after="240"/>
        <w:jc w:val="center"/>
        <w:rPr>
          <w:rFonts w:eastAsiaTheme="minorEastAsia"/>
          <w:lang w:val="en-US"/>
        </w:rPr>
      </w:pPr>
      <w:r>
        <w:rPr>
          <w:noProof/>
        </w:rPr>
        <w:drawing>
          <wp:inline distT="0" distB="0" distL="0" distR="0" wp14:anchorId="58875951" wp14:editId="6F6CD05C">
            <wp:extent cx="5657850" cy="3771899"/>
            <wp:effectExtent l="0" t="0" r="0" b="635"/>
            <wp:docPr id="4" name="图片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 graph of a bar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8929" cy="3819285"/>
                    </a:xfrm>
                    <a:prstGeom prst="rect">
                      <a:avLst/>
                    </a:prstGeom>
                    <a:noFill/>
                    <a:ln>
                      <a:noFill/>
                    </a:ln>
                  </pic:spPr>
                </pic:pic>
              </a:graphicData>
            </a:graphic>
          </wp:inline>
        </w:drawing>
      </w:r>
    </w:p>
    <w:p w14:paraId="20A2CC40" w14:textId="77777777" w:rsidR="003735DA" w:rsidRPr="007A3F65" w:rsidRDefault="003735DA" w:rsidP="003735DA">
      <w:pPr>
        <w:pStyle w:val="Fig"/>
        <w:spacing w:after="240"/>
        <w:rPr>
          <w:rFonts w:eastAsiaTheme="minorEastAsia"/>
          <w:sz w:val="36"/>
          <w:szCs w:val="36"/>
        </w:rPr>
      </w:pPr>
      <w:r w:rsidRPr="007A1157">
        <w:rPr>
          <w:rFonts w:eastAsia="SimSun"/>
          <w:b/>
          <w:noProof/>
          <w:color w:val="080ABF"/>
          <w:lang w:val="en-US" w:eastAsia="zh-TW"/>
        </w:rPr>
        <w:t xml:space="preserve">Fig. </w:t>
      </w:r>
      <w:r w:rsidRPr="007A1157">
        <w:rPr>
          <w:rFonts w:eastAsia="SimSun"/>
          <w:b/>
          <w:noProof/>
          <w:color w:val="080ABF"/>
          <w:lang w:val="en-US"/>
        </w:rPr>
        <w:t>S7</w:t>
      </w:r>
      <w:r w:rsidRPr="007A1157">
        <w:rPr>
          <w:rFonts w:eastAsia="SimSun"/>
          <w:b/>
          <w:noProof/>
          <w:color w:val="080ABF"/>
          <w:lang w:val="en-US" w:eastAsia="zh-TW"/>
        </w:rPr>
        <w:t xml:space="preserve"> </w:t>
      </w:r>
      <w:r w:rsidRPr="004E0C65">
        <w:rPr>
          <w:b/>
        </w:rPr>
        <w:t>ICC2 for SPE Measures Using Hu et al. (2023) with Covariant (BDI-II Scores</w:t>
      </w:r>
      <w:r w:rsidRPr="004E0C65">
        <w:t xml:space="preserve">). Note: The vertical axis of the graph illustrates eight distinct indicators, which includes two additional indices from the DDM, implemented using the “hausekeep” package. The bar on the graph represents the value of ICC2. </w:t>
      </w:r>
    </w:p>
    <w:p w14:paraId="20826AB3" w14:textId="77777777" w:rsidR="003735DA" w:rsidRPr="007A3F65" w:rsidRDefault="003735DA" w:rsidP="003735DA">
      <w:pPr>
        <w:pStyle w:val="Heading2"/>
        <w:spacing w:before="240" w:after="240"/>
      </w:pPr>
      <w:r w:rsidRPr="007A3F65">
        <w:t>2.4 Exploratory Analysis</w:t>
      </w:r>
    </w:p>
    <w:p w14:paraId="46441863" w14:textId="77777777" w:rsidR="003735DA" w:rsidRPr="000F4FCC" w:rsidRDefault="003735DA" w:rsidP="003735DA">
      <w:pPr>
        <w:rPr>
          <w:color w:val="0000FF"/>
        </w:rPr>
      </w:pPr>
      <w:r w:rsidRPr="009773CE">
        <w:t>In this section, we presented the results of the exploratory analysis of the current study. Our focus was on performing a correlation analysis that assessed the relationship between the number of trials and two key factors: permutated split-half reliability and effect size (Hedges’ g).</w:t>
      </w:r>
      <w:r>
        <w:rPr>
          <w:color w:val="0000FF"/>
          <w:lang w:val="en-US"/>
        </w:rPr>
        <w:t xml:space="preserve"> </w:t>
      </w:r>
      <w:r w:rsidRPr="009773CE">
        <w:t>We also examine the relationship between permutated split-half reliability and effect size (Hedges’ g).</w:t>
      </w:r>
      <w:r>
        <w:t xml:space="preserve"> </w:t>
      </w:r>
      <w:r w:rsidRPr="007A1157">
        <w:rPr>
          <w:color w:val="080ABF"/>
        </w:rPr>
        <w:t>Furthermore, we adopted the Spearman-Brown prediction formula based on our current data to predict the trial counts at which the SMT achieves sufficient reliability.</w:t>
      </w:r>
    </w:p>
    <w:p w14:paraId="3D68731E" w14:textId="77777777" w:rsidR="003735DA" w:rsidRPr="00290A7E" w:rsidRDefault="003735DA" w:rsidP="003735DA">
      <w:pPr>
        <w:rPr>
          <w:rFonts w:eastAsiaTheme="minorEastAsia"/>
          <w:strike/>
          <w:color w:val="080ABF"/>
          <w:sz w:val="36"/>
          <w:szCs w:val="36"/>
        </w:rPr>
      </w:pPr>
      <w:r w:rsidRPr="004E0C65">
        <w:rPr>
          <w:color w:val="000000" w:themeColor="text1"/>
        </w:rPr>
        <w:t xml:space="preserve">We found significant correlations between trial numbers and permutated split-half reliability for some indicators, such as Reaction Time and Efficiency (see </w:t>
      </w:r>
      <w:r w:rsidRPr="00A73255">
        <w:rPr>
          <w:color w:val="0F00DA"/>
        </w:rPr>
        <w:t>Fig. S8</w:t>
      </w:r>
      <w:r w:rsidRPr="004E0C65">
        <w:rPr>
          <w:color w:val="000000" w:themeColor="text1"/>
        </w:rPr>
        <w:t xml:space="preserve">). However, for indicators like </w:t>
      </w:r>
      <w:r w:rsidRPr="00FC2914">
        <w:rPr>
          <w:rFonts w:eastAsiaTheme="minorEastAsia" w:hint="eastAsia"/>
          <w:i/>
          <w:iCs/>
          <w:sz w:val="22"/>
          <w:szCs w:val="22"/>
        </w:rPr>
        <w:t>d</w:t>
      </w:r>
      <w:r w:rsidRPr="00FC2914">
        <w:rPr>
          <w:rFonts w:eastAsiaTheme="minorEastAsia"/>
          <w:i/>
          <w:iCs/>
          <w:sz w:val="22"/>
          <w:szCs w:val="22"/>
        </w:rPr>
        <w:t>’</w:t>
      </w:r>
      <w:r w:rsidRPr="004E0C65">
        <w:rPr>
          <w:color w:val="000000" w:themeColor="text1"/>
          <w:position w:val="8"/>
          <w:sz w:val="18"/>
          <w:szCs w:val="18"/>
        </w:rPr>
        <w:t xml:space="preserve"> </w:t>
      </w:r>
      <w:r w:rsidRPr="004E0C65">
        <w:rPr>
          <w:color w:val="000000" w:themeColor="text1"/>
        </w:rPr>
        <w:t xml:space="preserve">and </w:t>
      </w:r>
      <w:r w:rsidRPr="007A3F65">
        <w:rPr>
          <w:i/>
          <w:iCs/>
          <w:color w:val="000000" w:themeColor="text1"/>
        </w:rPr>
        <w:t>v</w:t>
      </w:r>
      <w:r w:rsidRPr="004E0C65">
        <w:rPr>
          <w:color w:val="000000" w:themeColor="text1"/>
        </w:rPr>
        <w:t xml:space="preserve">, the correlation with trial numbers was relatively weak. </w:t>
      </w:r>
      <w:r w:rsidRPr="00290A7E">
        <w:rPr>
          <w:strike/>
          <w:color w:val="080ABF"/>
        </w:rPr>
        <w:t xml:space="preserve">Moreover, we could observe that the SMT paradigm requires approximately 80 trials to achieve a permutated split-half reliability of 0.8 for the SPE measure of RT under the “Stranger’ condition and around </w:t>
      </w:r>
      <w:r w:rsidRPr="00290A7E">
        <w:rPr>
          <w:rFonts w:eastAsiaTheme="minorEastAsia" w:hint="eastAsia"/>
          <w:strike/>
          <w:color w:val="080ABF"/>
        </w:rPr>
        <w:t>100</w:t>
      </w:r>
      <w:r w:rsidRPr="00290A7E">
        <w:rPr>
          <w:strike/>
          <w:color w:val="080ABF"/>
        </w:rPr>
        <w:t xml:space="preserve"> trials </w:t>
      </w:r>
      <w:r w:rsidRPr="00290A7E">
        <w:rPr>
          <w:strike/>
          <w:color w:val="080ABF"/>
        </w:rPr>
        <w:lastRenderedPageBreak/>
        <w:t xml:space="preserve">under the “Close’ condition. Furthermore, achieving a permutated SHR of 0.8 of the parameter v may require more than </w:t>
      </w:r>
      <w:r w:rsidRPr="00290A7E">
        <w:rPr>
          <w:rFonts w:eastAsiaTheme="minorEastAsia" w:hint="eastAsia"/>
          <w:strike/>
          <w:color w:val="080ABF"/>
        </w:rPr>
        <w:t>130</w:t>
      </w:r>
      <w:r w:rsidRPr="00290A7E">
        <w:rPr>
          <w:strike/>
          <w:color w:val="080ABF"/>
        </w:rPr>
        <w:t xml:space="preserve"> trials. On the other hand, attaining high permutated SHR values for the remaining three indicators, particularly for the z parameter, remains challenging even with 150 or more trials. </w:t>
      </w:r>
    </w:p>
    <w:p w14:paraId="6B1527FA" w14:textId="5088168A" w:rsidR="003735DA" w:rsidRPr="00D314D0" w:rsidRDefault="000C7E1F" w:rsidP="003735DA">
      <w:pPr>
        <w:spacing w:beforeLines="100" w:before="240" w:after="240"/>
        <w:rPr>
          <w:rFonts w:eastAsiaTheme="minorEastAsia"/>
          <w:sz w:val="36"/>
          <w:szCs w:val="36"/>
          <w:lang w:val="en-US"/>
        </w:rPr>
      </w:pPr>
      <w:r>
        <w:rPr>
          <w:noProof/>
        </w:rPr>
        <w:drawing>
          <wp:inline distT="0" distB="0" distL="0" distR="0" wp14:anchorId="0FD585E6" wp14:editId="0D7E9343">
            <wp:extent cx="5901526" cy="4721221"/>
            <wp:effectExtent l="0" t="0" r="4445" b="3810"/>
            <wp:docPr id="436817110"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17110" name="图片 4" descr="图示&#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5256" cy="4724205"/>
                    </a:xfrm>
                    <a:prstGeom prst="rect">
                      <a:avLst/>
                    </a:prstGeom>
                    <a:noFill/>
                    <a:ln>
                      <a:noFill/>
                    </a:ln>
                  </pic:spPr>
                </pic:pic>
              </a:graphicData>
            </a:graphic>
          </wp:inline>
        </w:drawing>
      </w:r>
    </w:p>
    <w:p w14:paraId="25AB991C" w14:textId="77777777" w:rsidR="003735DA" w:rsidRPr="002863D5" w:rsidRDefault="003735DA" w:rsidP="003735DA">
      <w:pPr>
        <w:pStyle w:val="Fig"/>
        <w:spacing w:after="240"/>
        <w:rPr>
          <w:rFonts w:eastAsiaTheme="minorEastAsia"/>
          <w:sz w:val="40"/>
          <w:szCs w:val="40"/>
        </w:rPr>
      </w:pPr>
      <w:r w:rsidRPr="000C7E1F">
        <w:rPr>
          <w:b/>
          <w:color w:val="0F00DA"/>
          <w:highlight w:val="yellow"/>
        </w:rPr>
        <w:t>Fig. S8</w:t>
      </w:r>
      <w:r w:rsidRPr="00A73255">
        <w:rPr>
          <w:color w:val="0F00DA"/>
          <w:sz w:val="21"/>
          <w:szCs w:val="21"/>
        </w:rPr>
        <w:t xml:space="preserve"> </w:t>
      </w:r>
      <w:r w:rsidRPr="00A01A15">
        <w:rPr>
          <w:b/>
        </w:rPr>
        <w:t>Regression Analysis Between Permutated SHR and Trial Numbers Using Different SPE Measures.</w:t>
      </w:r>
      <w:r w:rsidRPr="00A01A15">
        <w:t xml:space="preserve"> Note: The vertical axis represents the permutated split-half reliability, and the horizontal axis represents the number of trials. Each facet represents one SPE measures. </w:t>
      </w:r>
    </w:p>
    <w:p w14:paraId="431D813E" w14:textId="77777777" w:rsidR="003735DA" w:rsidRPr="005B3E06" w:rsidRDefault="003735DA" w:rsidP="003735DA">
      <w:pPr>
        <w:rPr>
          <w:color w:val="0F00DA"/>
        </w:rPr>
      </w:pPr>
      <w:r w:rsidRPr="005B3E06">
        <w:rPr>
          <w:color w:val="0F00DA"/>
        </w:rPr>
        <w:t xml:space="preserve">We also explored the correlation between split-half reliability and effect size (Hedges’ </w:t>
      </w:r>
      <w:r w:rsidRPr="005B3E06">
        <w:rPr>
          <w:i/>
          <w:iCs/>
          <w:color w:val="0F00DA"/>
        </w:rPr>
        <w:t>g</w:t>
      </w:r>
      <w:r w:rsidRPr="005B3E06">
        <w:rPr>
          <w:color w:val="0F00DA"/>
        </w:rPr>
        <w:t>) and found mixed results</w:t>
      </w:r>
      <w:r>
        <w:rPr>
          <w:color w:val="0F00DA"/>
        </w:rPr>
        <w:t>. F</w:t>
      </w:r>
      <w:r w:rsidRPr="005B3E06">
        <w:rPr>
          <w:color w:val="0F00DA"/>
        </w:rPr>
        <w:t xml:space="preserve">or some indices of SPE, the correlation between reliability and effect size is significant (e.g., RT, ACC, </w:t>
      </w:r>
      <w:r w:rsidRPr="005B3E06">
        <w:rPr>
          <w:i/>
          <w:iCs/>
          <w:color w:val="0F00DA"/>
        </w:rPr>
        <w:t>d</w:t>
      </w:r>
      <w:r>
        <w:rPr>
          <w:i/>
          <w:iCs/>
          <w:color w:val="0F00DA"/>
        </w:rPr>
        <w:t>’</w:t>
      </w:r>
      <w:r w:rsidRPr="005B3E06">
        <w:rPr>
          <w:color w:val="0F00DA"/>
        </w:rPr>
        <w:t>, efficiency with stranger as baseline), but for others (e.g., indices with close others as baseline), the correlation was not significant (see Fig. S9). This pattern was consistent with the reliability paradox (Hedge et al., 2018; Logie et al., 1996), suggesting that robust experimental effects are not always associated with robust individual difference correlations.</w:t>
      </w:r>
    </w:p>
    <w:p w14:paraId="5DF3F898" w14:textId="77777777" w:rsidR="003735DA" w:rsidRDefault="003735DA" w:rsidP="003735DA"/>
    <w:p w14:paraId="7394CD96" w14:textId="05257541" w:rsidR="003735DA" w:rsidRPr="009773CE" w:rsidRDefault="000C7E1F" w:rsidP="003735DA">
      <w:pPr>
        <w:spacing w:beforeLines="100" w:before="240" w:after="240"/>
        <w:rPr>
          <w:rFonts w:eastAsiaTheme="minorEastAsia"/>
          <w:sz w:val="36"/>
          <w:szCs w:val="36"/>
          <w:lang w:val="en-US"/>
        </w:rPr>
      </w:pPr>
      <w:r>
        <w:rPr>
          <w:noProof/>
        </w:rPr>
        <w:lastRenderedPageBreak/>
        <w:drawing>
          <wp:inline distT="0" distB="0" distL="0" distR="0" wp14:anchorId="090FE774" wp14:editId="5784C68F">
            <wp:extent cx="5943600" cy="4754880"/>
            <wp:effectExtent l="0" t="0" r="0" b="7620"/>
            <wp:docPr id="1455139060" name="图片 6"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39060" name="图片 6" descr="图示&#10;&#10;中度可信度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2E9FE2B0" w14:textId="77777777" w:rsidR="003735DA" w:rsidRPr="002863D5" w:rsidRDefault="003735DA" w:rsidP="003735DA">
      <w:pPr>
        <w:pStyle w:val="Fig"/>
        <w:spacing w:after="240"/>
        <w:rPr>
          <w:rFonts w:eastAsiaTheme="minorEastAsia"/>
          <w:sz w:val="21"/>
          <w:szCs w:val="21"/>
        </w:rPr>
      </w:pPr>
      <w:r w:rsidRPr="000C7E1F">
        <w:rPr>
          <w:b/>
          <w:color w:val="080ABF"/>
          <w:highlight w:val="yellow"/>
        </w:rPr>
        <w:t>Fig. S9</w:t>
      </w:r>
      <w:r w:rsidRPr="007A1157">
        <w:rPr>
          <w:color w:val="080ABF"/>
          <w:sz w:val="21"/>
          <w:szCs w:val="21"/>
        </w:rPr>
        <w:t xml:space="preserve"> </w:t>
      </w:r>
      <w:r w:rsidRPr="00A01A15">
        <w:rPr>
          <w:b/>
        </w:rPr>
        <w:t>Regression Analysis Between Permutated SHR and Effect Size (Hedges’ g) Using Different SPE Measures.</w:t>
      </w:r>
      <w:r w:rsidRPr="009773CE">
        <w:rPr>
          <w:sz w:val="21"/>
          <w:szCs w:val="21"/>
        </w:rPr>
        <w:t xml:space="preserve"> </w:t>
      </w:r>
      <w:r w:rsidRPr="00A01A15">
        <w:rPr>
          <w:i/>
          <w:iCs/>
        </w:rPr>
        <w:t>Note</w:t>
      </w:r>
      <w:r w:rsidRPr="00A01A15">
        <w:t xml:space="preserve">: The vertical axis represents permutated split-half reliability, and the horizontal axis represents the effect size (Hedges’ </w:t>
      </w:r>
      <w:r w:rsidRPr="00A01A15">
        <w:rPr>
          <w:i/>
          <w:iCs/>
        </w:rPr>
        <w:t>g</w:t>
      </w:r>
      <w:r w:rsidRPr="00A01A15">
        <w:t>). Each facet represents one SPE measures</w:t>
      </w:r>
      <w:r w:rsidRPr="009773CE">
        <w:rPr>
          <w:sz w:val="21"/>
          <w:szCs w:val="21"/>
        </w:rPr>
        <w:t xml:space="preserve">. </w:t>
      </w:r>
    </w:p>
    <w:p w14:paraId="46C842B1" w14:textId="77777777" w:rsidR="003735DA" w:rsidRPr="007A3F65" w:rsidRDefault="003735DA" w:rsidP="003735DA">
      <w:pPr>
        <w:rPr>
          <w:rFonts w:eastAsiaTheme="minorEastAsia"/>
          <w:sz w:val="36"/>
          <w:szCs w:val="36"/>
        </w:rPr>
      </w:pPr>
      <w:r>
        <w:t>We</w:t>
      </w:r>
      <w:r w:rsidRPr="004E0C65">
        <w:t xml:space="preserve"> </w:t>
      </w:r>
      <w:r>
        <w:t xml:space="preserve">then </w:t>
      </w:r>
      <w:r w:rsidRPr="004E0C65">
        <w:t xml:space="preserve">calculated the correlation coefficient between trial numbers and effect size (Hedges’ g), as shown in Fig. </w:t>
      </w:r>
      <w:r w:rsidRPr="007A1157">
        <w:rPr>
          <w:color w:val="080ABF"/>
        </w:rPr>
        <w:t>S10</w:t>
      </w:r>
      <w:r w:rsidRPr="004E0C65">
        <w:t xml:space="preserve">. </w:t>
      </w:r>
      <w:r w:rsidRPr="0080389F">
        <w:rPr>
          <w:color w:val="0F00DA"/>
        </w:rPr>
        <w:t xml:space="preserve">No </w:t>
      </w:r>
      <w:r w:rsidRPr="004E0C65">
        <w:t xml:space="preserve">significant correlation was found. </w:t>
      </w:r>
    </w:p>
    <w:p w14:paraId="0BB36874" w14:textId="6FDF849B" w:rsidR="003735DA" w:rsidRPr="00D314D0" w:rsidRDefault="000C7E1F" w:rsidP="003735DA">
      <w:pPr>
        <w:spacing w:beforeLines="100" w:before="240" w:after="240"/>
        <w:rPr>
          <w:rFonts w:eastAsiaTheme="minorEastAsia"/>
          <w:b/>
          <w:bCs/>
          <w:lang w:val="en-US"/>
        </w:rPr>
      </w:pPr>
      <w:r>
        <w:rPr>
          <w:noProof/>
        </w:rPr>
        <w:lastRenderedPageBreak/>
        <w:drawing>
          <wp:inline distT="0" distB="0" distL="0" distR="0" wp14:anchorId="6CEF1CAD" wp14:editId="14C478B5">
            <wp:extent cx="5943600" cy="4754880"/>
            <wp:effectExtent l="0" t="0" r="0" b="7620"/>
            <wp:docPr id="101549509" name="图片 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9509" name="图片 7" descr="图表&#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7CBAF00C" w14:textId="77777777" w:rsidR="003735DA" w:rsidRPr="002863D5" w:rsidRDefault="003735DA" w:rsidP="003735DA">
      <w:pPr>
        <w:pStyle w:val="Fig"/>
        <w:spacing w:after="240"/>
        <w:rPr>
          <w:rFonts w:eastAsiaTheme="minorEastAsia"/>
          <w:sz w:val="21"/>
          <w:szCs w:val="21"/>
        </w:rPr>
      </w:pPr>
      <w:r w:rsidRPr="000C7E1F">
        <w:rPr>
          <w:b/>
          <w:color w:val="080ABF"/>
          <w:highlight w:val="yellow"/>
        </w:rPr>
        <w:t>Fig. S10</w:t>
      </w:r>
      <w:r w:rsidRPr="007A1157">
        <w:rPr>
          <w:b/>
          <w:color w:val="080ABF"/>
          <w:sz w:val="21"/>
          <w:szCs w:val="21"/>
        </w:rPr>
        <w:t xml:space="preserve"> </w:t>
      </w:r>
      <w:r w:rsidRPr="00A01A15">
        <w:rPr>
          <w:b/>
        </w:rPr>
        <w:t>Regression Analysis Between Trial Numbers and Effect Size (Hedges’ g) Using Different SPE Measures.</w:t>
      </w:r>
      <w:r w:rsidRPr="00A01A15">
        <w:rPr>
          <w:b/>
          <w:sz w:val="21"/>
          <w:szCs w:val="21"/>
        </w:rPr>
        <w:t xml:space="preserve"> </w:t>
      </w:r>
      <w:r w:rsidRPr="00A01A15">
        <w:t>Note: The vertical axis represents the effect size (Hedges’ g), and the horizontal axis represents trial numbers. Each facet represents one SPE measures.</w:t>
      </w:r>
      <w:r w:rsidRPr="009773CE">
        <w:rPr>
          <w:sz w:val="21"/>
          <w:szCs w:val="21"/>
        </w:rPr>
        <w:t xml:space="preserve"> </w:t>
      </w:r>
    </w:p>
    <w:p w14:paraId="2A97E842" w14:textId="77777777" w:rsidR="003735DA" w:rsidRPr="007A1157" w:rsidRDefault="003735DA" w:rsidP="003735DA">
      <w:pPr>
        <w:rPr>
          <w:color w:val="080ABF"/>
        </w:rPr>
      </w:pPr>
      <w:r w:rsidRPr="007A1157">
        <w:rPr>
          <w:color w:val="080ABF"/>
        </w:rPr>
        <w:t>Finally, we used Spearman-Brown prediction formula to predict the trial numbers required for different levels of reliability. The results indicated that number of trials required for archive sufficient reliability (e.g., 0.8) varied across different SPE indices. For SPE measured by RT, approximately 180 trials are required to achieve a reliability of 0.8. For other SPE indices, more trials are required (see Fig. S11).</w:t>
      </w:r>
    </w:p>
    <w:p w14:paraId="20B5F509" w14:textId="328BF7EC" w:rsidR="003735DA" w:rsidRDefault="000C7E1F" w:rsidP="003735DA">
      <w:pPr>
        <w:rPr>
          <w:rFonts w:eastAsiaTheme="minorEastAsia"/>
        </w:rPr>
      </w:pPr>
      <w:r>
        <w:rPr>
          <w:noProof/>
        </w:rPr>
        <w:lastRenderedPageBreak/>
        <w:drawing>
          <wp:inline distT="0" distB="0" distL="0" distR="0" wp14:anchorId="3EB2E3D0" wp14:editId="23CB4A2D">
            <wp:extent cx="5943600" cy="4754880"/>
            <wp:effectExtent l="0" t="0" r="0" b="7620"/>
            <wp:docPr id="641154467" name="图片 8"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54467" name="图片 8" descr="图片包含 图示&#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7F861190" w14:textId="77777777" w:rsidR="003735DA" w:rsidRPr="007A1157" w:rsidRDefault="003735DA" w:rsidP="003735DA">
      <w:pPr>
        <w:rPr>
          <w:rFonts w:eastAsiaTheme="minorEastAsia"/>
          <w:color w:val="080ABF"/>
        </w:rPr>
      </w:pPr>
      <w:r w:rsidRPr="000C7E1F">
        <w:rPr>
          <w:rFonts w:eastAsiaTheme="minorEastAsia"/>
          <w:b/>
          <w:bCs/>
          <w:color w:val="080ABF"/>
          <w:highlight w:val="yellow"/>
        </w:rPr>
        <w:t>Fig. S</w:t>
      </w:r>
      <w:r w:rsidRPr="000C7E1F">
        <w:rPr>
          <w:rFonts w:eastAsiaTheme="minorEastAsia" w:hint="eastAsia"/>
          <w:b/>
          <w:bCs/>
          <w:color w:val="080ABF"/>
          <w:highlight w:val="yellow"/>
        </w:rPr>
        <w:t>1</w:t>
      </w:r>
      <w:r w:rsidRPr="000C7E1F">
        <w:rPr>
          <w:rFonts w:eastAsiaTheme="minorEastAsia"/>
          <w:b/>
          <w:bCs/>
          <w:color w:val="080ABF"/>
          <w:highlight w:val="yellow"/>
        </w:rPr>
        <w:t>1</w:t>
      </w:r>
      <w:r w:rsidRPr="007A1157">
        <w:rPr>
          <w:rFonts w:eastAsiaTheme="minorEastAsia"/>
          <w:b/>
          <w:bCs/>
          <w:color w:val="080ABF"/>
        </w:rPr>
        <w:t xml:space="preserve"> </w:t>
      </w:r>
      <w:r w:rsidRPr="007A1157">
        <w:rPr>
          <w:rFonts w:eastAsiaTheme="minorEastAsia" w:hint="eastAsia"/>
          <w:b/>
          <w:bCs/>
          <w:color w:val="080ABF"/>
        </w:rPr>
        <w:t>Expected Trial Numbers</w:t>
      </w:r>
      <w:r w:rsidRPr="007A1157">
        <w:rPr>
          <w:rFonts w:eastAsiaTheme="minorEastAsia"/>
          <w:b/>
          <w:bCs/>
          <w:color w:val="080ABF"/>
        </w:rPr>
        <w:t xml:space="preserve"> Using Different SPE Measures. </w:t>
      </w:r>
      <w:r w:rsidRPr="007A1157">
        <w:rPr>
          <w:rFonts w:eastAsiaTheme="minorEastAsia"/>
          <w:i/>
          <w:iCs/>
          <w:color w:val="080ABF"/>
        </w:rPr>
        <w:t>Note</w:t>
      </w:r>
      <w:r w:rsidRPr="007A1157">
        <w:rPr>
          <w:rFonts w:eastAsiaTheme="minorEastAsia"/>
          <w:color w:val="080ABF"/>
        </w:rPr>
        <w:t xml:space="preserve">: The vertical axis represents the </w:t>
      </w:r>
      <w:r w:rsidRPr="007A1157">
        <w:rPr>
          <w:rFonts w:eastAsiaTheme="minorEastAsia" w:hint="eastAsia"/>
          <w:color w:val="080ABF"/>
        </w:rPr>
        <w:t>expected trial numbers calculated based on spearman-brown function</w:t>
      </w:r>
      <w:r w:rsidRPr="007A1157">
        <w:rPr>
          <w:rFonts w:eastAsiaTheme="minorEastAsia"/>
          <w:color w:val="080ABF"/>
        </w:rPr>
        <w:t xml:space="preserve">, and the horizontal axis represents </w:t>
      </w:r>
      <w:r w:rsidRPr="007A1157">
        <w:rPr>
          <w:rFonts w:eastAsiaTheme="minorEastAsia" w:hint="eastAsia"/>
          <w:color w:val="080ABF"/>
        </w:rPr>
        <w:t>the expected split-half reliability</w:t>
      </w:r>
      <w:r w:rsidRPr="007A1157">
        <w:rPr>
          <w:rFonts w:eastAsiaTheme="minorEastAsia"/>
          <w:color w:val="080ABF"/>
        </w:rPr>
        <w:t xml:space="preserve">. Each facet represents one SPE measures. For SPE measured by </w:t>
      </w:r>
      <w:r w:rsidRPr="007A1157">
        <w:rPr>
          <w:rFonts w:eastAsiaTheme="minorEastAsia"/>
          <w:i/>
          <w:iCs/>
          <w:color w:val="080ABF"/>
        </w:rPr>
        <w:t>z</w:t>
      </w:r>
      <w:r w:rsidRPr="007A1157">
        <w:rPr>
          <w:rFonts w:eastAsiaTheme="minorEastAsia"/>
          <w:color w:val="080ABF"/>
        </w:rPr>
        <w:t xml:space="preserve">, </w:t>
      </w:r>
      <w:r w:rsidRPr="007A1157">
        <w:rPr>
          <w:rFonts w:eastAsiaTheme="minorEastAsia" w:hint="eastAsia"/>
          <w:color w:val="080ABF"/>
        </w:rPr>
        <w:t>d</w:t>
      </w:r>
      <w:r w:rsidRPr="007A1157">
        <w:rPr>
          <w:rFonts w:eastAsiaTheme="minorEastAsia"/>
          <w:color w:val="080ABF"/>
        </w:rPr>
        <w:t xml:space="preserve">ue to the confidence interval of the </w:t>
      </w:r>
      <w:r w:rsidRPr="007A1157">
        <w:rPr>
          <w:rFonts w:eastAsiaTheme="minorEastAsia" w:hint="eastAsia"/>
          <w:color w:val="080ABF"/>
        </w:rPr>
        <w:t>split-half reliability</w:t>
      </w:r>
      <w:r w:rsidRPr="007A1157">
        <w:rPr>
          <w:rFonts w:eastAsiaTheme="minorEastAsia"/>
          <w:color w:val="080ABF"/>
        </w:rPr>
        <w:t xml:space="preserve"> being below 0, it is not possible to use Spearman-Brown formula. </w:t>
      </w:r>
      <w:r w:rsidRPr="007A1157">
        <w:rPr>
          <w:rFonts w:eastAsiaTheme="minorEastAsia" w:hint="eastAsia"/>
          <w:color w:val="080ABF"/>
        </w:rPr>
        <w:t>Thu</w:t>
      </w:r>
      <w:r w:rsidRPr="007A1157">
        <w:rPr>
          <w:rFonts w:eastAsiaTheme="minorEastAsia"/>
          <w:color w:val="080ABF"/>
          <w:lang w:val="en-US"/>
        </w:rPr>
        <w:t xml:space="preserve">s, </w:t>
      </w:r>
      <w:r w:rsidRPr="007A1157">
        <w:rPr>
          <w:rFonts w:eastAsiaTheme="minorEastAsia"/>
          <w:color w:val="080ABF"/>
        </w:rPr>
        <w:t xml:space="preserve">only the weighted average </w:t>
      </w:r>
      <w:r w:rsidRPr="007A1157">
        <w:rPr>
          <w:rFonts w:eastAsiaTheme="minorEastAsia" w:hint="eastAsia"/>
          <w:color w:val="080ABF"/>
        </w:rPr>
        <w:t>split-half reliability</w:t>
      </w:r>
      <w:r w:rsidRPr="007A1157">
        <w:rPr>
          <w:rFonts w:eastAsiaTheme="minorEastAsia"/>
          <w:color w:val="080ABF"/>
        </w:rPr>
        <w:t xml:space="preserve"> of </w:t>
      </w:r>
      <w:r w:rsidRPr="007A1157">
        <w:rPr>
          <w:rFonts w:eastAsiaTheme="minorEastAsia"/>
          <w:i/>
          <w:iCs/>
          <w:color w:val="080ABF"/>
        </w:rPr>
        <w:t>z</w:t>
      </w:r>
      <w:r w:rsidRPr="007A1157">
        <w:rPr>
          <w:rFonts w:eastAsiaTheme="minorEastAsia"/>
          <w:color w:val="080ABF"/>
        </w:rPr>
        <w:t xml:space="preserve"> was used.</w:t>
      </w:r>
    </w:p>
    <w:p w14:paraId="555CC376" w14:textId="77777777" w:rsidR="003735DA" w:rsidRPr="007A1157" w:rsidRDefault="003735DA" w:rsidP="003735DA">
      <w:pPr>
        <w:pStyle w:val="NormalWeb"/>
        <w:spacing w:after="480"/>
        <w:rPr>
          <w:rFonts w:eastAsiaTheme="minorEastAsia"/>
          <w:color w:val="080ABF"/>
        </w:rPr>
      </w:pPr>
      <w:r w:rsidRPr="007A1157">
        <w:rPr>
          <w:rFonts w:eastAsiaTheme="minorEastAsia"/>
          <w:color w:val="080ABF"/>
        </w:rPr>
        <w:t xml:space="preserve">It’s important to emphasize that the exploratory analysis was not part of the pre-registered plan, and our primary aim was not to provide a well-validated improvement for the SMT. Further validation and verification of this relationship would be essential and will require new data collection efforts in future research. Nevertheless, </w:t>
      </w:r>
      <w:proofErr w:type="gramStart"/>
      <w:r w:rsidRPr="007A1157">
        <w:rPr>
          <w:rFonts w:eastAsiaTheme="minorEastAsia"/>
          <w:color w:val="080ABF"/>
        </w:rPr>
        <w:t>taking into account</w:t>
      </w:r>
      <w:proofErr w:type="gramEnd"/>
      <w:r w:rsidRPr="007A1157">
        <w:rPr>
          <w:rFonts w:eastAsiaTheme="minorEastAsia"/>
          <w:color w:val="080ABF"/>
        </w:rPr>
        <w:t xml:space="preserve"> the noteworthy correlation observed between the number of trials and permutated split-half reliability, our results indicated that when employing the SMT paradigm for individual differences, achieving higher reliability would likely require an increase in the number of conducted trials. </w:t>
      </w:r>
    </w:p>
    <w:p w14:paraId="62C37356" w14:textId="77777777" w:rsidR="003735DA" w:rsidRPr="00800518" w:rsidRDefault="003735DA" w:rsidP="003735DA">
      <w:pPr>
        <w:pStyle w:val="Heading1"/>
        <w:spacing w:before="480" w:after="480"/>
        <w:rPr>
          <w:lang w:val="en-US"/>
        </w:rPr>
      </w:pPr>
      <w:r w:rsidRPr="00624D4E">
        <w:lastRenderedPageBreak/>
        <w:t xml:space="preserve">References </w:t>
      </w:r>
    </w:p>
    <w:p w14:paraId="7F2C928A" w14:textId="77777777" w:rsidR="003735DA" w:rsidRPr="002E4081" w:rsidRDefault="003735DA" w:rsidP="003735DA">
      <w:pPr>
        <w:pStyle w:val="NormalWeb"/>
        <w:spacing w:after="240"/>
        <w:ind w:left="720" w:hanging="720"/>
        <w:rPr>
          <w:sz w:val="36"/>
          <w:szCs w:val="36"/>
        </w:rPr>
      </w:pPr>
      <w:r w:rsidRPr="002E4081">
        <w:t xml:space="preserve">Hedge, C., Powell, G., &amp; Sumner, P. (2018). The reliability paradox: Why robust cognitive tasks do not produce reliable individual differences. </w:t>
      </w:r>
      <w:proofErr w:type="spellStart"/>
      <w:r w:rsidRPr="00FD33EE">
        <w:rPr>
          <w:i/>
          <w:iCs/>
        </w:rPr>
        <w:t>Behavior</w:t>
      </w:r>
      <w:proofErr w:type="spellEnd"/>
      <w:r w:rsidRPr="00FD33EE">
        <w:rPr>
          <w:i/>
          <w:iCs/>
        </w:rPr>
        <w:t xml:space="preserve"> Research Methods</w:t>
      </w:r>
      <w:r w:rsidRPr="002E4081">
        <w:t xml:space="preserve">, </w:t>
      </w:r>
      <w:r w:rsidRPr="00FD33EE">
        <w:rPr>
          <w:i/>
          <w:iCs/>
        </w:rPr>
        <w:t>50</w:t>
      </w:r>
      <w:r w:rsidRPr="002E4081">
        <w:t xml:space="preserve">, 1166–1186. </w:t>
      </w:r>
      <w:r w:rsidRPr="002E4081">
        <w:rPr>
          <w:color w:val="0000FF"/>
        </w:rPr>
        <w:t xml:space="preserve">https://doi.org/10.3758/s13428-017-0935-1 </w:t>
      </w:r>
    </w:p>
    <w:p w14:paraId="6BFEB257" w14:textId="77777777" w:rsidR="003735DA" w:rsidRPr="002E4081" w:rsidRDefault="003735DA" w:rsidP="003735DA">
      <w:pPr>
        <w:pStyle w:val="NormalWeb"/>
        <w:spacing w:after="240"/>
        <w:ind w:left="720" w:hanging="720"/>
        <w:rPr>
          <w:sz w:val="36"/>
          <w:szCs w:val="36"/>
        </w:rPr>
      </w:pPr>
      <w:r w:rsidRPr="002E4081">
        <w:t>Hu, C.-P., Peng, K., &amp; Sui, J. (2023). Data for training effect of self-prioritization[ds/</w:t>
      </w:r>
      <w:proofErr w:type="spellStart"/>
      <w:r w:rsidRPr="002E4081">
        <w:t>ol</w:t>
      </w:r>
      <w:proofErr w:type="spellEnd"/>
      <w:r w:rsidRPr="002E4081">
        <w:t xml:space="preserve">]. v2. </w:t>
      </w:r>
      <w:r w:rsidRPr="00FD33EE">
        <w:rPr>
          <w:i/>
          <w:iCs/>
        </w:rPr>
        <w:t>Science Data Bank</w:t>
      </w:r>
      <w:r w:rsidRPr="002E4081">
        <w:t xml:space="preserve">. </w:t>
      </w:r>
      <w:r w:rsidRPr="002E4081">
        <w:rPr>
          <w:color w:val="0000FF"/>
        </w:rPr>
        <w:t xml:space="preserve">https://doi.org/10.57760/sciencedb. 08117 </w:t>
      </w:r>
    </w:p>
    <w:p w14:paraId="250C9756" w14:textId="77777777" w:rsidR="003735DA" w:rsidRPr="002E4081" w:rsidRDefault="003735DA" w:rsidP="003735DA">
      <w:pPr>
        <w:pStyle w:val="NormalWeb"/>
        <w:spacing w:after="240"/>
        <w:ind w:left="720" w:hanging="720"/>
        <w:rPr>
          <w:color w:val="0000FF"/>
        </w:rPr>
      </w:pPr>
      <w:r w:rsidRPr="002E4081">
        <w:t xml:space="preserve">Lin, H. (2019). How to use hausekeep. </w:t>
      </w:r>
      <w:r w:rsidRPr="002E4081">
        <w:rPr>
          <w:color w:val="0000FF"/>
        </w:rPr>
        <w:t xml:space="preserve">https://doi.org/10.5281/zenodo.2555874 </w:t>
      </w:r>
    </w:p>
    <w:p w14:paraId="6F168F16" w14:textId="77777777" w:rsidR="003735DA" w:rsidRPr="002E4081" w:rsidRDefault="003735DA" w:rsidP="003735DA">
      <w:pPr>
        <w:pStyle w:val="NormalWeb"/>
        <w:spacing w:after="240"/>
        <w:ind w:left="720" w:hanging="720"/>
      </w:pPr>
      <w:r w:rsidRPr="002E4081">
        <w:t xml:space="preserve">Logie, R. H., Sala, S. D., Laiacona, M., Chalmers, P., &amp; Wynn, V. (1996). Group aggregates and individual reliability: The case of verbal short-term memory. </w:t>
      </w:r>
      <w:r w:rsidRPr="00FD33EE">
        <w:rPr>
          <w:i/>
          <w:iCs/>
        </w:rPr>
        <w:t>Memory &amp; Cognition</w:t>
      </w:r>
      <w:r w:rsidRPr="002E4081">
        <w:t xml:space="preserve">, </w:t>
      </w:r>
      <w:r w:rsidRPr="00FD33EE">
        <w:rPr>
          <w:i/>
          <w:iCs/>
        </w:rPr>
        <w:t>24</w:t>
      </w:r>
      <w:r w:rsidRPr="002E4081">
        <w:t xml:space="preserve">, 305–321. </w:t>
      </w:r>
      <w:r w:rsidRPr="002E4081">
        <w:rPr>
          <w:color w:val="0000FF"/>
        </w:rPr>
        <w:t>https://doi.org/10.3758/BF03213295</w:t>
      </w:r>
    </w:p>
    <w:p w14:paraId="4F7C3ED2" w14:textId="77777777" w:rsidR="003735DA" w:rsidRPr="002E4081" w:rsidRDefault="003735DA" w:rsidP="003735DA">
      <w:pPr>
        <w:pStyle w:val="NormalWeb"/>
        <w:spacing w:after="240"/>
        <w:ind w:left="720" w:hanging="720"/>
        <w:rPr>
          <w:sz w:val="36"/>
          <w:szCs w:val="36"/>
        </w:rPr>
      </w:pPr>
      <w:r w:rsidRPr="002E4081">
        <w:t>Sui, J., He, X., &amp; Humphreys, G. W. (2012). Perceptual effects of social salience: Evidence from self-prioritization effects on perceptual matching.</w:t>
      </w:r>
      <w:r w:rsidRPr="00FD33EE">
        <w:rPr>
          <w:i/>
          <w:iCs/>
        </w:rPr>
        <w:t xml:space="preserve"> Journal of Experimental Psychology: Human Perception and Performance</w:t>
      </w:r>
      <w:r w:rsidRPr="002E4081">
        <w:t xml:space="preserve">, </w:t>
      </w:r>
      <w:r w:rsidRPr="00FD33EE">
        <w:rPr>
          <w:i/>
          <w:iCs/>
        </w:rPr>
        <w:t>38</w:t>
      </w:r>
      <w:r w:rsidRPr="002E4081">
        <w:t xml:space="preserve">(5), 1105– 1117. </w:t>
      </w:r>
      <w:r w:rsidRPr="002E4081">
        <w:rPr>
          <w:color w:val="0000FF"/>
        </w:rPr>
        <w:t xml:space="preserve">https://doi.org/10.1037/a0029792 </w:t>
      </w:r>
    </w:p>
    <w:p w14:paraId="6C82D3A1" w14:textId="77777777" w:rsidR="003735DA" w:rsidRPr="002E4081" w:rsidRDefault="003735DA" w:rsidP="003735DA">
      <w:pPr>
        <w:pStyle w:val="NormalWeb"/>
        <w:spacing w:after="240"/>
        <w:ind w:left="720" w:hanging="720"/>
        <w:rPr>
          <w:sz w:val="36"/>
          <w:szCs w:val="36"/>
        </w:rPr>
      </w:pPr>
      <w:proofErr w:type="spellStart"/>
      <w:r w:rsidRPr="002E4081">
        <w:t>Viechtbauer</w:t>
      </w:r>
      <w:proofErr w:type="spellEnd"/>
      <w:r w:rsidRPr="002E4081">
        <w:t xml:space="preserve">, W. (2010). Conducting meta-analyses in r with the metafor package. </w:t>
      </w:r>
      <w:r w:rsidRPr="00FD33EE">
        <w:rPr>
          <w:i/>
          <w:iCs/>
        </w:rPr>
        <w:t>Journal of Statistical Software</w:t>
      </w:r>
      <w:r w:rsidRPr="002E4081">
        <w:t xml:space="preserve">, </w:t>
      </w:r>
      <w:r w:rsidRPr="00FD33EE">
        <w:rPr>
          <w:i/>
          <w:iCs/>
        </w:rPr>
        <w:t>36</w:t>
      </w:r>
      <w:r w:rsidRPr="002E4081">
        <w:t xml:space="preserve">, 1–48. </w:t>
      </w:r>
      <w:r w:rsidRPr="002E4081">
        <w:rPr>
          <w:color w:val="0000FF"/>
        </w:rPr>
        <w:t xml:space="preserve">https://doi.org/10.18637/jss.v036. i03 </w:t>
      </w:r>
    </w:p>
    <w:p w14:paraId="71FDC36B" w14:textId="77777777" w:rsidR="003735DA" w:rsidRPr="002E4081" w:rsidRDefault="003735DA" w:rsidP="003735DA">
      <w:pPr>
        <w:pStyle w:val="NormalWeb"/>
        <w:spacing w:after="240"/>
        <w:ind w:left="720" w:hanging="720"/>
        <w:rPr>
          <w:sz w:val="36"/>
          <w:szCs w:val="36"/>
        </w:rPr>
      </w:pPr>
      <w:r w:rsidRPr="002E4081">
        <w:t xml:space="preserve">Voss, A., &amp; Voss, J. (2007). Fast-dm: A free program for efficient diffusion model analysis. </w:t>
      </w:r>
      <w:proofErr w:type="spellStart"/>
      <w:r w:rsidRPr="00FD33EE">
        <w:rPr>
          <w:i/>
          <w:iCs/>
        </w:rPr>
        <w:t>Behavior</w:t>
      </w:r>
      <w:proofErr w:type="spellEnd"/>
      <w:r w:rsidRPr="00FD33EE">
        <w:rPr>
          <w:i/>
          <w:iCs/>
        </w:rPr>
        <w:t xml:space="preserve"> Research Methods</w:t>
      </w:r>
      <w:r w:rsidRPr="002E4081">
        <w:t xml:space="preserve">, </w:t>
      </w:r>
      <w:r w:rsidRPr="00FD33EE">
        <w:rPr>
          <w:i/>
          <w:iCs/>
        </w:rPr>
        <w:t>39</w:t>
      </w:r>
      <w:r w:rsidRPr="002E4081">
        <w:t xml:space="preserve">(4), 767–775. </w:t>
      </w:r>
      <w:r w:rsidRPr="002E4081">
        <w:rPr>
          <w:color w:val="0000FF"/>
        </w:rPr>
        <w:t xml:space="preserve">https://doi.org//10. 3758/BF03192967 </w:t>
      </w:r>
    </w:p>
    <w:p w14:paraId="2F3ECA7F" w14:textId="77777777" w:rsidR="003735DA" w:rsidRPr="00FD33EE" w:rsidRDefault="003735DA" w:rsidP="003735DA">
      <w:pPr>
        <w:pStyle w:val="NormalWeb"/>
        <w:spacing w:after="240"/>
        <w:ind w:left="720" w:hanging="720"/>
        <w:rPr>
          <w:i/>
          <w:iCs/>
          <w:sz w:val="36"/>
          <w:szCs w:val="36"/>
        </w:rPr>
      </w:pPr>
      <w:r w:rsidRPr="002E4081">
        <w:t xml:space="preserve">Wang, Z., Yuan, C.-M., Huang, J., Li, Z.-Z., Chen, J., Zhang, H.-Y., Fang, Y.-R., &amp; Xiao, Z.-P. (2011). Reliability and validity of the </w:t>
      </w:r>
      <w:proofErr w:type="spellStart"/>
      <w:r w:rsidRPr="002E4081">
        <w:t>chinese</w:t>
      </w:r>
      <w:proofErr w:type="spellEnd"/>
      <w:r w:rsidRPr="002E4081">
        <w:t xml:space="preserve"> version of beck depression inventory-ii among depression patients. </w:t>
      </w:r>
      <w:r w:rsidRPr="00FD33EE">
        <w:rPr>
          <w:i/>
          <w:iCs/>
        </w:rPr>
        <w:t xml:space="preserve">Chinese Mental Health Journal. </w:t>
      </w:r>
    </w:p>
    <w:p w14:paraId="16EB2FE6" w14:textId="77777777" w:rsidR="003735DA" w:rsidRPr="007A3F65" w:rsidRDefault="003735DA" w:rsidP="003735DA">
      <w:pPr>
        <w:pStyle w:val="NormalWeb"/>
        <w:spacing w:after="240"/>
        <w:ind w:left="720" w:hanging="720"/>
        <w:rPr>
          <w:rFonts w:eastAsiaTheme="minorEastAsia"/>
          <w:sz w:val="36"/>
          <w:szCs w:val="36"/>
        </w:rPr>
      </w:pPr>
      <w:r w:rsidRPr="002E4081">
        <w:t xml:space="preserve">Wiecki, T. V., Sofer, I., &amp; Frank, M. J. (2013). </w:t>
      </w:r>
      <w:proofErr w:type="spellStart"/>
      <w:r w:rsidRPr="002E4081">
        <w:t>Hddm</w:t>
      </w:r>
      <w:proofErr w:type="spellEnd"/>
      <w:r w:rsidRPr="002E4081">
        <w:t xml:space="preserve">: Hierarchical </w:t>
      </w:r>
      <w:proofErr w:type="spellStart"/>
      <w:r w:rsidRPr="002E4081">
        <w:t>bayesian</w:t>
      </w:r>
      <w:proofErr w:type="spellEnd"/>
      <w:r w:rsidRPr="002E4081">
        <w:t xml:space="preserve"> estimation of the drift-diffusion model in python. </w:t>
      </w:r>
      <w:r w:rsidRPr="00FD33EE">
        <w:rPr>
          <w:i/>
          <w:iCs/>
        </w:rPr>
        <w:t xml:space="preserve">Frontiers in </w:t>
      </w:r>
      <w:proofErr w:type="spellStart"/>
      <w:r w:rsidRPr="00FD33EE">
        <w:rPr>
          <w:i/>
          <w:iCs/>
        </w:rPr>
        <w:t>Neuroinformatics</w:t>
      </w:r>
      <w:proofErr w:type="spellEnd"/>
      <w:r w:rsidRPr="002E4081">
        <w:t xml:space="preserve">, </w:t>
      </w:r>
      <w:r w:rsidRPr="00FD33EE">
        <w:rPr>
          <w:i/>
          <w:iCs/>
        </w:rPr>
        <w:t>7</w:t>
      </w:r>
      <w:r w:rsidRPr="002E4081">
        <w:t xml:space="preserve">, 14– 14. </w:t>
      </w:r>
      <w:r w:rsidRPr="002E4081">
        <w:rPr>
          <w:color w:val="0000FF"/>
        </w:rPr>
        <w:t xml:space="preserve">https://doi.org/10.3389/fninf.2013.00014 </w:t>
      </w:r>
    </w:p>
    <w:p w14:paraId="235CC537" w14:textId="77777777" w:rsidR="008F3A25" w:rsidRDefault="008F3A25"/>
    <w:sectPr w:rsidR="008F3A25" w:rsidSect="00A77388">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C7E2F" w14:textId="77777777" w:rsidR="00666D47" w:rsidRDefault="00666D47" w:rsidP="003735DA">
      <w:r>
        <w:separator/>
      </w:r>
    </w:p>
  </w:endnote>
  <w:endnote w:type="continuationSeparator" w:id="0">
    <w:p w14:paraId="3E7B2B59" w14:textId="77777777" w:rsidR="00666D47" w:rsidRDefault="00666D47" w:rsidP="00373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7A4B8" w14:textId="77777777" w:rsidR="00666D47" w:rsidRDefault="00666D47" w:rsidP="003735DA">
      <w:r>
        <w:separator/>
      </w:r>
    </w:p>
  </w:footnote>
  <w:footnote w:type="continuationSeparator" w:id="0">
    <w:p w14:paraId="05AC4FD6" w14:textId="77777777" w:rsidR="00666D47" w:rsidRDefault="00666D47" w:rsidP="00373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6029441"/>
      <w:docPartObj>
        <w:docPartGallery w:val="Page Numbers (Top of Page)"/>
        <w:docPartUnique/>
      </w:docPartObj>
    </w:sdtPr>
    <w:sdtContent>
      <w:p w14:paraId="6F21A8A2" w14:textId="720EA40A" w:rsidR="003735DA" w:rsidRDefault="003735DA" w:rsidP="003312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BA6E2E" w14:textId="77777777" w:rsidR="003735DA" w:rsidRDefault="003735DA" w:rsidP="003735D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6123622"/>
      <w:docPartObj>
        <w:docPartGallery w:val="Page Numbers (Top of Page)"/>
        <w:docPartUnique/>
      </w:docPartObj>
    </w:sdtPr>
    <w:sdtContent>
      <w:p w14:paraId="6D8283C0" w14:textId="3BFB6200" w:rsidR="003735DA" w:rsidRDefault="003735DA" w:rsidP="003312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86172EC" w14:textId="77777777" w:rsidR="003735DA" w:rsidRDefault="003735DA" w:rsidP="003735DA">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0226370"/>
      <w:docPartObj>
        <w:docPartGallery w:val="Page Numbers (Top of Page)"/>
        <w:docPartUnique/>
      </w:docPartObj>
    </w:sdtPr>
    <w:sdtContent>
      <w:p w14:paraId="417914D9" w14:textId="4A82EAE4" w:rsidR="003735DA" w:rsidRDefault="003735DA" w:rsidP="003312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E5C65D" w14:textId="77777777" w:rsidR="003735DA" w:rsidRDefault="003735DA" w:rsidP="003735DA">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5DA"/>
    <w:rsid w:val="0002110E"/>
    <w:rsid w:val="00021676"/>
    <w:rsid w:val="000218BE"/>
    <w:rsid w:val="000559CB"/>
    <w:rsid w:val="0006329B"/>
    <w:rsid w:val="00073FBD"/>
    <w:rsid w:val="00091F19"/>
    <w:rsid w:val="0009491A"/>
    <w:rsid w:val="000B72DF"/>
    <w:rsid w:val="000C7E1F"/>
    <w:rsid w:val="000F5035"/>
    <w:rsid w:val="00151B53"/>
    <w:rsid w:val="00174CA7"/>
    <w:rsid w:val="00187724"/>
    <w:rsid w:val="001A0189"/>
    <w:rsid w:val="001C630E"/>
    <w:rsid w:val="001F3C73"/>
    <w:rsid w:val="00211437"/>
    <w:rsid w:val="002117C0"/>
    <w:rsid w:val="002327C2"/>
    <w:rsid w:val="00235A6C"/>
    <w:rsid w:val="002469DB"/>
    <w:rsid w:val="002A4DC0"/>
    <w:rsid w:val="002B5E1C"/>
    <w:rsid w:val="002C4735"/>
    <w:rsid w:val="002C6350"/>
    <w:rsid w:val="002E04CC"/>
    <w:rsid w:val="002F7719"/>
    <w:rsid w:val="0032173C"/>
    <w:rsid w:val="00330F14"/>
    <w:rsid w:val="00340ADE"/>
    <w:rsid w:val="0036271D"/>
    <w:rsid w:val="003735DA"/>
    <w:rsid w:val="003748C5"/>
    <w:rsid w:val="003842DF"/>
    <w:rsid w:val="003B25CC"/>
    <w:rsid w:val="003C30A1"/>
    <w:rsid w:val="003E1913"/>
    <w:rsid w:val="00433AA0"/>
    <w:rsid w:val="00447444"/>
    <w:rsid w:val="00481C44"/>
    <w:rsid w:val="00483052"/>
    <w:rsid w:val="004918FD"/>
    <w:rsid w:val="004A0DFF"/>
    <w:rsid w:val="004E5A3D"/>
    <w:rsid w:val="004F2181"/>
    <w:rsid w:val="004F692E"/>
    <w:rsid w:val="00524465"/>
    <w:rsid w:val="0053296F"/>
    <w:rsid w:val="005379D1"/>
    <w:rsid w:val="0054155F"/>
    <w:rsid w:val="00543222"/>
    <w:rsid w:val="00565B43"/>
    <w:rsid w:val="00574CCE"/>
    <w:rsid w:val="00574E64"/>
    <w:rsid w:val="0059090D"/>
    <w:rsid w:val="00592C8C"/>
    <w:rsid w:val="005A25CD"/>
    <w:rsid w:val="005E6D4F"/>
    <w:rsid w:val="005F63E1"/>
    <w:rsid w:val="005F78B8"/>
    <w:rsid w:val="006007A8"/>
    <w:rsid w:val="00613E9E"/>
    <w:rsid w:val="0061746F"/>
    <w:rsid w:val="0062136D"/>
    <w:rsid w:val="00627F2F"/>
    <w:rsid w:val="00650CFF"/>
    <w:rsid w:val="00666D47"/>
    <w:rsid w:val="00684193"/>
    <w:rsid w:val="006B4AF0"/>
    <w:rsid w:val="006C4317"/>
    <w:rsid w:val="006F09BD"/>
    <w:rsid w:val="00713BE0"/>
    <w:rsid w:val="00776616"/>
    <w:rsid w:val="00783DA2"/>
    <w:rsid w:val="0081429A"/>
    <w:rsid w:val="008471D1"/>
    <w:rsid w:val="008542E0"/>
    <w:rsid w:val="00861767"/>
    <w:rsid w:val="00895D54"/>
    <w:rsid w:val="008B671B"/>
    <w:rsid w:val="008C2BB0"/>
    <w:rsid w:val="008D1AA8"/>
    <w:rsid w:val="008E146A"/>
    <w:rsid w:val="008F3A25"/>
    <w:rsid w:val="00920CA8"/>
    <w:rsid w:val="00926C4A"/>
    <w:rsid w:val="009948BD"/>
    <w:rsid w:val="009C665B"/>
    <w:rsid w:val="009E1B5B"/>
    <w:rsid w:val="00A26ED7"/>
    <w:rsid w:val="00A37C42"/>
    <w:rsid w:val="00A535CA"/>
    <w:rsid w:val="00AF112F"/>
    <w:rsid w:val="00AF2715"/>
    <w:rsid w:val="00B01B5F"/>
    <w:rsid w:val="00B33468"/>
    <w:rsid w:val="00BA1CCE"/>
    <w:rsid w:val="00BA4518"/>
    <w:rsid w:val="00BB1267"/>
    <w:rsid w:val="00BC4605"/>
    <w:rsid w:val="00BC5C82"/>
    <w:rsid w:val="00C016D6"/>
    <w:rsid w:val="00C158F5"/>
    <w:rsid w:val="00C23823"/>
    <w:rsid w:val="00C36AD7"/>
    <w:rsid w:val="00C64B3A"/>
    <w:rsid w:val="00C674B7"/>
    <w:rsid w:val="00C76FFB"/>
    <w:rsid w:val="00C97794"/>
    <w:rsid w:val="00CC1376"/>
    <w:rsid w:val="00CC38D8"/>
    <w:rsid w:val="00CD07C8"/>
    <w:rsid w:val="00D12FF1"/>
    <w:rsid w:val="00D36650"/>
    <w:rsid w:val="00DA6DF9"/>
    <w:rsid w:val="00E12108"/>
    <w:rsid w:val="00E15325"/>
    <w:rsid w:val="00E265D1"/>
    <w:rsid w:val="00E37CDC"/>
    <w:rsid w:val="00E44392"/>
    <w:rsid w:val="00E72FEA"/>
    <w:rsid w:val="00E7565A"/>
    <w:rsid w:val="00E976AA"/>
    <w:rsid w:val="00E97D5C"/>
    <w:rsid w:val="00EA0E4F"/>
    <w:rsid w:val="00EA1BF2"/>
    <w:rsid w:val="00EA5CF3"/>
    <w:rsid w:val="00EB3BBC"/>
    <w:rsid w:val="00ED26AB"/>
    <w:rsid w:val="00F0157A"/>
    <w:rsid w:val="00F03CB9"/>
    <w:rsid w:val="00F16D58"/>
    <w:rsid w:val="00F1715F"/>
    <w:rsid w:val="00F31FD8"/>
    <w:rsid w:val="00F32AE1"/>
    <w:rsid w:val="00F37202"/>
    <w:rsid w:val="00F42670"/>
    <w:rsid w:val="00F7357C"/>
    <w:rsid w:val="00F824A6"/>
    <w:rsid w:val="00F932C4"/>
    <w:rsid w:val="00F96537"/>
    <w:rsid w:val="00FA6365"/>
    <w:rsid w:val="00FB7A34"/>
    <w:rsid w:val="00FE4309"/>
    <w:rsid w:val="00FF73C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36487"/>
  <w15:chartTrackingRefBased/>
  <w15:docId w15:val="{60097B63-1D1B-3B4F-B449-B5362DB9C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5DA"/>
    <w:rPr>
      <w:rFonts w:ascii="Times New Roman" w:eastAsia="Times New Roman" w:hAnsi="Times New Roman" w:cs="Times New Roman"/>
    </w:rPr>
  </w:style>
  <w:style w:type="paragraph" w:styleId="Heading1">
    <w:name w:val="heading 1"/>
    <w:basedOn w:val="Normal"/>
    <w:next w:val="Normal"/>
    <w:link w:val="Heading1Char"/>
    <w:uiPriority w:val="9"/>
    <w:qFormat/>
    <w:rsid w:val="003735DA"/>
    <w:pPr>
      <w:keepNext/>
      <w:keepLines/>
      <w:spacing w:beforeLines="200" w:before="200" w:afterLines="200" w:after="200"/>
      <w:outlineLvl w:val="0"/>
    </w:pPr>
    <w:rPr>
      <w:b/>
      <w:sz w:val="42"/>
      <w:szCs w:val="40"/>
    </w:rPr>
  </w:style>
  <w:style w:type="paragraph" w:styleId="Heading2">
    <w:name w:val="heading 2"/>
    <w:basedOn w:val="Normal"/>
    <w:next w:val="Normal"/>
    <w:link w:val="Heading2Char"/>
    <w:uiPriority w:val="9"/>
    <w:unhideWhenUsed/>
    <w:qFormat/>
    <w:rsid w:val="003735DA"/>
    <w:pPr>
      <w:keepNext/>
      <w:keepLines/>
      <w:spacing w:beforeLines="100" w:before="100" w:afterLines="100" w:after="100"/>
      <w:outlineLvl w:val="1"/>
    </w:pPr>
    <w:rPr>
      <w:rFonts w:eastAsiaTheme="majorEastAsia"/>
      <w:b/>
      <w:sz w:val="28"/>
      <w:szCs w:val="32"/>
    </w:rPr>
  </w:style>
  <w:style w:type="paragraph" w:styleId="Heading3">
    <w:name w:val="heading 3"/>
    <w:basedOn w:val="Normal"/>
    <w:next w:val="Normal"/>
    <w:link w:val="Heading3Char"/>
    <w:uiPriority w:val="9"/>
    <w:unhideWhenUsed/>
    <w:qFormat/>
    <w:rsid w:val="003735DA"/>
    <w:pPr>
      <w:keepNext/>
      <w:keepLines/>
      <w:spacing w:beforeLines="100" w:before="100" w:afterLines="100" w:after="100"/>
      <w:outlineLvl w:val="2"/>
    </w:pPr>
    <w:rPr>
      <w:b/>
      <w:color w:val="000000" w:themeColor="text1"/>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5DA"/>
    <w:rPr>
      <w:rFonts w:ascii="Times New Roman" w:eastAsia="Times New Roman" w:hAnsi="Times New Roman" w:cs="Times New Roman"/>
      <w:b/>
      <w:sz w:val="42"/>
      <w:szCs w:val="40"/>
      <w:lang w:val="en-AU"/>
    </w:rPr>
  </w:style>
  <w:style w:type="character" w:customStyle="1" w:styleId="Heading2Char">
    <w:name w:val="Heading 2 Char"/>
    <w:basedOn w:val="DefaultParagraphFont"/>
    <w:link w:val="Heading2"/>
    <w:uiPriority w:val="9"/>
    <w:rsid w:val="003735DA"/>
    <w:rPr>
      <w:rFonts w:ascii="Times New Roman" w:eastAsiaTheme="majorEastAsia" w:hAnsi="Times New Roman" w:cs="Times New Roman"/>
      <w:b/>
      <w:sz w:val="28"/>
      <w:szCs w:val="32"/>
      <w:lang w:val="en-AU"/>
    </w:rPr>
  </w:style>
  <w:style w:type="character" w:customStyle="1" w:styleId="Heading3Char">
    <w:name w:val="Heading 3 Char"/>
    <w:basedOn w:val="DefaultParagraphFont"/>
    <w:link w:val="Heading3"/>
    <w:uiPriority w:val="9"/>
    <w:rsid w:val="003735DA"/>
    <w:rPr>
      <w:rFonts w:ascii="Times New Roman" w:eastAsia="Times New Roman" w:hAnsi="Times New Roman" w:cs="Times New Roman"/>
      <w:b/>
      <w:color w:val="000000" w:themeColor="text1"/>
      <w:szCs w:val="28"/>
      <w:lang w:val="en-AU"/>
    </w:rPr>
  </w:style>
  <w:style w:type="paragraph" w:styleId="Title">
    <w:name w:val="Title"/>
    <w:basedOn w:val="Normal"/>
    <w:next w:val="Normal"/>
    <w:link w:val="TitleChar"/>
    <w:uiPriority w:val="10"/>
    <w:qFormat/>
    <w:rsid w:val="003735DA"/>
    <w:pPr>
      <w:keepNext/>
      <w:keepLines/>
      <w:spacing w:afterLines="200" w:after="200"/>
      <w:jc w:val="center"/>
    </w:pPr>
    <w:rPr>
      <w:b/>
      <w:sz w:val="32"/>
      <w:szCs w:val="52"/>
    </w:rPr>
  </w:style>
  <w:style w:type="character" w:customStyle="1" w:styleId="TitleChar">
    <w:name w:val="Title Char"/>
    <w:basedOn w:val="DefaultParagraphFont"/>
    <w:link w:val="Title"/>
    <w:uiPriority w:val="10"/>
    <w:rsid w:val="003735DA"/>
    <w:rPr>
      <w:rFonts w:ascii="Times New Roman" w:eastAsia="Times New Roman" w:hAnsi="Times New Roman" w:cs="Times New Roman"/>
      <w:b/>
      <w:sz w:val="32"/>
      <w:szCs w:val="52"/>
      <w:lang w:val="en-AU"/>
    </w:rPr>
  </w:style>
  <w:style w:type="paragraph" w:styleId="NormalWeb">
    <w:name w:val="Normal (Web)"/>
    <w:basedOn w:val="Normal"/>
    <w:link w:val="NormalWebChar"/>
    <w:uiPriority w:val="99"/>
    <w:unhideWhenUsed/>
    <w:rsid w:val="003735DA"/>
    <w:pPr>
      <w:spacing w:before="100" w:beforeAutospacing="1" w:afterAutospacing="1"/>
    </w:pPr>
  </w:style>
  <w:style w:type="character" w:customStyle="1" w:styleId="NormalWebChar">
    <w:name w:val="Normal (Web) Char"/>
    <w:basedOn w:val="DefaultParagraphFont"/>
    <w:link w:val="NormalWeb"/>
    <w:uiPriority w:val="99"/>
    <w:rsid w:val="003735DA"/>
    <w:rPr>
      <w:rFonts w:ascii="Times New Roman" w:eastAsia="Times New Roman" w:hAnsi="Times New Roman" w:cs="Times New Roman"/>
      <w:lang w:val="en-AU"/>
    </w:rPr>
  </w:style>
  <w:style w:type="paragraph" w:customStyle="1" w:styleId="Table">
    <w:name w:val="Table"/>
    <w:basedOn w:val="Normal"/>
    <w:link w:val="Table0"/>
    <w:qFormat/>
    <w:rsid w:val="003735DA"/>
    <w:pPr>
      <w:spacing w:line="480" w:lineRule="auto"/>
      <w:ind w:left="709" w:hanging="709"/>
    </w:pPr>
    <w:rPr>
      <w:rFonts w:eastAsia="SimSun"/>
      <w:b/>
      <w:bCs/>
    </w:rPr>
  </w:style>
  <w:style w:type="character" w:customStyle="1" w:styleId="Table0">
    <w:name w:val="Table 字符"/>
    <w:basedOn w:val="DefaultParagraphFont"/>
    <w:link w:val="Table"/>
    <w:rsid w:val="003735DA"/>
    <w:rPr>
      <w:rFonts w:ascii="Times New Roman" w:eastAsia="SimSun" w:hAnsi="Times New Roman" w:cs="Times New Roman"/>
      <w:b/>
      <w:bCs/>
      <w:lang w:val="en-AU"/>
    </w:rPr>
  </w:style>
  <w:style w:type="paragraph" w:customStyle="1" w:styleId="Fig">
    <w:name w:val="Fig."/>
    <w:basedOn w:val="Normal"/>
    <w:link w:val="Fig0"/>
    <w:qFormat/>
    <w:rsid w:val="003735DA"/>
    <w:pPr>
      <w:spacing w:afterLines="100" w:after="100"/>
    </w:pPr>
    <w:rPr>
      <w:bCs/>
    </w:rPr>
  </w:style>
  <w:style w:type="character" w:customStyle="1" w:styleId="Fig0">
    <w:name w:val="Fig. 字符"/>
    <w:basedOn w:val="DefaultParagraphFont"/>
    <w:link w:val="Fig"/>
    <w:rsid w:val="003735DA"/>
    <w:rPr>
      <w:rFonts w:ascii="Times New Roman" w:eastAsia="Times New Roman" w:hAnsi="Times New Roman" w:cs="Times New Roman"/>
      <w:bCs/>
      <w:lang w:val="en-AU"/>
    </w:rPr>
  </w:style>
  <w:style w:type="paragraph" w:styleId="Header">
    <w:name w:val="header"/>
    <w:basedOn w:val="Normal"/>
    <w:link w:val="HeaderChar"/>
    <w:uiPriority w:val="99"/>
    <w:unhideWhenUsed/>
    <w:rsid w:val="003735DA"/>
    <w:pPr>
      <w:tabs>
        <w:tab w:val="center" w:pos="4513"/>
        <w:tab w:val="right" w:pos="9026"/>
      </w:tabs>
    </w:pPr>
  </w:style>
  <w:style w:type="character" w:customStyle="1" w:styleId="HeaderChar">
    <w:name w:val="Header Char"/>
    <w:basedOn w:val="DefaultParagraphFont"/>
    <w:link w:val="Header"/>
    <w:uiPriority w:val="99"/>
    <w:rsid w:val="003735DA"/>
    <w:rPr>
      <w:rFonts w:ascii="Times New Roman" w:eastAsia="Times New Roman" w:hAnsi="Times New Roman" w:cs="Times New Roman"/>
    </w:rPr>
  </w:style>
  <w:style w:type="character" w:styleId="PageNumber">
    <w:name w:val="page number"/>
    <w:basedOn w:val="DefaultParagraphFont"/>
    <w:uiPriority w:val="99"/>
    <w:semiHidden/>
    <w:unhideWhenUsed/>
    <w:rsid w:val="003735DA"/>
  </w:style>
  <w:style w:type="paragraph" w:styleId="Footer">
    <w:name w:val="footer"/>
    <w:basedOn w:val="Normal"/>
    <w:link w:val="FooterChar"/>
    <w:uiPriority w:val="99"/>
    <w:unhideWhenUsed/>
    <w:rsid w:val="003735DA"/>
    <w:pPr>
      <w:tabs>
        <w:tab w:val="center" w:pos="4513"/>
        <w:tab w:val="right" w:pos="9026"/>
      </w:tabs>
    </w:pPr>
  </w:style>
  <w:style w:type="character" w:customStyle="1" w:styleId="FooterChar">
    <w:name w:val="Footer Char"/>
    <w:basedOn w:val="DefaultParagraphFont"/>
    <w:link w:val="Footer"/>
    <w:uiPriority w:val="99"/>
    <w:rsid w:val="003735D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D97D9-3D1B-7A4F-B234-B198BCA24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3025</Words>
  <Characters>17244</Characters>
  <Application>Microsoft Office Word</Application>
  <DocSecurity>0</DocSecurity>
  <Lines>143</Lines>
  <Paragraphs>40</Paragraphs>
  <ScaleCrop>false</ScaleCrop>
  <Company/>
  <LinksUpToDate>false</LinksUpToDate>
  <CharactersWithSpaces>20229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Liu</dc:creator>
  <cp:keywords/>
  <dc:description/>
  <cp:lastModifiedBy>office user</cp:lastModifiedBy>
  <cp:revision>4</cp:revision>
  <dcterms:created xsi:type="dcterms:W3CDTF">2024-05-28T11:16:00Z</dcterms:created>
  <dcterms:modified xsi:type="dcterms:W3CDTF">2024-05-28T11:23:00Z</dcterms:modified>
</cp:coreProperties>
</file>