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4E26" w:rsidRDefault="00000000" w:rsidP="00DA1B64">
      <w:pPr>
        <w:widowControl/>
        <w:ind w:firstLine="420"/>
        <w:jc w:val="center"/>
        <w:rPr>
          <w:rFonts w:ascii="宋体" w:eastAsia="宋体" w:hAnsi="宋体" w:cs="宋体"/>
          <w:b/>
          <w:bCs/>
          <w:color w:val="000000"/>
          <w:kern w:val="0"/>
          <w:sz w:val="32"/>
          <w:szCs w:val="32"/>
          <w:lang w:bidi="ar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32"/>
          <w:szCs w:val="32"/>
          <w:lang w:bidi="ar"/>
        </w:rPr>
        <w:t>被解释变量</w:t>
      </w:r>
    </w:p>
    <w:p w:rsidR="001C4E26" w:rsidRDefault="00000000">
      <w:pPr>
        <w:widowControl/>
        <w:numPr>
          <w:ilvl w:val="0"/>
          <w:numId w:val="1"/>
        </w:numPr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产业结构合理化</w:t>
      </w:r>
    </w:p>
    <w:p w:rsidR="001C4E26" w:rsidRDefault="00000000">
      <w:pPr>
        <w:widowControl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对 于 产 业 结 构 合 理 化 的 衡 量 本 文 据 泰 尔 指 数 的 设 定 ，将 产 业 结 构 合 理 化 指 标 具 体 设 为 ： 其 中 ｙ 和 Ｌ 分 别 表 示 第 ｉ 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个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产 业 的 产 值 和 就 业 人 数， Ｓ Ｒ 表 示 产 业 结 构 的 偏 离 程 度 。 根 据 古 典 经 济 学 的 假 设，当 经 济 处 于 均 衡 状 态 时 ，各 产 业 部 门 生 产 率 相 同 。因 此 当 经 济 均 衡 时 ，从而 Ｓ Ｒ ＝ ０ 。 因 此 ， Ｓ Ｒ 值 越 小 ，表 明 经 济 越 趋 于 均 衡 Ｌ （ Ｌ 状 态 ， 则 产 业 结 构 越 合 理 。此 外 ，ｆ 表 示 产 出 结 构 ， ｆ 表 示 就 业 结 构 ， 因 此 ， Ｓ Ｒ 同 时 也 是 产 出 结 构 和 就 业 结 构 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耦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 合 性 的 反 应 。</w:t>
      </w:r>
    </w:p>
    <w:p w:rsidR="001C4E26" w:rsidRDefault="00000000">
      <w:r>
        <w:rPr>
          <w:rFonts w:hint="eastAsia"/>
          <w:position w:val="-32"/>
        </w:rPr>
        <w:object w:dxaOrig="242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.75pt;height:37.75pt" o:ole="">
            <v:imagedata r:id="rId7" o:title=""/>
          </v:shape>
          <o:OLEObject Type="Embed" ProgID="Equation.3" ShapeID="_x0000_i1025" DrawAspect="Content" ObjectID="_1748163897" r:id="rId8"/>
        </w:object>
      </w:r>
    </w:p>
    <w:p w:rsidR="001C4E26" w:rsidRDefault="00000000">
      <w:r>
        <w:rPr>
          <w:rFonts w:hint="eastAsia"/>
        </w:rPr>
        <w:t>山东省产业结构合理化测算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1C4E26">
        <w:tc>
          <w:tcPr>
            <w:tcW w:w="1065" w:type="dxa"/>
          </w:tcPr>
          <w:p w:rsidR="001C4E26" w:rsidRDefault="00000000">
            <w:r>
              <w:rPr>
                <w:rFonts w:hint="eastAsia"/>
              </w:rPr>
              <w:t>年份</w:t>
            </w:r>
          </w:p>
        </w:tc>
        <w:tc>
          <w:tcPr>
            <w:tcW w:w="1065" w:type="dxa"/>
          </w:tcPr>
          <w:p w:rsidR="001C4E26" w:rsidRDefault="00000000">
            <w:r>
              <w:rPr>
                <w:rFonts w:hint="eastAsia"/>
              </w:rPr>
              <w:t>2015</w:t>
            </w:r>
          </w:p>
        </w:tc>
        <w:tc>
          <w:tcPr>
            <w:tcW w:w="1065" w:type="dxa"/>
          </w:tcPr>
          <w:p w:rsidR="001C4E26" w:rsidRDefault="00000000">
            <w:r>
              <w:rPr>
                <w:rFonts w:hint="eastAsia"/>
              </w:rPr>
              <w:t>2016</w:t>
            </w:r>
          </w:p>
        </w:tc>
        <w:tc>
          <w:tcPr>
            <w:tcW w:w="1065" w:type="dxa"/>
          </w:tcPr>
          <w:p w:rsidR="001C4E26" w:rsidRDefault="00000000">
            <w:r>
              <w:rPr>
                <w:rFonts w:hint="eastAsia"/>
              </w:rPr>
              <w:t>2017</w:t>
            </w:r>
          </w:p>
        </w:tc>
        <w:tc>
          <w:tcPr>
            <w:tcW w:w="1065" w:type="dxa"/>
          </w:tcPr>
          <w:p w:rsidR="001C4E26" w:rsidRDefault="00000000">
            <w:r>
              <w:rPr>
                <w:rFonts w:hint="eastAsia"/>
              </w:rPr>
              <w:t>2018</w:t>
            </w:r>
          </w:p>
        </w:tc>
        <w:tc>
          <w:tcPr>
            <w:tcW w:w="1065" w:type="dxa"/>
          </w:tcPr>
          <w:p w:rsidR="001C4E26" w:rsidRDefault="00000000">
            <w:r>
              <w:rPr>
                <w:rFonts w:hint="eastAsia"/>
              </w:rPr>
              <w:t>2019</w:t>
            </w:r>
          </w:p>
        </w:tc>
        <w:tc>
          <w:tcPr>
            <w:tcW w:w="1066" w:type="dxa"/>
          </w:tcPr>
          <w:p w:rsidR="001C4E26" w:rsidRDefault="00000000">
            <w:r>
              <w:rPr>
                <w:rFonts w:hint="eastAsia"/>
              </w:rPr>
              <w:t>2020</w:t>
            </w:r>
          </w:p>
        </w:tc>
        <w:tc>
          <w:tcPr>
            <w:tcW w:w="1066" w:type="dxa"/>
          </w:tcPr>
          <w:p w:rsidR="001C4E26" w:rsidRDefault="00000000">
            <w:r>
              <w:rPr>
                <w:rFonts w:hint="eastAsia"/>
              </w:rPr>
              <w:t>2021</w:t>
            </w:r>
          </w:p>
        </w:tc>
      </w:tr>
      <w:tr w:rsidR="001C4E26">
        <w:tc>
          <w:tcPr>
            <w:tcW w:w="1065" w:type="dxa"/>
          </w:tcPr>
          <w:p w:rsidR="001C4E26" w:rsidRDefault="00000000">
            <w:r>
              <w:rPr>
                <w:rFonts w:hint="eastAsia"/>
              </w:rPr>
              <w:t>SR</w:t>
            </w:r>
            <w:r>
              <w:rPr>
                <w:rFonts w:hint="eastAsia"/>
              </w:rPr>
              <w:t>值</w:t>
            </w:r>
          </w:p>
        </w:tc>
        <w:tc>
          <w:tcPr>
            <w:tcW w:w="1065" w:type="dxa"/>
          </w:tcPr>
          <w:p w:rsidR="001C4E26" w:rsidRDefault="00000000">
            <w:r>
              <w:rPr>
                <w:rFonts w:hint="eastAsia"/>
              </w:rPr>
              <w:t>0.06</w:t>
            </w:r>
          </w:p>
        </w:tc>
        <w:tc>
          <w:tcPr>
            <w:tcW w:w="1065" w:type="dxa"/>
          </w:tcPr>
          <w:p w:rsidR="001C4E26" w:rsidRDefault="00000000">
            <w:r>
              <w:rPr>
                <w:rFonts w:hint="eastAsia"/>
              </w:rPr>
              <w:t>0.06</w:t>
            </w:r>
          </w:p>
        </w:tc>
        <w:tc>
          <w:tcPr>
            <w:tcW w:w="1065" w:type="dxa"/>
          </w:tcPr>
          <w:p w:rsidR="001C4E26" w:rsidRDefault="00000000">
            <w:r>
              <w:rPr>
                <w:rFonts w:hint="eastAsia"/>
              </w:rPr>
              <w:t>0.07</w:t>
            </w:r>
          </w:p>
        </w:tc>
        <w:tc>
          <w:tcPr>
            <w:tcW w:w="1065" w:type="dxa"/>
          </w:tcPr>
          <w:p w:rsidR="001C4E26" w:rsidRDefault="00000000">
            <w:r>
              <w:rPr>
                <w:rFonts w:hint="eastAsia"/>
              </w:rPr>
              <w:t>0.06</w:t>
            </w:r>
          </w:p>
        </w:tc>
        <w:tc>
          <w:tcPr>
            <w:tcW w:w="1065" w:type="dxa"/>
          </w:tcPr>
          <w:p w:rsidR="001C4E26" w:rsidRDefault="00000000">
            <w:r>
              <w:rPr>
                <w:rFonts w:hint="eastAsia"/>
              </w:rPr>
              <w:t>0.06</w:t>
            </w:r>
          </w:p>
        </w:tc>
        <w:tc>
          <w:tcPr>
            <w:tcW w:w="1066" w:type="dxa"/>
          </w:tcPr>
          <w:p w:rsidR="001C4E26" w:rsidRDefault="00000000">
            <w:r>
              <w:rPr>
                <w:rFonts w:hint="eastAsia"/>
              </w:rPr>
              <w:t>0.07</w:t>
            </w:r>
          </w:p>
        </w:tc>
        <w:tc>
          <w:tcPr>
            <w:tcW w:w="1066" w:type="dxa"/>
          </w:tcPr>
          <w:p w:rsidR="001C4E26" w:rsidRDefault="00000000">
            <w:r>
              <w:rPr>
                <w:rFonts w:hint="eastAsia"/>
              </w:rPr>
              <w:t>0.07</w:t>
            </w:r>
          </w:p>
        </w:tc>
      </w:tr>
    </w:tbl>
    <w:p w:rsidR="001C4E26" w:rsidRDefault="001C4E26"/>
    <w:p w:rsidR="001C4E26" w:rsidRDefault="00000000">
      <w:pPr>
        <w:numPr>
          <w:ilvl w:val="0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产业结构高级化</w:t>
      </w:r>
    </w:p>
    <w:p w:rsidR="001C4E26" w:rsidRDefault="00000000">
      <w:pPr>
        <w:pStyle w:val="a4"/>
        <w:shd w:val="clear" w:color="auto" w:fill="FFFFFF"/>
        <w:spacing w:before="0" w:beforeAutospacing="0" w:after="0" w:afterAutospacing="0" w:line="360" w:lineRule="auto"/>
        <w:textAlignment w:val="baseline"/>
        <w:rPr>
          <w:rFonts w:ascii="黑体" w:eastAsia="黑体" w:hAnsi="黑体" w:cs="黑体"/>
          <w:b/>
          <w:bCs/>
          <w:kern w:val="2"/>
        </w:rPr>
      </w:pPr>
      <w:r>
        <w:rPr>
          <w:rFonts w:hint="eastAsia"/>
          <w:kern w:val="2"/>
        </w:rPr>
        <w:t>对于产业结构高级化的测算，本文选取学者徐德云（2008）的设定方式， 将产业结构高级</w:t>
      </w:r>
      <w:proofErr w:type="gramStart"/>
      <w:r>
        <w:rPr>
          <w:rFonts w:hint="eastAsia"/>
          <w:kern w:val="2"/>
        </w:rPr>
        <w:t>化指标</w:t>
      </w:r>
      <w:proofErr w:type="gramEnd"/>
      <w:r>
        <w:rPr>
          <w:rFonts w:hint="eastAsia"/>
          <w:kern w:val="2"/>
        </w:rPr>
        <w:t>的计算如公式3.3所示：</w:t>
      </w:r>
    </w:p>
    <w:p w:rsidR="001C4E26" w:rsidRDefault="00000000">
      <w:pPr>
        <w:pStyle w:val="a4"/>
        <w:shd w:val="clear" w:color="auto" w:fill="FFFFFF"/>
        <w:spacing w:before="0" w:beforeAutospacing="0" w:after="0" w:afterAutospacing="0" w:line="360" w:lineRule="auto"/>
        <w:jc w:val="right"/>
        <w:textAlignment w:val="baseline"/>
        <w:rPr>
          <w:rStyle w:val="a6"/>
          <w:rFonts w:asciiTheme="minorEastAsia" w:hAnsiTheme="minorEastAsia" w:cstheme="minorEastAsia"/>
          <w:kern w:val="2"/>
          <w:sz w:val="24"/>
          <w:szCs w:val="24"/>
        </w:rPr>
      </w:pPr>
      <w:r>
        <w:rPr>
          <w:rFonts w:ascii="Times New Roman" w:hAnsi="Times New Roman" w:cs="Times New Roman"/>
          <w:kern w:val="2"/>
        </w:rPr>
        <w:t>SH</w:t>
      </w:r>
      <w:r>
        <w:rPr>
          <w:rFonts w:asciiTheme="minorEastAsia" w:hAnsiTheme="minorEastAsia" w:cstheme="minorEastAsia" w:hint="eastAsia"/>
          <w:kern w:val="2"/>
        </w:rPr>
        <w:t>=Y</w:t>
      </w:r>
      <w:r>
        <w:rPr>
          <w:rFonts w:asciiTheme="minorEastAsia" w:hAnsiTheme="minorEastAsia" w:cstheme="minorEastAsia" w:hint="eastAsia"/>
          <w:kern w:val="2"/>
          <w:vertAlign w:val="subscript"/>
        </w:rPr>
        <w:t>1</w:t>
      </w:r>
      <w:r>
        <w:rPr>
          <w:rFonts w:asciiTheme="minorEastAsia" w:hAnsiTheme="minorEastAsia" w:cstheme="minorEastAsia" w:hint="eastAsia"/>
          <w:kern w:val="2"/>
        </w:rPr>
        <w:t>*</w:t>
      </w:r>
      <w:r>
        <w:rPr>
          <w:rFonts w:asciiTheme="minorEastAsia" w:hAnsiTheme="minorEastAsia" w:cstheme="minorEastAsia" w:hint="eastAsia"/>
        </w:rPr>
        <w:t>1+Y</w:t>
      </w:r>
      <w:r>
        <w:rPr>
          <w:rFonts w:asciiTheme="minorEastAsia" w:hAnsiTheme="minorEastAsia" w:cstheme="minorEastAsia" w:hint="eastAsia"/>
          <w:vertAlign w:val="subscript"/>
        </w:rPr>
        <w:t>2</w:t>
      </w:r>
      <w:r>
        <w:rPr>
          <w:rFonts w:asciiTheme="minorEastAsia" w:hAnsiTheme="minorEastAsia" w:cstheme="minorEastAsia" w:hint="eastAsia"/>
        </w:rPr>
        <w:t>*2+Y</w:t>
      </w:r>
      <w:r>
        <w:rPr>
          <w:rFonts w:asciiTheme="minorEastAsia" w:hAnsiTheme="minorEastAsia" w:cstheme="minorEastAsia" w:hint="eastAsia"/>
          <w:vertAlign w:val="subscript"/>
        </w:rPr>
        <w:t>3</w:t>
      </w:r>
      <w:r>
        <w:rPr>
          <w:rFonts w:asciiTheme="minorEastAsia" w:hAnsiTheme="minorEastAsia" w:cstheme="minorEastAsia" w:hint="eastAsia"/>
        </w:rPr>
        <w:t xml:space="preserve">*3                      </w:t>
      </w:r>
      <w:r>
        <w:rPr>
          <w:rStyle w:val="a6"/>
          <w:rFonts w:asciiTheme="minorEastAsia" w:hAnsiTheme="minorEastAsia" w:cstheme="minorEastAsia" w:hint="eastAsia"/>
          <w:kern w:val="2"/>
          <w:sz w:val="24"/>
          <w:szCs w:val="24"/>
        </w:rPr>
        <w:t>（3.1）</w:t>
      </w:r>
    </w:p>
    <w:p w:rsidR="001C4E26" w:rsidRDefault="00000000">
      <w:pPr>
        <w:pStyle w:val="a4"/>
        <w:shd w:val="clear" w:color="auto" w:fill="FFFFFF"/>
        <w:spacing w:before="0" w:beforeAutospacing="0" w:after="0" w:afterAutospacing="0" w:line="360" w:lineRule="auto"/>
        <w:textAlignment w:val="baseline"/>
      </w:pPr>
      <w:r>
        <w:rPr>
          <w:rFonts w:hint="eastAsia"/>
        </w:rPr>
        <w:t>其中Y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、Y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、Y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分别代表第一二三产业比重。</w:t>
      </w:r>
      <w:r>
        <w:rPr>
          <w:rFonts w:ascii="Times New Roman" w:hAnsi="Times New Roman" w:cs="Times New Roman"/>
        </w:rPr>
        <w:t>SH</w:t>
      </w:r>
      <w:r>
        <w:rPr>
          <w:rFonts w:hint="eastAsia"/>
        </w:rPr>
        <w:t>数值越大表示该地区产业结构越高级。根据表3.8的数据可以得出山东省</w:t>
      </w:r>
      <w:r>
        <w:rPr>
          <w:rFonts w:ascii="Times New Roman" w:hAnsi="Times New Roman" w:cs="Times New Roman"/>
        </w:rPr>
        <w:t>SH</w:t>
      </w:r>
      <w:r>
        <w:rPr>
          <w:rFonts w:hint="eastAsia"/>
        </w:rPr>
        <w:t>数值的变化趋势，如表3.8所示。</w:t>
      </w:r>
    </w:p>
    <w:p w:rsidR="001C4E26" w:rsidRDefault="00000000">
      <w:pPr>
        <w:pStyle w:val="a3"/>
        <w:ind w:firstLine="482"/>
        <w:jc w:val="center"/>
      </w:pPr>
      <w:r>
        <w:rPr>
          <w:rFonts w:ascii="黑体" w:hAnsi="黑体" w:cs="黑体" w:hint="eastAsia"/>
        </w:rPr>
        <w:t>表3.8 2015至2022年产业高级化SH值统计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9"/>
        <w:gridCol w:w="951"/>
        <w:gridCol w:w="951"/>
        <w:gridCol w:w="951"/>
        <w:gridCol w:w="952"/>
        <w:gridCol w:w="952"/>
        <w:gridCol w:w="952"/>
        <w:gridCol w:w="952"/>
        <w:gridCol w:w="952"/>
      </w:tblGrid>
      <w:tr w:rsidR="001C4E26">
        <w:tc>
          <w:tcPr>
            <w:tcW w:w="968" w:type="dxa"/>
            <w:vAlign w:val="center"/>
          </w:tcPr>
          <w:p w:rsidR="001C4E26" w:rsidRDefault="00000000">
            <w:pPr>
              <w:pStyle w:val="a4"/>
              <w:spacing w:before="0" w:beforeAutospacing="0" w:after="0" w:afterAutospacing="0" w:line="360" w:lineRule="auto"/>
              <w:jc w:val="center"/>
              <w:textAlignment w:val="baseline"/>
              <w:rPr>
                <w:color w:val="222222"/>
                <w:shd w:val="clear" w:color="auto" w:fill="FFFFFF"/>
              </w:rPr>
            </w:pPr>
            <w:r>
              <w:rPr>
                <w:rFonts w:hint="eastAsia"/>
                <w:color w:val="222222"/>
                <w:shd w:val="clear" w:color="auto" w:fill="FFFFFF"/>
              </w:rPr>
              <w:t>年份</w:t>
            </w:r>
          </w:p>
        </w:tc>
        <w:tc>
          <w:tcPr>
            <w:tcW w:w="969" w:type="dxa"/>
            <w:vAlign w:val="center"/>
          </w:tcPr>
          <w:p w:rsidR="001C4E26" w:rsidRDefault="00000000">
            <w:pPr>
              <w:pStyle w:val="a4"/>
              <w:spacing w:before="0" w:beforeAutospacing="0" w:after="0" w:afterAutospacing="0" w:line="360" w:lineRule="auto"/>
              <w:jc w:val="center"/>
              <w:textAlignment w:val="baseline"/>
              <w:rPr>
                <w:color w:val="222222"/>
                <w:shd w:val="clear" w:color="auto" w:fill="FFFFFF"/>
              </w:rPr>
            </w:pPr>
            <w:r>
              <w:rPr>
                <w:rFonts w:hint="eastAsia"/>
                <w:color w:val="222222"/>
                <w:shd w:val="clear" w:color="auto" w:fill="FFFFFF"/>
              </w:rPr>
              <w:t>2015</w:t>
            </w:r>
          </w:p>
        </w:tc>
        <w:tc>
          <w:tcPr>
            <w:tcW w:w="969" w:type="dxa"/>
            <w:vAlign w:val="center"/>
          </w:tcPr>
          <w:p w:rsidR="001C4E26" w:rsidRDefault="00000000">
            <w:pPr>
              <w:pStyle w:val="a4"/>
              <w:spacing w:before="0" w:beforeAutospacing="0" w:after="0" w:afterAutospacing="0" w:line="360" w:lineRule="auto"/>
              <w:jc w:val="center"/>
              <w:textAlignment w:val="baseline"/>
              <w:rPr>
                <w:color w:val="222222"/>
                <w:shd w:val="clear" w:color="auto" w:fill="FFFFFF"/>
              </w:rPr>
            </w:pPr>
            <w:r>
              <w:rPr>
                <w:rFonts w:hint="eastAsia"/>
                <w:color w:val="222222"/>
                <w:shd w:val="clear" w:color="auto" w:fill="FFFFFF"/>
              </w:rPr>
              <w:t>2016</w:t>
            </w:r>
          </w:p>
        </w:tc>
        <w:tc>
          <w:tcPr>
            <w:tcW w:w="969" w:type="dxa"/>
            <w:vAlign w:val="center"/>
          </w:tcPr>
          <w:p w:rsidR="001C4E26" w:rsidRDefault="00000000">
            <w:pPr>
              <w:pStyle w:val="a4"/>
              <w:spacing w:before="0" w:beforeAutospacing="0" w:after="0" w:afterAutospacing="0" w:line="360" w:lineRule="auto"/>
              <w:jc w:val="center"/>
              <w:textAlignment w:val="baseline"/>
              <w:rPr>
                <w:color w:val="222222"/>
                <w:shd w:val="clear" w:color="auto" w:fill="FFFFFF"/>
              </w:rPr>
            </w:pPr>
            <w:r>
              <w:rPr>
                <w:rFonts w:hint="eastAsia"/>
                <w:color w:val="222222"/>
                <w:shd w:val="clear" w:color="auto" w:fill="FFFFFF"/>
              </w:rPr>
              <w:t>2017</w:t>
            </w:r>
          </w:p>
        </w:tc>
        <w:tc>
          <w:tcPr>
            <w:tcW w:w="969" w:type="dxa"/>
            <w:vAlign w:val="center"/>
          </w:tcPr>
          <w:p w:rsidR="001C4E26" w:rsidRDefault="00000000">
            <w:pPr>
              <w:pStyle w:val="a4"/>
              <w:spacing w:before="0" w:beforeAutospacing="0" w:after="0" w:afterAutospacing="0" w:line="360" w:lineRule="auto"/>
              <w:jc w:val="center"/>
              <w:textAlignment w:val="baseline"/>
              <w:rPr>
                <w:color w:val="222222"/>
                <w:shd w:val="clear" w:color="auto" w:fill="FFFFFF"/>
              </w:rPr>
            </w:pPr>
            <w:r>
              <w:rPr>
                <w:rFonts w:hint="eastAsia"/>
                <w:color w:val="222222"/>
                <w:shd w:val="clear" w:color="auto" w:fill="FFFFFF"/>
              </w:rPr>
              <w:t>2018</w:t>
            </w:r>
          </w:p>
        </w:tc>
        <w:tc>
          <w:tcPr>
            <w:tcW w:w="969" w:type="dxa"/>
            <w:vAlign w:val="center"/>
          </w:tcPr>
          <w:p w:rsidR="001C4E26" w:rsidRDefault="00000000">
            <w:pPr>
              <w:pStyle w:val="a4"/>
              <w:spacing w:before="0" w:beforeAutospacing="0" w:after="0" w:afterAutospacing="0" w:line="360" w:lineRule="auto"/>
              <w:jc w:val="center"/>
              <w:textAlignment w:val="baseline"/>
              <w:rPr>
                <w:color w:val="222222"/>
                <w:shd w:val="clear" w:color="auto" w:fill="FFFFFF"/>
              </w:rPr>
            </w:pPr>
            <w:r>
              <w:rPr>
                <w:rFonts w:hint="eastAsia"/>
                <w:color w:val="222222"/>
                <w:shd w:val="clear" w:color="auto" w:fill="FFFFFF"/>
              </w:rPr>
              <w:t>2019</w:t>
            </w:r>
          </w:p>
        </w:tc>
        <w:tc>
          <w:tcPr>
            <w:tcW w:w="969" w:type="dxa"/>
            <w:vAlign w:val="center"/>
          </w:tcPr>
          <w:p w:rsidR="001C4E26" w:rsidRDefault="00000000">
            <w:pPr>
              <w:pStyle w:val="a4"/>
              <w:spacing w:before="0" w:beforeAutospacing="0" w:after="0" w:afterAutospacing="0" w:line="360" w:lineRule="auto"/>
              <w:jc w:val="center"/>
              <w:textAlignment w:val="baseline"/>
              <w:rPr>
                <w:color w:val="222222"/>
                <w:shd w:val="clear" w:color="auto" w:fill="FFFFFF"/>
              </w:rPr>
            </w:pPr>
            <w:r>
              <w:rPr>
                <w:rFonts w:hint="eastAsia"/>
                <w:color w:val="222222"/>
                <w:shd w:val="clear" w:color="auto" w:fill="FFFFFF"/>
              </w:rPr>
              <w:t>2020</w:t>
            </w:r>
          </w:p>
        </w:tc>
        <w:tc>
          <w:tcPr>
            <w:tcW w:w="969" w:type="dxa"/>
            <w:vAlign w:val="center"/>
          </w:tcPr>
          <w:p w:rsidR="001C4E26" w:rsidRDefault="00000000">
            <w:pPr>
              <w:pStyle w:val="a4"/>
              <w:spacing w:before="0" w:beforeAutospacing="0" w:after="0" w:afterAutospacing="0" w:line="360" w:lineRule="auto"/>
              <w:jc w:val="center"/>
              <w:textAlignment w:val="baseline"/>
              <w:rPr>
                <w:color w:val="222222"/>
                <w:shd w:val="clear" w:color="auto" w:fill="FFFFFF"/>
              </w:rPr>
            </w:pPr>
            <w:r>
              <w:rPr>
                <w:rFonts w:hint="eastAsia"/>
                <w:color w:val="222222"/>
                <w:shd w:val="clear" w:color="auto" w:fill="FFFFFF"/>
              </w:rPr>
              <w:t>2021</w:t>
            </w:r>
          </w:p>
        </w:tc>
        <w:tc>
          <w:tcPr>
            <w:tcW w:w="969" w:type="dxa"/>
            <w:vAlign w:val="center"/>
          </w:tcPr>
          <w:p w:rsidR="001C4E26" w:rsidRDefault="00000000">
            <w:pPr>
              <w:pStyle w:val="a4"/>
              <w:spacing w:before="0" w:beforeAutospacing="0" w:after="0" w:afterAutospacing="0" w:line="360" w:lineRule="auto"/>
              <w:jc w:val="center"/>
              <w:textAlignment w:val="baseline"/>
              <w:rPr>
                <w:color w:val="222222"/>
                <w:shd w:val="clear" w:color="auto" w:fill="FFFFFF"/>
              </w:rPr>
            </w:pPr>
            <w:r>
              <w:rPr>
                <w:rFonts w:hint="eastAsia"/>
                <w:color w:val="222222"/>
                <w:shd w:val="clear" w:color="auto" w:fill="FFFFFF"/>
              </w:rPr>
              <w:t>2022</w:t>
            </w:r>
          </w:p>
        </w:tc>
      </w:tr>
      <w:tr w:rsidR="001C4E26">
        <w:tc>
          <w:tcPr>
            <w:tcW w:w="968" w:type="dxa"/>
            <w:vAlign w:val="center"/>
          </w:tcPr>
          <w:p w:rsidR="001C4E26" w:rsidRDefault="00000000">
            <w:pPr>
              <w:pStyle w:val="a4"/>
              <w:spacing w:before="0" w:beforeAutospacing="0" w:after="0" w:afterAutospacing="0" w:line="360" w:lineRule="auto"/>
              <w:jc w:val="center"/>
              <w:textAlignment w:val="baseline"/>
              <w:rPr>
                <w:color w:val="222222"/>
                <w:shd w:val="clear" w:color="auto" w:fill="FFFFFF"/>
              </w:rPr>
            </w:pPr>
            <w:r>
              <w:rPr>
                <w:rFonts w:hint="eastAsia"/>
                <w:color w:val="222222"/>
                <w:shd w:val="clear" w:color="auto" w:fill="FFFFFF"/>
              </w:rPr>
              <w:t>SH值</w:t>
            </w:r>
          </w:p>
        </w:tc>
        <w:tc>
          <w:tcPr>
            <w:tcW w:w="969" w:type="dxa"/>
            <w:vAlign w:val="center"/>
          </w:tcPr>
          <w:p w:rsidR="001C4E26" w:rsidRDefault="00000000">
            <w:pPr>
              <w:pStyle w:val="a4"/>
              <w:spacing w:before="0" w:beforeAutospacing="0" w:after="0" w:afterAutospacing="0" w:line="360" w:lineRule="auto"/>
              <w:jc w:val="center"/>
              <w:textAlignment w:val="baseline"/>
              <w:rPr>
                <w:color w:val="222222"/>
                <w:shd w:val="clear" w:color="auto" w:fill="FFFFFF"/>
              </w:rPr>
            </w:pPr>
            <w:r>
              <w:rPr>
                <w:rFonts w:hint="eastAsia"/>
                <w:color w:val="222222"/>
                <w:shd w:val="clear" w:color="auto" w:fill="FFFFFF"/>
              </w:rPr>
              <w:t>237.3</w:t>
            </w:r>
          </w:p>
        </w:tc>
        <w:tc>
          <w:tcPr>
            <w:tcW w:w="969" w:type="dxa"/>
            <w:vAlign w:val="center"/>
          </w:tcPr>
          <w:p w:rsidR="001C4E26" w:rsidRDefault="00000000">
            <w:pPr>
              <w:pStyle w:val="a4"/>
              <w:spacing w:before="0" w:beforeAutospacing="0" w:after="0" w:afterAutospacing="0" w:line="360" w:lineRule="auto"/>
              <w:jc w:val="center"/>
              <w:textAlignment w:val="baseline"/>
              <w:rPr>
                <w:color w:val="222222"/>
                <w:shd w:val="clear" w:color="auto" w:fill="FFFFFF"/>
              </w:rPr>
            </w:pPr>
            <w:r>
              <w:rPr>
                <w:rFonts w:hint="eastAsia"/>
                <w:color w:val="222222"/>
                <w:shd w:val="clear" w:color="auto" w:fill="FFFFFF"/>
              </w:rPr>
              <w:t>240.1</w:t>
            </w:r>
          </w:p>
        </w:tc>
        <w:tc>
          <w:tcPr>
            <w:tcW w:w="969" w:type="dxa"/>
            <w:vAlign w:val="center"/>
          </w:tcPr>
          <w:p w:rsidR="001C4E26" w:rsidRDefault="00000000">
            <w:pPr>
              <w:pStyle w:val="a4"/>
              <w:spacing w:before="0" w:beforeAutospacing="0" w:after="0" w:afterAutospacing="0" w:line="360" w:lineRule="auto"/>
              <w:jc w:val="center"/>
              <w:textAlignment w:val="baseline"/>
              <w:rPr>
                <w:color w:val="222222"/>
                <w:shd w:val="clear" w:color="auto" w:fill="FFFFFF"/>
              </w:rPr>
            </w:pPr>
            <w:r>
              <w:rPr>
                <w:rFonts w:hint="eastAsia"/>
                <w:color w:val="222222"/>
                <w:shd w:val="clear" w:color="auto" w:fill="FFFFFF"/>
              </w:rPr>
              <w:t>241.9</w:t>
            </w:r>
          </w:p>
        </w:tc>
        <w:tc>
          <w:tcPr>
            <w:tcW w:w="969" w:type="dxa"/>
            <w:vAlign w:val="center"/>
          </w:tcPr>
          <w:p w:rsidR="001C4E26" w:rsidRDefault="00000000">
            <w:pPr>
              <w:pStyle w:val="a4"/>
              <w:spacing w:before="0" w:beforeAutospacing="0" w:after="0" w:afterAutospacing="0" w:line="360" w:lineRule="auto"/>
              <w:jc w:val="center"/>
              <w:textAlignment w:val="baseline"/>
              <w:rPr>
                <w:color w:val="222222"/>
                <w:shd w:val="clear" w:color="auto" w:fill="FFFFFF"/>
              </w:rPr>
            </w:pPr>
            <w:r>
              <w:rPr>
                <w:rFonts w:hint="eastAsia"/>
                <w:color w:val="222222"/>
                <w:shd w:val="clear" w:color="auto" w:fill="FFFFFF"/>
              </w:rPr>
              <w:t>243.9</w:t>
            </w:r>
          </w:p>
        </w:tc>
        <w:tc>
          <w:tcPr>
            <w:tcW w:w="969" w:type="dxa"/>
            <w:vAlign w:val="center"/>
          </w:tcPr>
          <w:p w:rsidR="001C4E26" w:rsidRDefault="00000000">
            <w:pPr>
              <w:pStyle w:val="a4"/>
              <w:spacing w:before="0" w:beforeAutospacing="0" w:after="0" w:afterAutospacing="0" w:line="360" w:lineRule="auto"/>
              <w:jc w:val="center"/>
              <w:textAlignment w:val="baseline"/>
              <w:rPr>
                <w:color w:val="222222"/>
                <w:shd w:val="clear" w:color="auto" w:fill="FFFFFF"/>
              </w:rPr>
            </w:pPr>
            <w:r>
              <w:rPr>
                <w:rFonts w:hint="eastAsia"/>
                <w:color w:val="222222"/>
                <w:shd w:val="clear" w:color="auto" w:fill="FFFFFF"/>
              </w:rPr>
              <w:t>245.5</w:t>
            </w:r>
          </w:p>
        </w:tc>
        <w:tc>
          <w:tcPr>
            <w:tcW w:w="969" w:type="dxa"/>
            <w:vAlign w:val="center"/>
          </w:tcPr>
          <w:p w:rsidR="001C4E26" w:rsidRDefault="00000000">
            <w:pPr>
              <w:pStyle w:val="a4"/>
              <w:spacing w:before="0" w:beforeAutospacing="0" w:after="0" w:afterAutospacing="0" w:line="360" w:lineRule="auto"/>
              <w:jc w:val="center"/>
              <w:textAlignment w:val="baseline"/>
              <w:rPr>
                <w:color w:val="222222"/>
                <w:shd w:val="clear" w:color="auto" w:fill="FFFFFF"/>
              </w:rPr>
            </w:pPr>
            <w:r>
              <w:rPr>
                <w:rFonts w:hint="eastAsia"/>
                <w:color w:val="222222"/>
                <w:shd w:val="clear" w:color="auto" w:fill="FFFFFF"/>
              </w:rPr>
              <w:t>246.1</w:t>
            </w:r>
          </w:p>
        </w:tc>
        <w:tc>
          <w:tcPr>
            <w:tcW w:w="969" w:type="dxa"/>
            <w:vAlign w:val="center"/>
          </w:tcPr>
          <w:p w:rsidR="001C4E26" w:rsidRDefault="00000000">
            <w:pPr>
              <w:pStyle w:val="a4"/>
              <w:spacing w:before="0" w:beforeAutospacing="0" w:after="0" w:afterAutospacing="0" w:line="360" w:lineRule="auto"/>
              <w:jc w:val="center"/>
              <w:textAlignment w:val="baseline"/>
              <w:rPr>
                <w:color w:val="222222"/>
                <w:shd w:val="clear" w:color="auto" w:fill="FFFFFF"/>
              </w:rPr>
            </w:pPr>
            <w:r>
              <w:rPr>
                <w:rFonts w:hint="eastAsia"/>
                <w:color w:val="222222"/>
                <w:shd w:val="clear" w:color="auto" w:fill="FFFFFF"/>
              </w:rPr>
              <w:t>245.5</w:t>
            </w:r>
          </w:p>
        </w:tc>
        <w:tc>
          <w:tcPr>
            <w:tcW w:w="969" w:type="dxa"/>
            <w:vAlign w:val="center"/>
          </w:tcPr>
          <w:p w:rsidR="001C4E26" w:rsidRDefault="00000000">
            <w:pPr>
              <w:pStyle w:val="a4"/>
              <w:spacing w:before="0" w:beforeAutospacing="0" w:after="0" w:afterAutospacing="0" w:line="360" w:lineRule="auto"/>
              <w:jc w:val="center"/>
              <w:textAlignment w:val="baseline"/>
              <w:rPr>
                <w:color w:val="222222"/>
                <w:shd w:val="clear" w:color="auto" w:fill="FFFFFF"/>
              </w:rPr>
            </w:pPr>
            <w:r>
              <w:rPr>
                <w:rFonts w:hint="eastAsia"/>
                <w:color w:val="222222"/>
                <w:shd w:val="clear" w:color="auto" w:fill="FFFFFF"/>
              </w:rPr>
              <w:t>245.6</w:t>
            </w:r>
          </w:p>
        </w:tc>
      </w:tr>
      <w:tr w:rsidR="001C4E26">
        <w:tc>
          <w:tcPr>
            <w:tcW w:w="968" w:type="dxa"/>
            <w:vAlign w:val="center"/>
          </w:tcPr>
          <w:p w:rsidR="001C4E26" w:rsidRDefault="00000000">
            <w:pPr>
              <w:pStyle w:val="a4"/>
              <w:spacing w:before="0" w:beforeAutospacing="0" w:after="0" w:afterAutospacing="0" w:line="360" w:lineRule="auto"/>
              <w:jc w:val="center"/>
              <w:textAlignment w:val="baseline"/>
              <w:rPr>
                <w:color w:val="222222"/>
                <w:shd w:val="clear" w:color="auto" w:fill="FFFFFF"/>
              </w:rPr>
            </w:pPr>
            <w:r>
              <w:rPr>
                <w:rFonts w:hint="eastAsia"/>
                <w:color w:val="222222"/>
                <w:shd w:val="clear" w:color="auto" w:fill="FFFFFF"/>
              </w:rPr>
              <w:t>净增长</w:t>
            </w:r>
          </w:p>
        </w:tc>
        <w:tc>
          <w:tcPr>
            <w:tcW w:w="969" w:type="dxa"/>
            <w:vAlign w:val="center"/>
          </w:tcPr>
          <w:p w:rsidR="001C4E26" w:rsidRDefault="001C4E26">
            <w:pPr>
              <w:pStyle w:val="a4"/>
              <w:spacing w:before="0" w:beforeAutospacing="0" w:after="0" w:afterAutospacing="0" w:line="360" w:lineRule="auto"/>
              <w:jc w:val="center"/>
              <w:textAlignment w:val="baseline"/>
              <w:rPr>
                <w:color w:val="222222"/>
                <w:shd w:val="clear" w:color="auto" w:fill="FFFFFF"/>
              </w:rPr>
            </w:pPr>
          </w:p>
        </w:tc>
        <w:tc>
          <w:tcPr>
            <w:tcW w:w="969" w:type="dxa"/>
            <w:vAlign w:val="center"/>
          </w:tcPr>
          <w:p w:rsidR="001C4E26" w:rsidRDefault="00000000">
            <w:pPr>
              <w:pStyle w:val="a4"/>
              <w:spacing w:before="0" w:beforeAutospacing="0" w:after="0" w:afterAutospacing="0" w:line="360" w:lineRule="auto"/>
              <w:jc w:val="center"/>
              <w:textAlignment w:val="baseline"/>
              <w:rPr>
                <w:color w:val="222222"/>
                <w:shd w:val="clear" w:color="auto" w:fill="FFFFFF"/>
              </w:rPr>
            </w:pPr>
            <w:r>
              <w:rPr>
                <w:rFonts w:hint="eastAsia"/>
                <w:color w:val="222222"/>
                <w:shd w:val="clear" w:color="auto" w:fill="FFFFFF"/>
              </w:rPr>
              <w:t>2.8</w:t>
            </w:r>
          </w:p>
        </w:tc>
        <w:tc>
          <w:tcPr>
            <w:tcW w:w="969" w:type="dxa"/>
            <w:vAlign w:val="center"/>
          </w:tcPr>
          <w:p w:rsidR="001C4E26" w:rsidRDefault="00000000">
            <w:pPr>
              <w:pStyle w:val="a4"/>
              <w:spacing w:before="0" w:beforeAutospacing="0" w:after="0" w:afterAutospacing="0" w:line="360" w:lineRule="auto"/>
              <w:jc w:val="center"/>
              <w:textAlignment w:val="baseline"/>
              <w:rPr>
                <w:color w:val="222222"/>
                <w:shd w:val="clear" w:color="auto" w:fill="FFFFFF"/>
              </w:rPr>
            </w:pPr>
            <w:r>
              <w:rPr>
                <w:rFonts w:hint="eastAsia"/>
                <w:color w:val="222222"/>
                <w:shd w:val="clear" w:color="auto" w:fill="FFFFFF"/>
              </w:rPr>
              <w:t>0.8</w:t>
            </w:r>
          </w:p>
        </w:tc>
        <w:tc>
          <w:tcPr>
            <w:tcW w:w="969" w:type="dxa"/>
            <w:vAlign w:val="center"/>
          </w:tcPr>
          <w:p w:rsidR="001C4E26" w:rsidRDefault="00000000">
            <w:pPr>
              <w:pStyle w:val="a4"/>
              <w:spacing w:before="0" w:beforeAutospacing="0" w:after="0" w:afterAutospacing="0" w:line="360" w:lineRule="auto"/>
              <w:jc w:val="center"/>
              <w:textAlignment w:val="baseline"/>
              <w:rPr>
                <w:color w:val="222222"/>
                <w:shd w:val="clear" w:color="auto" w:fill="FFFFFF"/>
              </w:rPr>
            </w:pPr>
            <w:r>
              <w:rPr>
                <w:rFonts w:hint="eastAsia"/>
                <w:color w:val="222222"/>
                <w:shd w:val="clear" w:color="auto" w:fill="FFFFFF"/>
              </w:rPr>
              <w:t>2</w:t>
            </w:r>
          </w:p>
        </w:tc>
        <w:tc>
          <w:tcPr>
            <w:tcW w:w="969" w:type="dxa"/>
            <w:vAlign w:val="center"/>
          </w:tcPr>
          <w:p w:rsidR="001C4E26" w:rsidRDefault="00000000">
            <w:pPr>
              <w:pStyle w:val="a4"/>
              <w:spacing w:before="0" w:beforeAutospacing="0" w:after="0" w:afterAutospacing="0" w:line="360" w:lineRule="auto"/>
              <w:jc w:val="center"/>
              <w:textAlignment w:val="baseline"/>
              <w:rPr>
                <w:color w:val="222222"/>
                <w:shd w:val="clear" w:color="auto" w:fill="FFFFFF"/>
              </w:rPr>
            </w:pPr>
            <w:r>
              <w:rPr>
                <w:rFonts w:hint="eastAsia"/>
                <w:color w:val="222222"/>
                <w:shd w:val="clear" w:color="auto" w:fill="FFFFFF"/>
              </w:rPr>
              <w:t>1.6</w:t>
            </w:r>
          </w:p>
        </w:tc>
        <w:tc>
          <w:tcPr>
            <w:tcW w:w="969" w:type="dxa"/>
            <w:vAlign w:val="center"/>
          </w:tcPr>
          <w:p w:rsidR="001C4E26" w:rsidRDefault="00000000">
            <w:pPr>
              <w:pStyle w:val="a4"/>
              <w:spacing w:before="0" w:beforeAutospacing="0" w:after="0" w:afterAutospacing="0" w:line="360" w:lineRule="auto"/>
              <w:jc w:val="center"/>
              <w:textAlignment w:val="baseline"/>
              <w:rPr>
                <w:color w:val="222222"/>
                <w:shd w:val="clear" w:color="auto" w:fill="FFFFFF"/>
              </w:rPr>
            </w:pPr>
            <w:r>
              <w:rPr>
                <w:rFonts w:hint="eastAsia"/>
                <w:color w:val="222222"/>
                <w:shd w:val="clear" w:color="auto" w:fill="FFFFFF"/>
              </w:rPr>
              <w:t>0.6</w:t>
            </w:r>
          </w:p>
        </w:tc>
        <w:tc>
          <w:tcPr>
            <w:tcW w:w="969" w:type="dxa"/>
            <w:vAlign w:val="center"/>
          </w:tcPr>
          <w:p w:rsidR="001C4E26" w:rsidRDefault="00000000">
            <w:pPr>
              <w:pStyle w:val="a4"/>
              <w:spacing w:before="0" w:beforeAutospacing="0" w:after="0" w:afterAutospacing="0" w:line="360" w:lineRule="auto"/>
              <w:jc w:val="center"/>
              <w:textAlignment w:val="baseline"/>
              <w:rPr>
                <w:color w:val="222222"/>
                <w:shd w:val="clear" w:color="auto" w:fill="FFFFFF"/>
              </w:rPr>
            </w:pPr>
            <w:r>
              <w:rPr>
                <w:rFonts w:hint="eastAsia"/>
                <w:color w:val="222222"/>
                <w:shd w:val="clear" w:color="auto" w:fill="FFFFFF"/>
              </w:rPr>
              <w:t>-0.6</w:t>
            </w:r>
          </w:p>
        </w:tc>
        <w:tc>
          <w:tcPr>
            <w:tcW w:w="969" w:type="dxa"/>
            <w:vAlign w:val="center"/>
          </w:tcPr>
          <w:p w:rsidR="001C4E26" w:rsidRDefault="00000000">
            <w:pPr>
              <w:pStyle w:val="a4"/>
              <w:spacing w:before="0" w:beforeAutospacing="0" w:after="0" w:afterAutospacing="0" w:line="360" w:lineRule="auto"/>
              <w:jc w:val="center"/>
              <w:textAlignment w:val="baseline"/>
              <w:rPr>
                <w:color w:val="222222"/>
                <w:shd w:val="clear" w:color="auto" w:fill="FFFFFF"/>
              </w:rPr>
            </w:pPr>
            <w:r>
              <w:rPr>
                <w:rFonts w:hint="eastAsia"/>
                <w:color w:val="222222"/>
                <w:shd w:val="clear" w:color="auto" w:fill="FFFFFF"/>
              </w:rPr>
              <w:t>0.1</w:t>
            </w:r>
          </w:p>
        </w:tc>
      </w:tr>
    </w:tbl>
    <w:p w:rsidR="001C4E26" w:rsidRDefault="00000000">
      <w:pPr>
        <w:pStyle w:val="a4"/>
        <w:shd w:val="clear" w:color="auto" w:fill="FFFFFF"/>
        <w:spacing w:before="0" w:beforeAutospacing="0" w:after="0" w:afterAutospacing="0" w:line="360" w:lineRule="auto"/>
        <w:textAlignment w:val="baseline"/>
      </w:pPr>
      <w:r>
        <w:rPr>
          <w:rFonts w:hint="eastAsia"/>
        </w:rPr>
        <w:t>数据来源：</w:t>
      </w:r>
      <w:proofErr w:type="gramStart"/>
      <w:r>
        <w:rPr>
          <w:rFonts w:hint="eastAsia"/>
        </w:rPr>
        <w:t>依计算</w:t>
      </w:r>
      <w:proofErr w:type="gramEnd"/>
      <w:r>
        <w:rPr>
          <w:rFonts w:hint="eastAsia"/>
        </w:rPr>
        <w:t>结果整理得出</w:t>
      </w:r>
    </w:p>
    <w:p w:rsidR="001C4E26" w:rsidRDefault="001C4E26">
      <w:pPr>
        <w:rPr>
          <w:sz w:val="24"/>
        </w:rPr>
      </w:pPr>
    </w:p>
    <w:p w:rsidR="001C4E26" w:rsidRDefault="001C4E26"/>
    <w:sectPr w:rsidR="001C4E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51C6E" w:rsidRDefault="00651C6E" w:rsidP="00DA1B64">
      <w:r>
        <w:separator/>
      </w:r>
    </w:p>
  </w:endnote>
  <w:endnote w:type="continuationSeparator" w:id="0">
    <w:p w:rsidR="00651C6E" w:rsidRDefault="00651C6E" w:rsidP="00DA1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51C6E" w:rsidRDefault="00651C6E" w:rsidP="00DA1B64">
      <w:r>
        <w:separator/>
      </w:r>
    </w:p>
  </w:footnote>
  <w:footnote w:type="continuationSeparator" w:id="0">
    <w:p w:rsidR="00651C6E" w:rsidRDefault="00651C6E" w:rsidP="00DA1B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BA6ABC8"/>
    <w:multiLevelType w:val="singleLevel"/>
    <w:tmpl w:val="DBA6ABC8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 w16cid:durableId="886601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WY0MDQ2Yzk3NGVjZTM5NmE5ZWQ2YWUyODFkODdiZWQifQ=="/>
  </w:docVars>
  <w:rsids>
    <w:rsidRoot w:val="001C4E26"/>
    <w:rsid w:val="001C4E26"/>
    <w:rsid w:val="00651C6E"/>
    <w:rsid w:val="009925CA"/>
    <w:rsid w:val="00DA1B64"/>
    <w:rsid w:val="04DF7CBF"/>
    <w:rsid w:val="128E555F"/>
    <w:rsid w:val="2DAC5343"/>
    <w:rsid w:val="4DA4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A0C741"/>
  <w15:docId w15:val="{3F5534EA-12EA-46D4-9C65-3E58BFF17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uiPriority="35" w:unhideWhenUsed="1" w:qFormat="1"/>
    <w:lsdException w:name="annotation reference" w:semiHidden="1" w:uiPriority="99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="Arial" w:eastAsia="黑体" w:hAnsi="Arial"/>
      <w:b/>
      <w:sz w:val="24"/>
    </w:rPr>
  </w:style>
  <w:style w:type="paragraph" w:styleId="a4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</w:pPr>
    <w:rPr>
      <w:rFonts w:ascii="宋体" w:hAnsi="宋体" w:cs="宋体"/>
      <w:kern w:val="0"/>
      <w:sz w:val="24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qFormat/>
    <w:rPr>
      <w:sz w:val="21"/>
      <w:szCs w:val="21"/>
    </w:rPr>
  </w:style>
  <w:style w:type="paragraph" w:styleId="a7">
    <w:name w:val="header"/>
    <w:basedOn w:val="a"/>
    <w:link w:val="a8"/>
    <w:rsid w:val="00DA1B6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DA1B6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rsid w:val="00DA1B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DA1B6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正 骑</cp:lastModifiedBy>
  <cp:revision>2</cp:revision>
  <dcterms:created xsi:type="dcterms:W3CDTF">2023-06-11T13:41:00Z</dcterms:created>
  <dcterms:modified xsi:type="dcterms:W3CDTF">2023-06-13T04:18:00Z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B0D1E13D9A754216865410D21F61E923_12</vt:lpwstr>
  </property>
</Properties>
</file>