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3B8" w:rsidRDefault="00000000">
      <w:pPr>
        <w:pStyle w:val="a3"/>
        <w:jc w:val="lef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．描述性分析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928"/>
        <w:gridCol w:w="927"/>
        <w:gridCol w:w="749"/>
        <w:gridCol w:w="838"/>
        <w:gridCol w:w="749"/>
        <w:gridCol w:w="838"/>
        <w:gridCol w:w="749"/>
      </w:tblGrid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bookmarkStart w:id="0" w:name="_Hlk137549547"/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mean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std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min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25%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50%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75%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max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年份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2016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3.316625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2011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2013.5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2016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2018.5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2021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GDP（万亿）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6.000909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1.386481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3.91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4.905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6.3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6.965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8.29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省电信业务总量（亿元）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2256.909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2268.847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727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904.5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1066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2579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7198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软件业务总量（亿元）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4085.545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1903.18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1522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2676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4233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5221.5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7767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电子商务销售额（万亿）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0.946364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0.551748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0.21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0.455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0.99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1.385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1.71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快递量（万万件）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17.72364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17.89605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1.84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3.805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12.05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25.38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55.87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快递业务收入（亿元）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176.3191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141.5074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33.57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60.755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138.98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258.375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449.61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互联网接入端口数量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4607.727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2033.069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1756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2743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4680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6534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7037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移动电话普及率：每一百人拥有的电话数量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93.57909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14.78001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65.37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87.05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96.5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106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110.6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移动互联网接入流量（万万GB）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30.52182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43.27768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0.71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0.99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3.99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51.535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125.7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固定电话数量（万个）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1307.909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366.3295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883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1058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1188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1562.5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1896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光缆线路长度（</w:t>
            </w:r>
            <w:proofErr w:type="gramStart"/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万公里</w:t>
            </w:r>
            <w:proofErr w:type="gramEnd"/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）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166.7691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82.89671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53.03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90.47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176.66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237.5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274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网站数（万万</w:t>
            </w:r>
            <w:proofErr w:type="gramStart"/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个</w:t>
            </w:r>
            <w:proofErr w:type="gramEnd"/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49.10818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13.18284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25.47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41.785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52.58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59.16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64.52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山东省城市化率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58.05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4.473444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50.91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54.615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59.02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61.345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63.94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财政支出（万亿）占GDP比重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0.229027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0.295406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0.121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0.1295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0.1411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0.1528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1.119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省人均</w:t>
            </w:r>
            <w:proofErr w:type="spellStart"/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gdp</w:t>
            </w:r>
            <w:proofErr w:type="spellEnd"/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6.068182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1.092912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4.72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5.215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5.92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6.81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8.15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高等教育在校生数量（人力资本水平）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257.68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43.3924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216.56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220.335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248.24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271.74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348.51</w:t>
            </w:r>
          </w:p>
        </w:tc>
      </w:tr>
      <w:tr w:rsidR="003D4CFB" w:rsidRPr="003D4CFB" w:rsidTr="003D4CFB">
        <w:trPr>
          <w:trHeight w:val="288"/>
        </w:trPr>
        <w:tc>
          <w:tcPr>
            <w:tcW w:w="3322" w:type="dxa"/>
            <w:noWrap/>
            <w:hideMark/>
          </w:tcPr>
          <w:p w:rsidR="003D4CFB" w:rsidRPr="003D4CFB" w:rsidRDefault="003D4CFB" w:rsidP="003D4CFB">
            <w:pPr>
              <w:ind w:left="241" w:hangingChars="100" w:hanging="241"/>
              <w:rPr>
                <w:rFonts w:ascii="宋体" w:eastAsia="宋体" w:hAnsi="宋体" w:cs="宋体"/>
                <w:b/>
                <w:bCs/>
                <w:sz w:val="24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sz w:val="24"/>
              </w:rPr>
              <w:t>高级化SH指标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246.3636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18.99349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231.1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236.25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241.9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246.5</w:t>
            </w:r>
          </w:p>
        </w:tc>
        <w:tc>
          <w:tcPr>
            <w:tcW w:w="759" w:type="dxa"/>
            <w:noWrap/>
            <w:hideMark/>
          </w:tcPr>
          <w:p w:rsidR="003D4CFB" w:rsidRPr="003D4CFB" w:rsidRDefault="003D4CFB" w:rsidP="003D4CFB">
            <w:pPr>
              <w:ind w:left="240" w:hangingChars="100" w:hanging="240"/>
              <w:rPr>
                <w:rFonts w:ascii="宋体" w:eastAsia="宋体" w:hAnsi="宋体" w:cs="宋体"/>
                <w:sz w:val="24"/>
              </w:rPr>
            </w:pPr>
            <w:r w:rsidRPr="003D4CFB">
              <w:rPr>
                <w:rFonts w:ascii="宋体" w:eastAsia="宋体" w:hAnsi="宋体" w:cs="宋体" w:hint="eastAsia"/>
                <w:sz w:val="24"/>
              </w:rPr>
              <w:t>299.3</w:t>
            </w:r>
          </w:p>
        </w:tc>
      </w:tr>
      <w:bookmarkEnd w:id="0"/>
    </w:tbl>
    <w:p w:rsidR="007D23B8" w:rsidRDefault="007D23B8">
      <w:pPr>
        <w:ind w:left="240" w:hangingChars="100" w:hanging="240"/>
        <w:rPr>
          <w:rFonts w:ascii="宋体" w:eastAsia="宋体" w:hAnsi="宋体" w:cs="宋体"/>
          <w:sz w:val="24"/>
        </w:rPr>
      </w:pPr>
    </w:p>
    <w:p w:rsidR="0032106E" w:rsidRDefault="0032106E">
      <w:pPr>
        <w:ind w:left="240" w:hangingChars="100" w:hanging="240"/>
        <w:rPr>
          <w:rFonts w:ascii="宋体" w:eastAsia="宋体" w:hAnsi="宋体" w:cs="宋体"/>
          <w:sz w:val="24"/>
        </w:rPr>
      </w:pPr>
    </w:p>
    <w:p w:rsidR="0032106E" w:rsidRDefault="0032106E">
      <w:pPr>
        <w:ind w:left="240" w:hangingChars="100" w:hanging="240"/>
        <w:rPr>
          <w:rFonts w:ascii="宋体" w:eastAsia="宋体" w:hAnsi="宋体" w:cs="宋体"/>
          <w:sz w:val="24"/>
        </w:rPr>
      </w:pPr>
    </w:p>
    <w:p w:rsidR="0032106E" w:rsidRDefault="0032106E">
      <w:pPr>
        <w:ind w:left="240" w:hangingChars="100" w:hanging="240"/>
        <w:rPr>
          <w:rFonts w:ascii="宋体" w:eastAsia="宋体" w:hAnsi="宋体" w:cs="宋体"/>
          <w:sz w:val="24"/>
        </w:rPr>
      </w:pPr>
    </w:p>
    <w:p w:rsidR="007D23B8" w:rsidRDefault="003D4CFB">
      <w:pPr>
        <w:numPr>
          <w:ilvl w:val="0"/>
          <w:numId w:val="1"/>
        </w:numPr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lastRenderedPageBreak/>
        <w:t>平稳性检验</w:t>
      </w:r>
    </w:p>
    <w:tbl>
      <w:tblPr>
        <w:tblW w:w="7547" w:type="dxa"/>
        <w:tblLook w:val="04A0" w:firstRow="1" w:lastRow="0" w:firstColumn="1" w:lastColumn="0" w:noHBand="0" w:noVBand="1"/>
      </w:tblPr>
      <w:tblGrid>
        <w:gridCol w:w="4227"/>
        <w:gridCol w:w="2360"/>
        <w:gridCol w:w="1096"/>
      </w:tblGrid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ADF Statistic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p-value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年份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0.001654869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0.958669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GDP（万亿）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-0.33650489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0.920173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省电信业务总量（亿元）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-2.905131099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0.044755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软件业务总量（亿元）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1.219056995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0.996115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电子商务销售额（万亿）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1.135810957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0.995511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快递量（万万件）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2.983133859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快递业务收入（亿元）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2.276114064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0.99894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互联网接入端口数量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-0.851717677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0.803457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移动电话普及率：每一百人拥有的电话数量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-2.877851845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0.047985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移动互联网接入流量（万万GB）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2.097931091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0.998787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固定电话数量（万个）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-5.892637404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2.9E-07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光缆线路长度（</w:t>
            </w:r>
            <w:proofErr w:type="gramStart"/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万公里</w:t>
            </w:r>
            <w:proofErr w:type="gramEnd"/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）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-0.488040542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0.894329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网站数（万万</w:t>
            </w:r>
            <w:proofErr w:type="gramStart"/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个</w:t>
            </w:r>
            <w:proofErr w:type="gram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1.037175436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0.994643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山东省城市化率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-1.20217875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0.672658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财政支出（万亿）占GDP比重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-84.15640108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省人均</w:t>
            </w:r>
            <w:proofErr w:type="spellStart"/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gdp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3.159076829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高等教育在校生数量（人力资本水平）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1.850420809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0.998444</w:t>
            </w:r>
          </w:p>
        </w:tc>
      </w:tr>
      <w:tr w:rsidR="003D4CFB" w:rsidRPr="003D4CFB" w:rsidTr="003D4CFB">
        <w:trPr>
          <w:trHeight w:val="288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CFB" w:rsidRPr="003D4CFB" w:rsidRDefault="003D4CFB" w:rsidP="003D4CF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高级化SH指标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-1.313426745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CFB" w:rsidRPr="003D4CFB" w:rsidRDefault="003D4CFB" w:rsidP="003D4CF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D4CF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0.623007</w:t>
            </w:r>
          </w:p>
        </w:tc>
      </w:tr>
    </w:tbl>
    <w:p w:rsidR="003D4CFB" w:rsidRDefault="003D4CFB" w:rsidP="003D4CFB">
      <w:pPr>
        <w:rPr>
          <w:rFonts w:ascii="黑体" w:eastAsia="黑体" w:hAnsi="黑体" w:cs="黑体"/>
          <w:sz w:val="36"/>
          <w:szCs w:val="36"/>
        </w:rPr>
      </w:pPr>
    </w:p>
    <w:p w:rsidR="0032106E" w:rsidRDefault="003C1EFC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 w:rsidRPr="003C1EFC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ADF检验用于判断一个时间序列数据是否具有单位根，即是否是非平稳的。如果p值小于设定的显著性水平（通常是0.05），则可以拒绝原假设，即该时间序列是平稳的。</w:t>
      </w:r>
    </w:p>
    <w:p w:rsidR="00D54E5F" w:rsidRPr="00D54E5F" w:rsidRDefault="00D54E5F" w:rsidP="00D54E5F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 w:rsidRPr="00D54E5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根据给出的ADF检验结果，以下指标在给定的显著性水平下（通常为0.05）可以被认为是平稳的：</w:t>
      </w:r>
    </w:p>
    <w:p w:rsidR="00D54E5F" w:rsidRPr="00D54E5F" w:rsidRDefault="00D54E5F" w:rsidP="00D54E5F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 w:rsidRPr="00D54E5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省电信业务总量（亿元）</w:t>
      </w:r>
    </w:p>
    <w:p w:rsidR="00D54E5F" w:rsidRPr="00D54E5F" w:rsidRDefault="00D54E5F" w:rsidP="00D54E5F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 w:rsidRPr="00D54E5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移动电话普及率：每一百人拥有的电话数量</w:t>
      </w:r>
    </w:p>
    <w:p w:rsidR="00D54E5F" w:rsidRPr="00D54E5F" w:rsidRDefault="00D54E5F" w:rsidP="00D54E5F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 w:rsidRPr="00D54E5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固定电话数量（万个）</w:t>
      </w:r>
    </w:p>
    <w:p w:rsidR="00D54E5F" w:rsidRPr="00D54E5F" w:rsidRDefault="00D54E5F" w:rsidP="00D54E5F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 w:rsidRPr="00D54E5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财政支出（万亿）占GDP比重</w:t>
      </w:r>
    </w:p>
    <w:p w:rsidR="0032106E" w:rsidRDefault="00D54E5F" w:rsidP="00D54E5F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 w:rsidRPr="00D54E5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这些指标的ADF检验的p值小于显著性水平，可以拒绝单位根假设，说明它们的时间序列数据是平稳的。</w:t>
      </w:r>
    </w:p>
    <w:p w:rsidR="00567086" w:rsidRDefault="00567086" w:rsidP="00567086">
      <w:pPr>
        <w:rPr>
          <w:rFonts w:ascii="黑体" w:eastAsia="黑体" w:hAnsi="黑体" w:cs="黑体"/>
          <w:sz w:val="36"/>
          <w:szCs w:val="36"/>
        </w:rPr>
      </w:pPr>
    </w:p>
    <w:p w:rsidR="00567086" w:rsidRDefault="00567086">
      <w:pPr>
        <w:numPr>
          <w:ilvl w:val="0"/>
          <w:numId w:val="1"/>
        </w:numPr>
        <w:rPr>
          <w:rFonts w:ascii="黑体" w:eastAsia="黑体" w:hAnsi="黑体" w:cs="黑体"/>
          <w:color w:val="000000"/>
          <w:kern w:val="0"/>
          <w:sz w:val="36"/>
          <w:szCs w:val="36"/>
          <w:lang w:bidi="ar"/>
        </w:rPr>
      </w:pPr>
      <w:r w:rsidRPr="00567086">
        <w:rPr>
          <w:rFonts w:ascii="黑体" w:eastAsia="黑体" w:hAnsi="黑体" w:cs="黑体" w:hint="eastAsia"/>
          <w:color w:val="000000"/>
          <w:kern w:val="0"/>
          <w:sz w:val="36"/>
          <w:szCs w:val="36"/>
          <w:lang w:bidi="ar"/>
        </w:rPr>
        <w:t>共线性检验</w:t>
      </w:r>
    </w:p>
    <w:p w:rsidR="003C1EFC" w:rsidRPr="003C1EFC" w:rsidRDefault="003C1EFC" w:rsidP="003C1EFC">
      <w:pPr>
        <w:pStyle w:val="a4"/>
        <w:ind w:left="420" w:firstLineChars="0" w:firstLine="0"/>
        <w:jc w:val="left"/>
        <w:rPr>
          <w:rFonts w:ascii="宋体" w:eastAsia="宋体" w:hAnsi="宋体" w:cs="宋体"/>
          <w:sz w:val="24"/>
        </w:rPr>
      </w:pPr>
    </w:p>
    <w:p w:rsidR="003C1EFC" w:rsidRPr="003C1EFC" w:rsidRDefault="003C1EFC" w:rsidP="003C1EFC">
      <w:pPr>
        <w:jc w:val="left"/>
        <w:rPr>
          <w:rFonts w:ascii="宋体" w:eastAsia="宋体" w:hAnsi="宋体" w:cs="宋体"/>
          <w:sz w:val="24"/>
        </w:rPr>
      </w:pPr>
      <w:r w:rsidRPr="003C1EFC">
        <w:rPr>
          <w:rFonts w:ascii="宋体" w:eastAsia="宋体" w:hAnsi="宋体" w:cs="宋体" w:hint="eastAsia"/>
          <w:sz w:val="24"/>
        </w:rPr>
        <w:t>相关分析是一种统计方法，用于衡量两个变量之间的关系强度和方向。在相关分析中，我们主要关注两个变量是如何随着一个变量的变化而变化的。相关分析通常用相关系数（correlation coefficient）来表示变量之间的关系，相关系数的取值范围在 -1 和 1 之间。绝对值越趋近于1，相关性越大</w:t>
      </w:r>
    </w:p>
    <w:p w:rsidR="003C1EFC" w:rsidRPr="003C1EFC" w:rsidRDefault="003C1EFC" w:rsidP="003C1EFC">
      <w:pPr>
        <w:jc w:val="left"/>
        <w:rPr>
          <w:rFonts w:ascii="宋体" w:eastAsia="宋体" w:hAnsi="宋体" w:cs="宋体"/>
          <w:sz w:val="24"/>
        </w:rPr>
      </w:pPr>
    </w:p>
    <w:p w:rsidR="003C1EFC" w:rsidRDefault="003C1EFC" w:rsidP="003C1EFC">
      <w:pPr>
        <w:pStyle w:val="a3"/>
        <w:numPr>
          <w:ilvl w:val="0"/>
          <w:numId w:val="1"/>
        </w:numPr>
        <w:jc w:val="center"/>
      </w:pPr>
      <w:r>
        <w:lastRenderedPageBreak/>
        <w:t>表</w:t>
      </w:r>
      <w:r>
        <w:t xml:space="preserve"> </w:t>
      </w:r>
      <w:r>
        <w:rPr>
          <w:rFonts w:hint="eastAsia"/>
        </w:rPr>
        <w:t>13</w:t>
      </w:r>
      <w:r>
        <w:rPr>
          <w:rFonts w:hint="eastAsia"/>
        </w:rPr>
        <w:t>皮尔森相关系数</w:t>
      </w:r>
    </w:p>
    <w:p w:rsidR="003C1EFC" w:rsidRPr="003C1EFC" w:rsidRDefault="003C1EFC" w:rsidP="003C1EF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3C1EFC" w:rsidRPr="003C1EFC" w:rsidRDefault="003C1EFC" w:rsidP="003C1EF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tbl>
      <w:tblPr>
        <w:tblW w:w="26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55"/>
      </w:tblGrid>
      <w:tr w:rsidR="003C1EFC" w:rsidRPr="00585990" w:rsidTr="002C7933">
        <w:trPr>
          <w:cantSplit/>
        </w:trPr>
        <w:tc>
          <w:tcPr>
            <w:tcW w:w="26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C1EFC" w:rsidRPr="00585990" w:rsidRDefault="003C1EFC" w:rsidP="002C79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  <w:szCs w:val="22"/>
              </w:rPr>
            </w:pPr>
            <w:r w:rsidRPr="0058599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  <w:szCs w:val="22"/>
              </w:rPr>
              <w:t>相关性</w:t>
            </w:r>
          </w:p>
        </w:tc>
      </w:tr>
    </w:tbl>
    <w:p w:rsidR="00567086" w:rsidRDefault="003C1EFC" w:rsidP="003C1EFC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3C1EFC">
        <w:rPr>
          <w:rFonts w:ascii="Times New Roman" w:eastAsia="宋体" w:hAnsi="Times New Roman" w:cs="Times New Roman" w:hint="eastAsia"/>
          <w:kern w:val="0"/>
          <w:sz w:val="24"/>
        </w:rPr>
        <w:t>GDP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与省电信业务总量、软件业务总量、电子商务销售额、快递量、快递业务收入、互联网接入端口数量、移动电话普及率、移动互联网接入流量、光缆线路长度、网站数、山东省城市化率、财政支出占</w:t>
      </w:r>
      <w:proofErr w:type="spellStart"/>
      <w:r w:rsidRPr="003C1EFC">
        <w:rPr>
          <w:rFonts w:ascii="Times New Roman" w:eastAsia="宋体" w:hAnsi="Times New Roman" w:cs="Times New Roman" w:hint="eastAsia"/>
          <w:kern w:val="0"/>
          <w:sz w:val="24"/>
        </w:rPr>
        <w:t>GDP</w:t>
      </w:r>
      <w:proofErr w:type="spellEnd"/>
      <w:r w:rsidRPr="003C1EFC">
        <w:rPr>
          <w:rFonts w:ascii="Times New Roman" w:eastAsia="宋体" w:hAnsi="Times New Roman" w:cs="Times New Roman" w:hint="eastAsia"/>
          <w:kern w:val="0"/>
          <w:sz w:val="24"/>
        </w:rPr>
        <w:t>比重、省人均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GDP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和高等教育在校生数量之间存在较强的正相关关系。具体来说，这些变量与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GDP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之间的相关系数大多在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0.8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以上，其中与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GDP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的相关性最高的是软件业务总量（相关系数为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0.977</w:t>
      </w:r>
      <w:r w:rsidRPr="003C1EFC">
        <w:rPr>
          <w:rFonts w:ascii="Times New Roman" w:eastAsia="宋体" w:hAnsi="Times New Roman" w:cs="Times New Roman" w:hint="eastAsia"/>
          <w:kern w:val="0"/>
          <w:sz w:val="24"/>
        </w:rPr>
        <w:t>）。与</w:t>
      </w:r>
      <w:proofErr w:type="gramStart"/>
      <w:r w:rsidRPr="003C1EFC">
        <w:rPr>
          <w:rFonts w:ascii="Times New Roman" w:eastAsia="宋体" w:hAnsi="Times New Roman" w:cs="Times New Roman" w:hint="eastAsia"/>
          <w:kern w:val="0"/>
          <w:sz w:val="24"/>
        </w:rPr>
        <w:t>此来看</w:t>
      </w:r>
      <w:proofErr w:type="gramEnd"/>
      <w:r w:rsidRPr="003C1EFC">
        <w:rPr>
          <w:rFonts w:ascii="Times New Roman" w:eastAsia="宋体" w:hAnsi="Times New Roman" w:cs="Times New Roman" w:hint="eastAsia"/>
          <w:kern w:val="0"/>
          <w:sz w:val="24"/>
        </w:rPr>
        <w:t>需要在进行回归分析之前进行剔除共线性太高的组合。</w:t>
      </w:r>
    </w:p>
    <w:p w:rsidR="00D54E5F" w:rsidRDefault="00D54E5F" w:rsidP="003C1EFC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D54E5F" w:rsidRDefault="00D54E5F" w:rsidP="003C1EFC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D54E5F" w:rsidRDefault="00D54E5F" w:rsidP="003C1EFC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tbl>
      <w:tblPr>
        <w:tblW w:w="89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491"/>
        <w:gridCol w:w="477"/>
        <w:gridCol w:w="477"/>
        <w:gridCol w:w="66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D54E5F" w:rsidTr="00FB64B9">
        <w:trPr>
          <w:cantSplit/>
        </w:trPr>
        <w:tc>
          <w:tcPr>
            <w:tcW w:w="894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4E5F" w:rsidRDefault="00D54E5F" w:rsidP="002C793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10205"/>
                <w:sz w:val="22"/>
                <w:szCs w:val="22"/>
              </w:rPr>
              <w:t>共线性诊断</w:t>
            </w:r>
          </w:p>
        </w:tc>
      </w:tr>
      <w:tr w:rsidR="00D54E5F" w:rsidTr="00FB64B9">
        <w:trPr>
          <w:cantSplit/>
        </w:trPr>
        <w:tc>
          <w:tcPr>
            <w:tcW w:w="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模型</w:t>
            </w:r>
          </w:p>
        </w:tc>
        <w:tc>
          <w:tcPr>
            <w:tcW w:w="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维</w:t>
            </w:r>
          </w:p>
        </w:tc>
        <w:tc>
          <w:tcPr>
            <w:tcW w:w="49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4E5F" w:rsidRDefault="00D54E5F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特征值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4E5F" w:rsidRDefault="00D54E5F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条件指标</w:t>
            </w:r>
          </w:p>
        </w:tc>
        <w:tc>
          <w:tcPr>
            <w:tcW w:w="2508" w:type="dxa"/>
            <w:gridSpan w:val="4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54E5F" w:rsidRDefault="00D54E5F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方差比例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4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4E5F" w:rsidRDefault="00D54E5F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(</w:t>
            </w:r>
            <w:r>
              <w:rPr>
                <w:rFonts w:hint="eastAsia"/>
                <w:color w:val="264A60"/>
                <w:sz w:val="18"/>
                <w:szCs w:val="18"/>
              </w:rPr>
              <w:t>常量</w:t>
            </w:r>
            <w:r>
              <w:rPr>
                <w:color w:val="264A60"/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4E5F" w:rsidRDefault="00D54E5F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GDP</w:t>
            </w:r>
            <w:r>
              <w:rPr>
                <w:rFonts w:hint="eastAsia"/>
                <w:color w:val="264A60"/>
                <w:sz w:val="18"/>
                <w:szCs w:val="18"/>
              </w:rPr>
              <w:t>（万亿）</w:t>
            </w:r>
          </w:p>
        </w:tc>
        <w:tc>
          <w:tcPr>
            <w:tcW w:w="6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54E5F" w:rsidRDefault="00D54E5F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省电信业务总量（亿元）</w:t>
            </w:r>
          </w:p>
        </w:tc>
        <w:tc>
          <w:tcPr>
            <w:tcW w:w="68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54E5F" w:rsidRDefault="00D54E5F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电子商务销售额（万亿）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264A60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4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9.119</w:t>
            </w:r>
          </w:p>
        </w:tc>
        <w:tc>
          <w:tcPr>
            <w:tcW w:w="4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4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  <w:tc>
          <w:tcPr>
            <w:tcW w:w="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1.045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2.954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3</w:t>
            </w:r>
          </w:p>
        </w:tc>
        <w:tc>
          <w:tcPr>
            <w:tcW w:w="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.424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4.636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.01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4</w:t>
            </w:r>
          </w:p>
        </w:tc>
        <w:tc>
          <w:tcPr>
            <w:tcW w:w="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.265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5.869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.09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5</w:t>
            </w:r>
          </w:p>
        </w:tc>
        <w:tc>
          <w:tcPr>
            <w:tcW w:w="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.112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9.033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.02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6</w:t>
            </w:r>
          </w:p>
        </w:tc>
        <w:tc>
          <w:tcPr>
            <w:tcW w:w="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.021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20.608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.01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7</w:t>
            </w:r>
          </w:p>
        </w:tc>
        <w:tc>
          <w:tcPr>
            <w:tcW w:w="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.011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28.274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.01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.26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8</w:t>
            </w:r>
          </w:p>
        </w:tc>
        <w:tc>
          <w:tcPr>
            <w:tcW w:w="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.001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85.854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.16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.21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.32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9</w:t>
            </w:r>
          </w:p>
        </w:tc>
        <w:tc>
          <w:tcPr>
            <w:tcW w:w="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137.750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.01</w:t>
            </w:r>
          </w:p>
        </w:tc>
        <w:tc>
          <w:tcPr>
            <w:tcW w:w="6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.38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.06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.38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10</w:t>
            </w:r>
          </w:p>
        </w:tc>
        <w:tc>
          <w:tcPr>
            <w:tcW w:w="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246.427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.03</w:t>
            </w:r>
          </w:p>
        </w:tc>
        <w:tc>
          <w:tcPr>
            <w:tcW w:w="6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.04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.02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.01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  <w:tr w:rsidR="00D54E5F" w:rsidTr="00FB64B9">
        <w:trPr>
          <w:cantSplit/>
        </w:trPr>
        <w:tc>
          <w:tcPr>
            <w:tcW w:w="34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54E5F" w:rsidRDefault="00D54E5F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11</w:t>
            </w:r>
          </w:p>
        </w:tc>
        <w:tc>
          <w:tcPr>
            <w:tcW w:w="4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3.071E-5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544.961</w:t>
            </w:r>
          </w:p>
        </w:tc>
        <w:tc>
          <w:tcPr>
            <w:tcW w:w="4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.97</w:t>
            </w:r>
          </w:p>
        </w:tc>
        <w:tc>
          <w:tcPr>
            <w:tcW w:w="6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.41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.60</w:t>
            </w:r>
          </w:p>
        </w:tc>
        <w:tc>
          <w:tcPr>
            <w:tcW w:w="6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54E5F" w:rsidRDefault="00D54E5F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</w:t>
            </w: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684" w:type="dxa"/>
          </w:tcPr>
          <w:p w:rsidR="00D54E5F" w:rsidRDefault="00D54E5F" w:rsidP="002C7933">
            <w:pPr>
              <w:rPr>
                <w:color w:val="010205"/>
                <w:sz w:val="18"/>
                <w:szCs w:val="18"/>
              </w:rPr>
            </w:pPr>
          </w:p>
        </w:tc>
      </w:tr>
    </w:tbl>
    <w:p w:rsidR="00D54E5F" w:rsidRDefault="00FB64B9" w:rsidP="003C1EFC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B64B9">
        <w:rPr>
          <w:rFonts w:ascii="Times New Roman" w:eastAsia="宋体" w:hAnsi="Times New Roman" w:cs="Times New Roman" w:hint="eastAsia"/>
          <w:kern w:val="0"/>
          <w:sz w:val="24"/>
        </w:rPr>
        <w:t>回归共线性是指在回归模型中，自变量之间存在高度相关性的情况。共线性可能导致回归系数不准确、假设检验失效、模型解释力下降等问题。因此，诊断和处理共线性是回归分析中的重要步骤。</w:t>
      </w:r>
    </w:p>
    <w:p w:rsidR="00FB64B9" w:rsidRDefault="00FB64B9" w:rsidP="003C1EFC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B64B9" w:rsidRP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B64B9">
        <w:rPr>
          <w:rFonts w:ascii="Times New Roman" w:eastAsia="宋体" w:hAnsi="Times New Roman" w:cs="Times New Roman" w:hint="eastAsia"/>
          <w:kern w:val="0"/>
          <w:sz w:val="24"/>
        </w:rPr>
        <w:t>以下是回归共线性诊断的原理和常用方法：</w:t>
      </w:r>
    </w:p>
    <w:p w:rsidR="00FB64B9" w:rsidRP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B64B9" w:rsidRP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B64B9">
        <w:rPr>
          <w:rFonts w:ascii="Times New Roman" w:eastAsia="宋体" w:hAnsi="Times New Roman" w:cs="Times New Roman" w:hint="eastAsia"/>
          <w:kern w:val="0"/>
          <w:sz w:val="24"/>
        </w:rPr>
        <w:t>相关性分析：通过计算自变量之间的相关系数来评估它们之间的线性关系。较高的相关系数可能是共线性的指示。可以使用相关矩阵或散点图来可视化自变量之间的相关性。</w:t>
      </w:r>
    </w:p>
    <w:p w:rsidR="00FB64B9" w:rsidRP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B64B9" w:rsidRP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B64B9">
        <w:rPr>
          <w:rFonts w:ascii="Times New Roman" w:eastAsia="宋体" w:hAnsi="Times New Roman" w:cs="Times New Roman" w:hint="eastAsia"/>
          <w:kern w:val="0"/>
          <w:sz w:val="24"/>
        </w:rPr>
        <w:t>方差膨胀因子（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Variance Inflation Factor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VIF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）：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VIF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用于评估每个自变量与其他自变量的相关程度，它计算了每个自变量的方差在其他自变量存在的条件下的倍数。一般来说，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VIF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大于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10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或者较大的值可能表明存在共线性问题。</w:t>
      </w:r>
    </w:p>
    <w:p w:rsidR="00FB64B9" w:rsidRP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B64B9" w:rsidRP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B64B9">
        <w:rPr>
          <w:rFonts w:ascii="Times New Roman" w:eastAsia="宋体" w:hAnsi="Times New Roman" w:cs="Times New Roman" w:hint="eastAsia"/>
          <w:kern w:val="0"/>
          <w:sz w:val="24"/>
        </w:rPr>
        <w:t>特征值（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Eigenvalues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）和条件数（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Condition Number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）：通过计算自变量矩阵的特征值或条件数来评估共线性的程度。特征值反映了自变量矩阵的线性相关性，较小的特征值表示较高的共线性。条件数是最大特征值与最小特征值之比，较大的条件数也表示较高的共线性。</w:t>
      </w:r>
    </w:p>
    <w:p w:rsidR="00FB64B9" w:rsidRP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B64B9" w:rsidRP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B64B9">
        <w:rPr>
          <w:rFonts w:ascii="Times New Roman" w:eastAsia="宋体" w:hAnsi="Times New Roman" w:cs="Times New Roman" w:hint="eastAsia"/>
          <w:kern w:val="0"/>
          <w:sz w:val="24"/>
        </w:rPr>
        <w:t>变量膨胀因子（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Variable Inflation Factor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VIF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）：与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VIF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类似，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VIF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衡量了每个自变量的方差在其他自变量存在的条件下的倍数，但是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VIF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是针对单个自变量的，用于评估该自变量与其他自变量之间的共线性程度。</w:t>
      </w:r>
    </w:p>
    <w:p w:rsidR="00FB64B9" w:rsidRP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B64B9">
        <w:rPr>
          <w:rFonts w:ascii="Times New Roman" w:eastAsia="宋体" w:hAnsi="Times New Roman" w:cs="Times New Roman" w:hint="eastAsia"/>
          <w:kern w:val="0"/>
          <w:sz w:val="24"/>
        </w:rPr>
        <w:t>主成分分析（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Principal Component Analysis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PCA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）：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PCA</w:t>
      </w:r>
      <w:r w:rsidRPr="00FB64B9">
        <w:rPr>
          <w:rFonts w:ascii="Times New Roman" w:eastAsia="宋体" w:hAnsi="Times New Roman" w:cs="Times New Roman" w:hint="eastAsia"/>
          <w:kern w:val="0"/>
          <w:sz w:val="24"/>
        </w:rPr>
        <w:t>可以用于降维，将高度相关的自变量转换为一组线性无关的主成分。通过保留较大的主成分方差，可以减</w:t>
      </w:r>
    </w:p>
    <w:p w:rsid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此处采用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spss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回归</w:t>
      </w:r>
      <w:r>
        <w:rPr>
          <w:rFonts w:ascii="Times New Roman" w:eastAsia="宋体" w:hAnsi="Times New Roman" w:cs="Times New Roman" w:hint="eastAsia"/>
          <w:kern w:val="0"/>
          <w:sz w:val="24"/>
        </w:rPr>
        <w:t>gxx</w:t>
      </w:r>
      <w:r>
        <w:rPr>
          <w:rFonts w:ascii="Times New Roman" w:eastAsia="宋体" w:hAnsi="Times New Roman" w:cs="Times New Roman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检验，直接排除共线性较高的指标：</w:t>
      </w:r>
    </w:p>
    <w:tbl>
      <w:tblPr>
        <w:tblW w:w="8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1853"/>
        <w:gridCol w:w="871"/>
        <w:gridCol w:w="822"/>
        <w:gridCol w:w="822"/>
        <w:gridCol w:w="822"/>
        <w:gridCol w:w="822"/>
        <w:gridCol w:w="1644"/>
      </w:tblGrid>
      <w:tr w:rsidR="00FB64B9" w:rsidTr="00F85818">
        <w:trPr>
          <w:cantSplit/>
        </w:trPr>
        <w:tc>
          <w:tcPr>
            <w:tcW w:w="82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64B9" w:rsidRDefault="00FB64B9" w:rsidP="002C793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10205"/>
                <w:sz w:val="22"/>
                <w:szCs w:val="22"/>
              </w:rPr>
              <w:t>排除的变量</w:t>
            </w:r>
          </w:p>
        </w:tc>
      </w:tr>
      <w:tr w:rsidR="00F85818" w:rsidTr="00F85818">
        <w:trPr>
          <w:gridAfter w:val="1"/>
          <w:wAfter w:w="1644" w:type="dxa"/>
          <w:cantSplit/>
        </w:trPr>
        <w:tc>
          <w:tcPr>
            <w:tcW w:w="244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85818" w:rsidRDefault="00F85818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模型</w:t>
            </w:r>
          </w:p>
        </w:tc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5818" w:rsidRDefault="00F85818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输入</w:t>
            </w:r>
            <w:r>
              <w:rPr>
                <w:color w:val="264A60"/>
                <w:sz w:val="18"/>
                <w:szCs w:val="18"/>
              </w:rPr>
              <w:t xml:space="preserve"> Beta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5818" w:rsidRDefault="00F85818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t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5818" w:rsidRDefault="00F85818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显著性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5818" w:rsidRDefault="00F85818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偏相关</w:t>
            </w:r>
          </w:p>
        </w:tc>
        <w:tc>
          <w:tcPr>
            <w:tcW w:w="822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85818" w:rsidRDefault="00F85818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共线性统计</w:t>
            </w:r>
          </w:p>
        </w:tc>
      </w:tr>
      <w:tr w:rsidR="00F85818" w:rsidTr="00F85818">
        <w:trPr>
          <w:gridAfter w:val="1"/>
          <w:wAfter w:w="1644" w:type="dxa"/>
          <w:cantSplit/>
        </w:trPr>
        <w:tc>
          <w:tcPr>
            <w:tcW w:w="24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85818" w:rsidRDefault="00F85818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87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5818" w:rsidRDefault="00F85818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5818" w:rsidRDefault="00F85818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5818" w:rsidRDefault="00F85818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85818" w:rsidRDefault="00F85818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85818" w:rsidRDefault="00F85818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容差</w:t>
            </w:r>
          </w:p>
        </w:tc>
      </w:tr>
      <w:tr w:rsidR="00F85818" w:rsidTr="00F85818">
        <w:trPr>
          <w:gridAfter w:val="1"/>
          <w:wAfter w:w="1644" w:type="dxa"/>
          <w:cantSplit/>
        </w:trPr>
        <w:tc>
          <w:tcPr>
            <w:tcW w:w="59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5818" w:rsidRDefault="00F85818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8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818" w:rsidRDefault="00F85818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软件业务总量（亿元）</w:t>
            </w:r>
          </w:p>
        </w:tc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F85818" w:rsidTr="00F85818">
        <w:trPr>
          <w:gridAfter w:val="1"/>
          <w:wAfter w:w="1644" w:type="dxa"/>
          <w:cantSplit/>
        </w:trPr>
        <w:tc>
          <w:tcPr>
            <w:tcW w:w="5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5818" w:rsidRDefault="00F85818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818" w:rsidRDefault="00F85818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快递量（万万件）</w:t>
            </w:r>
          </w:p>
        </w:tc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F85818" w:rsidTr="00F85818">
        <w:trPr>
          <w:gridAfter w:val="1"/>
          <w:wAfter w:w="1644" w:type="dxa"/>
          <w:cantSplit/>
        </w:trPr>
        <w:tc>
          <w:tcPr>
            <w:tcW w:w="5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5818" w:rsidRDefault="00F85818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818" w:rsidRDefault="00F85818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快递业务收入（亿元）</w:t>
            </w:r>
          </w:p>
        </w:tc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F85818" w:rsidTr="00F85818">
        <w:trPr>
          <w:gridAfter w:val="1"/>
          <w:wAfter w:w="1644" w:type="dxa"/>
          <w:cantSplit/>
        </w:trPr>
        <w:tc>
          <w:tcPr>
            <w:tcW w:w="5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5818" w:rsidRDefault="00F85818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818" w:rsidRDefault="00F85818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光缆线路长度（</w:t>
            </w:r>
            <w:proofErr w:type="gramStart"/>
            <w:r>
              <w:rPr>
                <w:rFonts w:hint="eastAsia"/>
                <w:color w:val="264A60"/>
                <w:sz w:val="18"/>
                <w:szCs w:val="18"/>
              </w:rPr>
              <w:t>万公里</w:t>
            </w:r>
            <w:proofErr w:type="gramEnd"/>
            <w:r>
              <w:rPr>
                <w:rFonts w:hint="eastAsia"/>
                <w:color w:val="264A60"/>
                <w:sz w:val="18"/>
                <w:szCs w:val="18"/>
              </w:rPr>
              <w:t>）</w:t>
            </w:r>
          </w:p>
        </w:tc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F85818" w:rsidTr="00F85818">
        <w:trPr>
          <w:gridAfter w:val="1"/>
          <w:wAfter w:w="1644" w:type="dxa"/>
          <w:cantSplit/>
        </w:trPr>
        <w:tc>
          <w:tcPr>
            <w:tcW w:w="5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5818" w:rsidRDefault="00F85818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85818" w:rsidRDefault="00F85818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山东省城市化率</w:t>
            </w:r>
          </w:p>
        </w:tc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  <w:tr w:rsidR="00F85818" w:rsidTr="00F85818">
        <w:trPr>
          <w:gridAfter w:val="1"/>
          <w:wAfter w:w="1644" w:type="dxa"/>
          <w:cantSplit/>
        </w:trPr>
        <w:tc>
          <w:tcPr>
            <w:tcW w:w="5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5818" w:rsidRDefault="00F85818" w:rsidP="002C7933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85818" w:rsidRDefault="00F85818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省人均</w:t>
            </w:r>
            <w:proofErr w:type="spellStart"/>
            <w:r>
              <w:rPr>
                <w:color w:val="264A60"/>
                <w:sz w:val="18"/>
                <w:szCs w:val="18"/>
              </w:rPr>
              <w:t>gdp</w:t>
            </w:r>
            <w:proofErr w:type="spellEnd"/>
          </w:p>
        </w:tc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</w:t>
            </w:r>
          </w:p>
        </w:tc>
        <w:tc>
          <w:tcPr>
            <w:tcW w:w="8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85818" w:rsidRDefault="00F85818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.000</w:t>
            </w:r>
          </w:p>
        </w:tc>
      </w:tr>
    </w:tbl>
    <w:p w:rsid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B64B9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FB64B9" w:rsidRPr="003C1EFC" w:rsidRDefault="00FB64B9" w:rsidP="00FB64B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最后，结合</w:t>
      </w:r>
      <w:r w:rsidR="005A4C8F">
        <w:rPr>
          <w:rFonts w:ascii="Times New Roman" w:eastAsia="宋体" w:hAnsi="Times New Roman" w:cs="Times New Roman" w:hint="eastAsia"/>
          <w:kern w:val="0"/>
          <w:sz w:val="24"/>
        </w:rPr>
        <w:t>相关性分析，平稳性检验，在因子分析前剔除以上变量。</w:t>
      </w:r>
    </w:p>
    <w:p w:rsidR="00567086" w:rsidRDefault="00567086">
      <w:pPr>
        <w:numPr>
          <w:ilvl w:val="0"/>
          <w:numId w:val="1"/>
        </w:numPr>
        <w:rPr>
          <w:rFonts w:ascii="黑体" w:eastAsia="黑体" w:hAnsi="黑体" w:cs="黑体"/>
          <w:color w:val="000000"/>
          <w:kern w:val="0"/>
          <w:sz w:val="36"/>
          <w:szCs w:val="36"/>
          <w:lang w:bidi="ar"/>
        </w:rPr>
      </w:pPr>
      <w:r>
        <w:rPr>
          <w:rFonts w:ascii="黑体" w:eastAsia="黑体" w:hAnsi="黑体" w:cs="黑体" w:hint="eastAsia"/>
          <w:color w:val="000000"/>
          <w:kern w:val="0"/>
          <w:sz w:val="36"/>
          <w:szCs w:val="36"/>
          <w:lang w:bidi="ar"/>
        </w:rPr>
        <w:t>效度分析</w:t>
      </w:r>
    </w:p>
    <w:p w:rsidR="00567086" w:rsidRDefault="00567086">
      <w:pPr>
        <w:rPr>
          <w:rFonts w:ascii="宋体" w:eastAsia="宋体" w:hAnsi="宋体" w:cs="宋体"/>
          <w:sz w:val="24"/>
        </w:rPr>
      </w:pPr>
    </w:p>
    <w:p w:rsidR="007D23B8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（一）效度检验是一种评估测量工具的有效性的方法。它主要是指测量工具所测量的概念是否符合实际情况，即测量工具是否测量到了它所要测量的东西。</w:t>
      </w:r>
    </w:p>
    <w:p w:rsidR="007D23B8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主要采用KMO值和Bartlett球形检验的显著系数，以确定变量是否合适做因子分析。KMO测度和Bartlett's球形检验是用于评估因子分析数据适合性的统计方法。KMO值范围在0到1之间，值越高表示数据越适合进行因子分析，通常0.7以上表示数据适合。Bartlett's球形检验检验变量之间的相关性是否足够大，若p值小于0.05，就表明变量之间的相关性足够大，可以进行因子分析。</w:t>
      </w:r>
    </w:p>
    <w:p w:rsidR="007D23B8" w:rsidRDefault="007D23B8">
      <w:pPr>
        <w:pStyle w:val="a3"/>
        <w:jc w:val="center"/>
        <w:rPr>
          <w:rFonts w:ascii="宋体" w:eastAsia="宋体" w:hAnsi="宋体" w:cs="宋体"/>
          <w:b/>
          <w:bCs/>
          <w:sz w:val="24"/>
        </w:rPr>
      </w:pPr>
    </w:p>
    <w:p w:rsidR="007D23B8" w:rsidRDefault="007D23B8">
      <w:pPr>
        <w:pStyle w:val="a3"/>
        <w:jc w:val="center"/>
        <w:rPr>
          <w:rFonts w:ascii="宋体" w:eastAsia="宋体" w:hAnsi="宋体" w:cs="宋体"/>
          <w:b/>
          <w:bCs/>
          <w:sz w:val="24"/>
        </w:rPr>
      </w:pPr>
    </w:p>
    <w:p w:rsidR="007D23B8" w:rsidRDefault="007D23B8">
      <w:pPr>
        <w:pStyle w:val="a3"/>
        <w:jc w:val="center"/>
      </w:pPr>
    </w:p>
    <w:p w:rsidR="007D23B8" w:rsidRDefault="00000000">
      <w:pPr>
        <w:pStyle w:val="a3"/>
        <w:jc w:val="center"/>
        <w:rPr>
          <w:rFonts w:ascii="宋体" w:eastAsia="宋体" w:hAnsi="宋体" w:cs="宋体"/>
          <w:b/>
          <w:bCs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5 KMO</w:t>
      </w:r>
      <w:r>
        <w:rPr>
          <w:rFonts w:hint="eastAsia"/>
        </w:rPr>
        <w:t>值检验标准</w:t>
      </w:r>
    </w:p>
    <w:tbl>
      <w:tblPr>
        <w:tblpPr w:leftFromText="180" w:rightFromText="180" w:vertAnchor="text" w:horzAnchor="page" w:tblpX="2124" w:tblpY="188"/>
        <w:tblOverlap w:val="never"/>
        <w:tblW w:w="4538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1704"/>
        <w:gridCol w:w="5835"/>
      </w:tblGrid>
      <w:tr w:rsidR="007D23B8">
        <w:trPr>
          <w:trHeight w:val="268"/>
        </w:trPr>
        <w:tc>
          <w:tcPr>
            <w:tcW w:w="1130" w:type="pct"/>
            <w:tcBorders>
              <w:bottom w:val="single" w:sz="8" w:space="0" w:color="000000"/>
            </w:tcBorders>
            <w:shd w:val="clear" w:color="auto" w:fill="auto"/>
            <w:noWrap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KMO值</w:t>
            </w:r>
          </w:p>
        </w:tc>
        <w:tc>
          <w:tcPr>
            <w:tcW w:w="3869" w:type="pct"/>
            <w:tcBorders>
              <w:bottom w:val="single" w:sz="8" w:space="0" w:color="000000"/>
            </w:tcBorders>
            <w:shd w:val="clear" w:color="auto" w:fill="auto"/>
            <w:noWrap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评判标准</w:t>
            </w:r>
          </w:p>
        </w:tc>
      </w:tr>
      <w:tr w:rsidR="007D23B8">
        <w:trPr>
          <w:trHeight w:val="288"/>
        </w:trPr>
        <w:tc>
          <w:tcPr>
            <w:tcW w:w="1130" w:type="pct"/>
            <w:tcBorders>
              <w:top w:val="single" w:sz="8" w:space="0" w:color="000000"/>
              <w:tl2br w:val="nil"/>
              <w:tr2bl w:val="nil"/>
            </w:tcBorders>
            <w:shd w:val="clear" w:color="auto" w:fill="auto"/>
            <w:noWrap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KMO=0.8以上</w:t>
            </w:r>
          </w:p>
        </w:tc>
        <w:tc>
          <w:tcPr>
            <w:tcW w:w="3869" w:type="pct"/>
            <w:tcBorders>
              <w:top w:val="single" w:sz="8" w:space="0" w:color="000000"/>
              <w:tl2br w:val="nil"/>
              <w:tr2bl w:val="nil"/>
            </w:tcBorders>
            <w:shd w:val="clear" w:color="auto" w:fill="auto"/>
            <w:noWrap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非常适合进行因子分析</w:t>
            </w:r>
          </w:p>
        </w:tc>
      </w:tr>
      <w:tr w:rsidR="007D23B8">
        <w:trPr>
          <w:trHeight w:val="288"/>
        </w:trPr>
        <w:tc>
          <w:tcPr>
            <w:tcW w:w="113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KMO=0.7-0.8</w:t>
            </w:r>
          </w:p>
        </w:tc>
        <w:tc>
          <w:tcPr>
            <w:tcW w:w="386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适合进行因子分析</w:t>
            </w:r>
          </w:p>
        </w:tc>
      </w:tr>
      <w:tr w:rsidR="007D23B8">
        <w:trPr>
          <w:trHeight w:val="288"/>
        </w:trPr>
        <w:tc>
          <w:tcPr>
            <w:tcW w:w="113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KMO=0.6-0.7</w:t>
            </w:r>
          </w:p>
        </w:tc>
        <w:tc>
          <w:tcPr>
            <w:tcW w:w="386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勉强适合进行因子分析</w:t>
            </w:r>
          </w:p>
        </w:tc>
      </w:tr>
      <w:tr w:rsidR="007D23B8">
        <w:trPr>
          <w:trHeight w:val="288"/>
        </w:trPr>
        <w:tc>
          <w:tcPr>
            <w:tcW w:w="113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KMO&lt;0.6</w:t>
            </w:r>
          </w:p>
        </w:tc>
        <w:tc>
          <w:tcPr>
            <w:tcW w:w="386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不适合进行因子分析</w:t>
            </w:r>
          </w:p>
        </w:tc>
      </w:tr>
    </w:tbl>
    <w:p w:rsidR="007D23B8" w:rsidRDefault="007D23B8">
      <w:pPr>
        <w:pStyle w:val="a4"/>
        <w:ind w:left="360" w:firstLineChars="0" w:firstLine="0"/>
        <w:rPr>
          <w:rFonts w:ascii="宋体" w:eastAsia="宋体" w:hAnsi="宋体" w:cs="宋体"/>
          <w:sz w:val="24"/>
        </w:rPr>
      </w:pPr>
    </w:p>
    <w:p w:rsidR="007D23B8" w:rsidRDefault="00000000">
      <w:pPr>
        <w:pStyle w:val="a4"/>
        <w:ind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（二）因子分析是一种多元统计分析方法，旨在</w:t>
      </w:r>
      <w:proofErr w:type="gramStart"/>
      <w:r>
        <w:rPr>
          <w:rFonts w:ascii="宋体" w:eastAsia="宋体" w:hAnsi="宋体" w:cs="宋体" w:hint="eastAsia"/>
          <w:sz w:val="24"/>
        </w:rPr>
        <w:t>通过降维来</w:t>
      </w:r>
      <w:proofErr w:type="gramEnd"/>
      <w:r>
        <w:rPr>
          <w:rFonts w:ascii="宋体" w:eastAsia="宋体" w:hAnsi="宋体" w:cs="宋体" w:hint="eastAsia"/>
          <w:sz w:val="24"/>
        </w:rPr>
        <w:t>发现多个变量之间的潜在结构和因果关系，以便更好地理解和解释数据。因子分析假设一些观测变量是由少量的潜在因子决定的，并且这些因子可以用来解释变量之间的共同变异性。因此，通过因子分析，我们可以将多个变量的信息压缩成少量的因子，从而简化数据分析的复杂度。</w:t>
      </w:r>
    </w:p>
    <w:p w:rsidR="007D23B8" w:rsidRDefault="00000000">
      <w:pPr>
        <w:pStyle w:val="a4"/>
        <w:ind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将数据导入spss26，选择</w:t>
      </w:r>
      <w:proofErr w:type="gramStart"/>
      <w:r>
        <w:rPr>
          <w:rFonts w:ascii="宋体" w:eastAsia="宋体" w:hAnsi="宋体" w:cs="宋体" w:hint="eastAsia"/>
          <w:sz w:val="24"/>
        </w:rPr>
        <w:t>因子降维分析</w:t>
      </w:r>
      <w:proofErr w:type="gramEnd"/>
      <w:r>
        <w:rPr>
          <w:rFonts w:ascii="宋体" w:eastAsia="宋体" w:hAnsi="宋体" w:cs="宋体" w:hint="eastAsia"/>
          <w:sz w:val="24"/>
        </w:rPr>
        <w:t>，具体分析结果如下。</w:t>
      </w:r>
    </w:p>
    <w:p w:rsidR="007D23B8" w:rsidRDefault="007D23B8">
      <w:pPr>
        <w:pStyle w:val="a4"/>
        <w:ind w:firstLineChars="0" w:firstLine="0"/>
        <w:rPr>
          <w:rFonts w:ascii="宋体" w:eastAsia="宋体" w:hAnsi="宋体" w:cs="宋体"/>
          <w:sz w:val="24"/>
        </w:rPr>
      </w:pPr>
    </w:p>
    <w:p w:rsidR="007D23B8" w:rsidRDefault="00000000">
      <w:pPr>
        <w:pStyle w:val="a3"/>
        <w:jc w:val="center"/>
      </w:pPr>
      <w:r>
        <w:t>表</w:t>
      </w:r>
      <w:r>
        <w:t xml:space="preserve"> </w:t>
      </w:r>
      <w:r>
        <w:rPr>
          <w:rFonts w:hint="eastAsia"/>
        </w:rPr>
        <w:t>6KMO</w:t>
      </w:r>
      <w:r>
        <w:rPr>
          <w:rFonts w:hint="eastAsia"/>
        </w:rPr>
        <w:t>值检验</w:t>
      </w:r>
    </w:p>
    <w:tbl>
      <w:tblPr>
        <w:tblW w:w="4999" w:type="pct"/>
        <w:tblLook w:val="04A0" w:firstRow="1" w:lastRow="0" w:firstColumn="1" w:lastColumn="0" w:noHBand="0" w:noVBand="1"/>
      </w:tblPr>
      <w:tblGrid>
        <w:gridCol w:w="2695"/>
        <w:gridCol w:w="2462"/>
        <w:gridCol w:w="3147"/>
      </w:tblGrid>
      <w:tr w:rsidR="007D23B8">
        <w:trPr>
          <w:trHeight w:val="295"/>
        </w:trPr>
        <w:tc>
          <w:tcPr>
            <w:tcW w:w="3104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bookmarkStart w:id="1" w:name="_Hlk137545858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KMO值</w:t>
            </w:r>
            <w:r>
              <w:rPr>
                <w:rFonts w:ascii="iconfont" w:eastAsia="iconfont" w:hAnsi="iconfont" w:cs="iconfont"/>
                <w:color w:val="CCCCCC"/>
                <w:kern w:val="0"/>
                <w:szCs w:val="21"/>
                <w:lang w:bidi="ar"/>
              </w:rPr>
              <w:t></w:t>
            </w:r>
          </w:p>
        </w:tc>
        <w:tc>
          <w:tcPr>
            <w:tcW w:w="1895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0.</w:t>
            </w:r>
            <w:r w:rsidR="009512B8"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622</w:t>
            </w:r>
          </w:p>
        </w:tc>
      </w:tr>
      <w:tr w:rsidR="007D23B8">
        <w:trPr>
          <w:trHeight w:val="555"/>
        </w:trPr>
        <w:tc>
          <w:tcPr>
            <w:tcW w:w="1622" w:type="pct"/>
            <w:vMerge w:val="restart"/>
            <w:tcBorders>
              <w:top w:val="single" w:sz="8" w:space="0" w:color="auto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Bartlett 球形度检验</w:t>
            </w:r>
          </w:p>
        </w:tc>
        <w:tc>
          <w:tcPr>
            <w:tcW w:w="148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proofErr w:type="gramStart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近似卡方</w:t>
            </w:r>
            <w:proofErr w:type="gramEnd"/>
            <w:r>
              <w:rPr>
                <w:rFonts w:ascii="iconfont" w:eastAsia="iconfont" w:hAnsi="iconfont" w:cs="iconfont"/>
                <w:color w:val="CCCCCC"/>
                <w:kern w:val="0"/>
                <w:szCs w:val="21"/>
                <w:lang w:bidi="ar"/>
              </w:rPr>
              <w:t></w:t>
            </w:r>
          </w:p>
        </w:tc>
        <w:tc>
          <w:tcPr>
            <w:tcW w:w="189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D23B8" w:rsidRDefault="0032106E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133.498</w:t>
            </w:r>
          </w:p>
        </w:tc>
      </w:tr>
      <w:tr w:rsidR="007D23B8">
        <w:trPr>
          <w:trHeight w:val="310"/>
        </w:trPr>
        <w:tc>
          <w:tcPr>
            <w:tcW w:w="1622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:rsidR="007D23B8" w:rsidRDefault="007D23B8">
            <w:pPr>
              <w:jc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</w:p>
        </w:tc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i/>
                <w:iCs/>
                <w:color w:val="000000"/>
                <w:szCs w:val="21"/>
              </w:rPr>
            </w:pPr>
            <w:proofErr w:type="spellStart"/>
            <w:r>
              <w:rPr>
                <w:rStyle w:val="font31"/>
                <w:lang w:bidi="ar"/>
              </w:rPr>
              <w:t>df</w:t>
            </w:r>
            <w:proofErr w:type="spellEnd"/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D23B8" w:rsidRDefault="0032106E">
            <w:pPr>
              <w:widowControl/>
              <w:jc w:val="center"/>
              <w:textAlignment w:val="center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eastAsia="宋体" w:hAnsi="Helvetica" w:cs="Helvetica"/>
                <w:color w:val="000000"/>
                <w:szCs w:val="21"/>
              </w:rPr>
              <w:t>4</w:t>
            </w:r>
            <w:r>
              <w:rPr>
                <w:rFonts w:ascii="Helvetica" w:eastAsia="宋体" w:hAnsi="Helvetica" w:cs="Helvetica" w:hint="eastAsia"/>
                <w:color w:val="000000"/>
                <w:szCs w:val="21"/>
              </w:rPr>
              <w:t>5</w:t>
            </w:r>
          </w:p>
        </w:tc>
      </w:tr>
      <w:tr w:rsidR="007D23B8">
        <w:trPr>
          <w:trHeight w:val="310"/>
        </w:trPr>
        <w:tc>
          <w:tcPr>
            <w:tcW w:w="1622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:rsidR="007D23B8" w:rsidRDefault="007D23B8">
            <w:pPr>
              <w:jc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</w:p>
        </w:tc>
        <w:tc>
          <w:tcPr>
            <w:tcW w:w="148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i/>
                <w:iCs/>
                <w:color w:val="000000"/>
                <w:szCs w:val="21"/>
              </w:rPr>
            </w:pPr>
            <w:r>
              <w:rPr>
                <w:rStyle w:val="font31"/>
                <w:lang w:bidi="ar"/>
              </w:rPr>
              <w:t>p</w:t>
            </w: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 xml:space="preserve"> 值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ascii="Helvetica" w:eastAsia="Helvetica" w:hAnsi="Helvetica" w:cs="Helvetica" w:hint="eastAsia"/>
                <w:color w:val="000000"/>
                <w:kern w:val="0"/>
                <w:szCs w:val="21"/>
                <w:lang w:bidi="ar"/>
              </w:rPr>
              <w:t>.00</w:t>
            </w:r>
            <w:r w:rsidR="0032106E"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</w:t>
            </w:r>
          </w:p>
        </w:tc>
      </w:tr>
    </w:tbl>
    <w:p w:rsidR="007D23B8" w:rsidRDefault="007D23B8">
      <w:pPr>
        <w:rPr>
          <w:rFonts w:ascii="宋体" w:eastAsia="宋体" w:hAnsi="宋体" w:cs="宋体"/>
          <w:color w:val="000000"/>
          <w:kern w:val="0"/>
          <w:sz w:val="24"/>
          <w:lang w:bidi="ar"/>
        </w:rPr>
      </w:pPr>
      <w:bookmarkStart w:id="2" w:name="_Hlk137546581"/>
      <w:bookmarkEnd w:id="1"/>
    </w:p>
    <w:p w:rsidR="007D23B8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使用因子分析进行信息浓缩研究，首先分析研究数据是否适合进行因子分析，从上表可以看出：KMO为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0.</w:t>
      </w:r>
      <w:r w:rsidR="009512B8">
        <w:rPr>
          <w:rFonts w:ascii="宋体" w:eastAsia="宋体" w:hAnsi="宋体" w:cs="宋体"/>
          <w:color w:val="000000"/>
          <w:kern w:val="0"/>
          <w:sz w:val="24"/>
          <w:lang w:bidi="ar"/>
        </w:rPr>
        <w:t>622</w:t>
      </w:r>
      <w:r>
        <w:rPr>
          <w:rFonts w:ascii="宋体" w:eastAsia="宋体" w:hAnsi="宋体" w:cs="宋体" w:hint="eastAsia"/>
          <w:sz w:val="24"/>
        </w:rPr>
        <w:t>，大于0.6，满足因子分析的前提要求，意味着数据可用于因子分析研究。以及数据通过Bartlett 球形度检验(p&lt;0.05)，说明研究数据适合进行因子分析。</w:t>
      </w:r>
    </w:p>
    <w:p w:rsidR="007B2D10" w:rsidRDefault="007B2D10">
      <w:pPr>
        <w:rPr>
          <w:rFonts w:ascii="宋体" w:eastAsia="宋体" w:hAnsi="宋体" w:cs="宋体"/>
          <w:sz w:val="24"/>
        </w:rPr>
      </w:pPr>
    </w:p>
    <w:p w:rsidR="007B2D10" w:rsidRPr="007B2D10" w:rsidRDefault="007B2D10" w:rsidP="007B2D10">
      <w:pPr>
        <w:jc w:val="center"/>
        <w:rPr>
          <w:rFonts w:ascii="宋体" w:eastAsia="宋体" w:hAnsi="宋体" w:cs="宋体"/>
          <w:b/>
          <w:bCs/>
          <w:sz w:val="24"/>
        </w:rPr>
      </w:pPr>
      <w:r w:rsidRPr="007B2D10">
        <w:rPr>
          <w:rFonts w:ascii="宋体" w:eastAsia="宋体" w:hAnsi="宋体" w:cs="宋体" w:hint="eastAsia"/>
          <w:b/>
          <w:bCs/>
          <w:sz w:val="24"/>
        </w:rPr>
        <w:t>碎石图</w:t>
      </w:r>
    </w:p>
    <w:p w:rsidR="007D23B8" w:rsidRDefault="007D23B8">
      <w:pPr>
        <w:rPr>
          <w:rFonts w:ascii="宋体" w:eastAsia="宋体" w:hAnsi="宋体" w:cs="宋体"/>
          <w:sz w:val="24"/>
        </w:rPr>
      </w:pPr>
    </w:p>
    <w:p w:rsidR="007D23B8" w:rsidRDefault="007B2D10">
      <w:pPr>
        <w:rPr>
          <w:rFonts w:ascii="宋体" w:eastAsia="宋体" w:hAnsi="宋体" w:cs="宋体"/>
          <w:sz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59E5DF5C" wp14:editId="62B6A104">
            <wp:extent cx="5274310" cy="3105785"/>
            <wp:effectExtent l="0" t="0" r="2540" b="0"/>
            <wp:docPr id="1820357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1A" w:rsidRPr="00A6351A" w:rsidRDefault="00A6351A" w:rsidP="00A6351A">
      <w:pPr>
        <w:rPr>
          <w:rFonts w:ascii="宋体" w:eastAsia="宋体" w:hAnsi="宋体" w:cs="宋体"/>
          <w:sz w:val="24"/>
        </w:rPr>
      </w:pPr>
      <w:r w:rsidRPr="00A6351A">
        <w:rPr>
          <w:rFonts w:ascii="宋体" w:eastAsia="宋体" w:hAnsi="宋体" w:cs="宋体" w:hint="eastAsia"/>
          <w:sz w:val="24"/>
        </w:rPr>
        <w:t>在因子分析中，一般会提取多个因子，并计算每个因子的特征根值（Eigenvalues）。</w:t>
      </w:r>
      <w:proofErr w:type="gramStart"/>
      <w:r w:rsidRPr="00A6351A">
        <w:rPr>
          <w:rFonts w:ascii="宋体" w:eastAsia="宋体" w:hAnsi="宋体" w:cs="宋体" w:hint="eastAsia"/>
          <w:sz w:val="24"/>
        </w:rPr>
        <w:t>特征根值表示</w:t>
      </w:r>
      <w:proofErr w:type="gramEnd"/>
      <w:r w:rsidRPr="00A6351A">
        <w:rPr>
          <w:rFonts w:ascii="宋体" w:eastAsia="宋体" w:hAnsi="宋体" w:cs="宋体" w:hint="eastAsia"/>
          <w:sz w:val="24"/>
        </w:rPr>
        <w:t>因子解释的方差量，较大的</w:t>
      </w:r>
      <w:proofErr w:type="gramStart"/>
      <w:r w:rsidRPr="00A6351A">
        <w:rPr>
          <w:rFonts w:ascii="宋体" w:eastAsia="宋体" w:hAnsi="宋体" w:cs="宋体" w:hint="eastAsia"/>
          <w:sz w:val="24"/>
        </w:rPr>
        <w:t>特征根值意味着</w:t>
      </w:r>
      <w:proofErr w:type="gramEnd"/>
      <w:r w:rsidRPr="00A6351A">
        <w:rPr>
          <w:rFonts w:ascii="宋体" w:eastAsia="宋体" w:hAnsi="宋体" w:cs="宋体" w:hint="eastAsia"/>
          <w:sz w:val="24"/>
        </w:rPr>
        <w:t>该因子解释了更多的方差。</w:t>
      </w:r>
    </w:p>
    <w:p w:rsidR="00A6351A" w:rsidRPr="00A6351A" w:rsidRDefault="00A6351A" w:rsidP="00A6351A">
      <w:pPr>
        <w:rPr>
          <w:rFonts w:ascii="宋体" w:eastAsia="宋体" w:hAnsi="宋体" w:cs="宋体"/>
          <w:sz w:val="24"/>
        </w:rPr>
      </w:pPr>
    </w:p>
    <w:p w:rsidR="00A6351A" w:rsidRPr="00A6351A" w:rsidRDefault="00A6351A" w:rsidP="00A6351A">
      <w:pPr>
        <w:rPr>
          <w:rFonts w:ascii="宋体" w:eastAsia="宋体" w:hAnsi="宋体" w:cs="宋体"/>
          <w:sz w:val="24"/>
        </w:rPr>
      </w:pPr>
      <w:r w:rsidRPr="00A6351A">
        <w:rPr>
          <w:rFonts w:ascii="宋体" w:eastAsia="宋体" w:hAnsi="宋体" w:cs="宋体" w:hint="eastAsia"/>
          <w:sz w:val="24"/>
        </w:rPr>
        <w:t>碎石图将</w:t>
      </w:r>
      <w:proofErr w:type="gramStart"/>
      <w:r w:rsidRPr="00A6351A">
        <w:rPr>
          <w:rFonts w:ascii="宋体" w:eastAsia="宋体" w:hAnsi="宋体" w:cs="宋体" w:hint="eastAsia"/>
          <w:sz w:val="24"/>
        </w:rPr>
        <w:t>特征根值与</w:t>
      </w:r>
      <w:proofErr w:type="gramEnd"/>
      <w:r w:rsidRPr="00A6351A">
        <w:rPr>
          <w:rFonts w:ascii="宋体" w:eastAsia="宋体" w:hAnsi="宋体" w:cs="宋体" w:hint="eastAsia"/>
          <w:sz w:val="24"/>
        </w:rPr>
        <w:t>因子数量进行图形化展示。横轴表示因子数量，纵轴表示特征根值。通常，初始因子数量较多，然后逐渐减少，直到达到一个平稳的水平。在这个平稳的水平之后，进一步增加因子数量并不能显著增加方差的解释。</w:t>
      </w:r>
    </w:p>
    <w:p w:rsidR="00A6351A" w:rsidRPr="00A6351A" w:rsidRDefault="00A6351A" w:rsidP="00A6351A">
      <w:pPr>
        <w:rPr>
          <w:rFonts w:ascii="宋体" w:eastAsia="宋体" w:hAnsi="宋体" w:cs="宋体"/>
          <w:sz w:val="24"/>
        </w:rPr>
      </w:pPr>
    </w:p>
    <w:p w:rsidR="007B2D10" w:rsidRDefault="00A6351A" w:rsidP="00A6351A">
      <w:pPr>
        <w:rPr>
          <w:rFonts w:ascii="宋体" w:eastAsia="宋体" w:hAnsi="宋体" w:cs="宋体"/>
          <w:sz w:val="24"/>
        </w:rPr>
      </w:pPr>
      <w:r w:rsidRPr="00A6351A">
        <w:rPr>
          <w:rFonts w:ascii="宋体" w:eastAsia="宋体" w:hAnsi="宋体" w:cs="宋体" w:hint="eastAsia"/>
          <w:sz w:val="24"/>
        </w:rPr>
        <w:t>通过观察碎石图，可以找到一个“弯曲点”或“肘点”，即曲线开始平缓下降的位置。这个点通常被认为是因子数量的一个合理选择。在该点之前的因子数量被认为是较为重要的因子，可以选择保留；而在该点之后的因子数量可能是噪声或冗余因子，可以考虑舍弃</w:t>
      </w:r>
      <w:r>
        <w:rPr>
          <w:rFonts w:ascii="宋体" w:eastAsia="宋体" w:hAnsi="宋体" w:cs="宋体" w:hint="eastAsia"/>
          <w:sz w:val="24"/>
        </w:rPr>
        <w:t>。</w:t>
      </w:r>
    </w:p>
    <w:p w:rsidR="00A6351A" w:rsidRDefault="00A6351A" w:rsidP="00A6351A">
      <w:pPr>
        <w:rPr>
          <w:rFonts w:ascii="宋体" w:eastAsia="宋体" w:hAnsi="宋体" w:cs="宋体"/>
          <w:sz w:val="24"/>
        </w:rPr>
      </w:pPr>
    </w:p>
    <w:p w:rsidR="00A6351A" w:rsidRPr="00A6351A" w:rsidRDefault="00A6351A" w:rsidP="00A6351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而从上图中也可以明显看出拐点为2，于是选取两个因子。</w:t>
      </w:r>
    </w:p>
    <w:bookmarkEnd w:id="2"/>
    <w:p w:rsidR="007B2D10" w:rsidRDefault="007B2D10">
      <w:pPr>
        <w:rPr>
          <w:rFonts w:ascii="宋体" w:eastAsia="宋体" w:hAnsi="宋体" w:cs="宋体"/>
          <w:sz w:val="24"/>
        </w:rPr>
      </w:pPr>
    </w:p>
    <w:p w:rsidR="007B2D10" w:rsidRDefault="007B2D10">
      <w:pPr>
        <w:rPr>
          <w:rFonts w:ascii="宋体" w:eastAsia="宋体" w:hAnsi="宋体" w:cs="宋体"/>
          <w:sz w:val="24"/>
        </w:rPr>
      </w:pPr>
    </w:p>
    <w:p w:rsidR="007B2D10" w:rsidRDefault="007B2D10">
      <w:pPr>
        <w:rPr>
          <w:rFonts w:ascii="宋体" w:eastAsia="宋体" w:hAnsi="宋体" w:cs="宋体"/>
          <w:sz w:val="24"/>
        </w:rPr>
      </w:pPr>
    </w:p>
    <w:p w:rsidR="007B2D10" w:rsidRDefault="007B2D10">
      <w:pPr>
        <w:rPr>
          <w:rFonts w:ascii="宋体" w:eastAsia="宋体" w:hAnsi="宋体" w:cs="宋体"/>
          <w:sz w:val="24"/>
        </w:rPr>
      </w:pPr>
    </w:p>
    <w:p w:rsidR="007D23B8" w:rsidRDefault="00000000">
      <w:pPr>
        <w:pStyle w:val="a3"/>
        <w:jc w:val="center"/>
      </w:pPr>
      <w:r>
        <w:t>表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累计方差解释率</w:t>
      </w:r>
    </w:p>
    <w:p w:rsidR="009512B8" w:rsidRPr="009512B8" w:rsidRDefault="009512B8" w:rsidP="00951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tbl>
      <w:tblPr>
        <w:tblW w:w="9813" w:type="dxa"/>
        <w:tblInd w:w="-7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877"/>
        <w:gridCol w:w="1129"/>
        <w:gridCol w:w="957"/>
        <w:gridCol w:w="956"/>
        <w:gridCol w:w="1129"/>
        <w:gridCol w:w="957"/>
        <w:gridCol w:w="754"/>
        <w:gridCol w:w="764"/>
        <w:gridCol w:w="1525"/>
      </w:tblGrid>
      <w:tr w:rsidR="009512B8" w:rsidRPr="009512B8" w:rsidTr="00A6351A">
        <w:trPr>
          <w:cantSplit/>
          <w:trHeight w:val="312"/>
        </w:trPr>
        <w:tc>
          <w:tcPr>
            <w:tcW w:w="98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  <w:szCs w:val="22"/>
              </w:rPr>
            </w:pPr>
            <w:bookmarkStart w:id="3" w:name="_Hlk137546591"/>
            <w:r w:rsidRPr="009512B8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  <w:szCs w:val="22"/>
              </w:rPr>
              <w:lastRenderedPageBreak/>
              <w:t>总方差解释</w:t>
            </w:r>
          </w:p>
        </w:tc>
      </w:tr>
      <w:tr w:rsidR="009512B8" w:rsidRPr="009512B8" w:rsidTr="00A6351A">
        <w:trPr>
          <w:cantSplit/>
          <w:trHeight w:val="312"/>
        </w:trPr>
        <w:tc>
          <w:tcPr>
            <w:tcW w:w="7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成分</w:t>
            </w:r>
          </w:p>
        </w:tc>
        <w:tc>
          <w:tcPr>
            <w:tcW w:w="29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初始特征值</w:t>
            </w:r>
          </w:p>
        </w:tc>
        <w:tc>
          <w:tcPr>
            <w:tcW w:w="3042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提取载荷平方和</w:t>
            </w:r>
          </w:p>
        </w:tc>
        <w:tc>
          <w:tcPr>
            <w:tcW w:w="304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旋转载荷平方和</w:t>
            </w:r>
          </w:p>
        </w:tc>
      </w:tr>
      <w:tr w:rsidR="009512B8" w:rsidRPr="009512B8" w:rsidTr="00A6351A">
        <w:trPr>
          <w:cantSplit/>
          <w:trHeight w:val="140"/>
        </w:trPr>
        <w:tc>
          <w:tcPr>
            <w:tcW w:w="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方差百分比</w:t>
            </w:r>
          </w:p>
        </w:tc>
        <w:tc>
          <w:tcPr>
            <w:tcW w:w="95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累积</w:t>
            </w: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95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方差百分比</w:t>
            </w:r>
          </w:p>
        </w:tc>
        <w:tc>
          <w:tcPr>
            <w:tcW w:w="95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累积</w:t>
            </w: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7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7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方差百分比</w:t>
            </w:r>
          </w:p>
        </w:tc>
        <w:tc>
          <w:tcPr>
            <w:tcW w:w="15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累积</w:t>
            </w: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</w:tr>
      <w:tr w:rsidR="009512B8" w:rsidRPr="009512B8" w:rsidTr="00A6351A">
        <w:trPr>
          <w:cantSplit/>
          <w:trHeight w:val="312"/>
        </w:trPr>
        <w:tc>
          <w:tcPr>
            <w:tcW w:w="7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87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7.132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71.317</w:t>
            </w:r>
          </w:p>
        </w:tc>
        <w:tc>
          <w:tcPr>
            <w:tcW w:w="9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71.317</w:t>
            </w:r>
          </w:p>
        </w:tc>
        <w:tc>
          <w:tcPr>
            <w:tcW w:w="9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7.132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71.317</w:t>
            </w:r>
          </w:p>
        </w:tc>
        <w:tc>
          <w:tcPr>
            <w:tcW w:w="9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71.317</w:t>
            </w:r>
          </w:p>
        </w:tc>
        <w:tc>
          <w:tcPr>
            <w:tcW w:w="7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4.994</w:t>
            </w:r>
          </w:p>
        </w:tc>
        <w:tc>
          <w:tcPr>
            <w:tcW w:w="7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49.944</w:t>
            </w:r>
          </w:p>
        </w:tc>
        <w:tc>
          <w:tcPr>
            <w:tcW w:w="15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49.944</w:t>
            </w:r>
          </w:p>
        </w:tc>
      </w:tr>
      <w:tr w:rsidR="009512B8" w:rsidRPr="009512B8" w:rsidTr="00A6351A">
        <w:trPr>
          <w:cantSplit/>
          <w:trHeight w:val="327"/>
        </w:trPr>
        <w:tc>
          <w:tcPr>
            <w:tcW w:w="7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8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1.137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11.369</w:t>
            </w: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82.686</w:t>
            </w:r>
          </w:p>
        </w:tc>
        <w:tc>
          <w:tcPr>
            <w:tcW w:w="9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1.137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11.369</w:t>
            </w: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82.686</w:t>
            </w:r>
          </w:p>
        </w:tc>
        <w:tc>
          <w:tcPr>
            <w:tcW w:w="7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3.274</w:t>
            </w:r>
          </w:p>
        </w:tc>
        <w:tc>
          <w:tcPr>
            <w:tcW w:w="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32.742</w:t>
            </w: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82.686</w:t>
            </w:r>
          </w:p>
        </w:tc>
      </w:tr>
      <w:tr w:rsidR="009512B8" w:rsidRPr="009512B8" w:rsidTr="00A6351A">
        <w:trPr>
          <w:cantSplit/>
          <w:trHeight w:val="312"/>
        </w:trPr>
        <w:tc>
          <w:tcPr>
            <w:tcW w:w="7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8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.659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6.585</w:t>
            </w: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89.271</w:t>
            </w:r>
          </w:p>
        </w:tc>
        <w:tc>
          <w:tcPr>
            <w:tcW w:w="9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512B8" w:rsidRPr="009512B8" w:rsidTr="00A6351A">
        <w:trPr>
          <w:cantSplit/>
          <w:trHeight w:val="327"/>
        </w:trPr>
        <w:tc>
          <w:tcPr>
            <w:tcW w:w="7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8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.630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6.298</w:t>
            </w: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95.569</w:t>
            </w:r>
          </w:p>
        </w:tc>
        <w:tc>
          <w:tcPr>
            <w:tcW w:w="9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512B8" w:rsidRPr="009512B8" w:rsidTr="00A6351A">
        <w:trPr>
          <w:cantSplit/>
          <w:trHeight w:val="312"/>
        </w:trPr>
        <w:tc>
          <w:tcPr>
            <w:tcW w:w="7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8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.298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2.983</w:t>
            </w: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98.552</w:t>
            </w:r>
          </w:p>
        </w:tc>
        <w:tc>
          <w:tcPr>
            <w:tcW w:w="9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512B8" w:rsidRPr="009512B8" w:rsidTr="00A6351A">
        <w:trPr>
          <w:cantSplit/>
          <w:trHeight w:val="312"/>
        </w:trPr>
        <w:tc>
          <w:tcPr>
            <w:tcW w:w="7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8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.108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1.081</w:t>
            </w: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99.633</w:t>
            </w:r>
          </w:p>
        </w:tc>
        <w:tc>
          <w:tcPr>
            <w:tcW w:w="9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512B8" w:rsidRPr="009512B8" w:rsidTr="00A6351A">
        <w:trPr>
          <w:cantSplit/>
          <w:trHeight w:val="327"/>
        </w:trPr>
        <w:tc>
          <w:tcPr>
            <w:tcW w:w="7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8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.201</w:t>
            </w: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99.834</w:t>
            </w:r>
          </w:p>
        </w:tc>
        <w:tc>
          <w:tcPr>
            <w:tcW w:w="9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512B8" w:rsidRPr="009512B8" w:rsidTr="00A6351A">
        <w:trPr>
          <w:cantSplit/>
          <w:trHeight w:val="312"/>
        </w:trPr>
        <w:tc>
          <w:tcPr>
            <w:tcW w:w="7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8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.095</w:t>
            </w: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99.930</w:t>
            </w:r>
          </w:p>
        </w:tc>
        <w:tc>
          <w:tcPr>
            <w:tcW w:w="9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512B8" w:rsidRPr="009512B8" w:rsidTr="00A6351A">
        <w:trPr>
          <w:cantSplit/>
          <w:trHeight w:val="312"/>
        </w:trPr>
        <w:tc>
          <w:tcPr>
            <w:tcW w:w="7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8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.061</w:t>
            </w: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99.991</w:t>
            </w:r>
          </w:p>
        </w:tc>
        <w:tc>
          <w:tcPr>
            <w:tcW w:w="9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512B8" w:rsidRPr="009512B8" w:rsidTr="00A6351A">
        <w:trPr>
          <w:cantSplit/>
          <w:trHeight w:val="327"/>
        </w:trPr>
        <w:tc>
          <w:tcPr>
            <w:tcW w:w="7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87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.009</w:t>
            </w: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100.000</w:t>
            </w:r>
          </w:p>
        </w:tc>
        <w:tc>
          <w:tcPr>
            <w:tcW w:w="9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5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9512B8" w:rsidRPr="009512B8" w:rsidTr="00A6351A">
        <w:trPr>
          <w:cantSplit/>
          <w:trHeight w:val="312"/>
        </w:trPr>
        <w:tc>
          <w:tcPr>
            <w:tcW w:w="98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512B8" w:rsidRPr="009512B8" w:rsidRDefault="009512B8" w:rsidP="009512B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512B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提取方法：主成分分析法。</w:t>
            </w:r>
          </w:p>
        </w:tc>
      </w:tr>
      <w:bookmarkEnd w:id="3"/>
    </w:tbl>
    <w:p w:rsidR="009512B8" w:rsidRPr="009512B8" w:rsidRDefault="009512B8" w:rsidP="009512B8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7D23B8" w:rsidRPr="009512B8" w:rsidRDefault="007D23B8">
      <w:pPr>
        <w:rPr>
          <w:rFonts w:ascii="宋体" w:eastAsia="宋体" w:hAnsi="宋体" w:cs="宋体"/>
          <w:sz w:val="24"/>
        </w:rPr>
      </w:pPr>
    </w:p>
    <w:p w:rsidR="007D23B8" w:rsidRDefault="00000000">
      <w:pPr>
        <w:ind w:firstLineChars="200" w:firstLine="480"/>
        <w:rPr>
          <w:rFonts w:ascii="宋体" w:eastAsia="宋体" w:hAnsi="宋体" w:cs="宋体"/>
          <w:color w:val="000000"/>
          <w:sz w:val="24"/>
          <w:shd w:val="clear" w:color="auto" w:fill="FFFFFF"/>
        </w:rPr>
      </w:pPr>
      <w:bookmarkStart w:id="4" w:name="_Hlk137546598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上表格针对因子提取情况，以及因子提取信息量情况进行分析，从上表可知：因子分析一共提取出</w:t>
      </w:r>
      <w:r w:rsidR="009512B8">
        <w:rPr>
          <w:rFonts w:ascii="宋体" w:eastAsia="宋体" w:hAnsi="宋体" w:cs="宋体"/>
          <w:color w:val="000000"/>
          <w:sz w:val="24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个因子，</w:t>
      </w:r>
      <w:proofErr w:type="gramStart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特征根值均</w:t>
      </w:r>
      <w:proofErr w:type="gramEnd"/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大于1，此</w:t>
      </w:r>
      <w:r w:rsidR="009512B8">
        <w:rPr>
          <w:rFonts w:ascii="宋体" w:eastAsia="宋体" w:hAnsi="宋体" w:cs="宋体"/>
          <w:color w:val="000000"/>
          <w:sz w:val="24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个因子旋转后的方差解释率分别是</w:t>
      </w:r>
      <w:r w:rsidR="00082B08">
        <w:rPr>
          <w:rFonts w:ascii="宋体" w:eastAsia="宋体" w:hAnsi="宋体" w:cs="宋体"/>
          <w:color w:val="000000"/>
          <w:sz w:val="24"/>
          <w:shd w:val="clear" w:color="auto" w:fill="FFFFFF"/>
        </w:rPr>
        <w:t>49.944%,82.686%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，旋转后累积方差解释率为</w:t>
      </w:r>
      <w:r w:rsidR="00082B08">
        <w:rPr>
          <w:rFonts w:ascii="宋体" w:eastAsia="宋体" w:hAnsi="宋体" w:cs="宋体"/>
          <w:color w:val="000000"/>
          <w:sz w:val="24"/>
          <w:shd w:val="clear" w:color="auto" w:fill="FFFFFF"/>
        </w:rPr>
        <w:t>82.686%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%。</w:t>
      </w:r>
    </w:p>
    <w:bookmarkEnd w:id="4"/>
    <w:p w:rsidR="007D23B8" w:rsidRDefault="007D23B8">
      <w:pPr>
        <w:ind w:firstLineChars="200" w:firstLine="480"/>
        <w:jc w:val="center"/>
        <w:rPr>
          <w:rFonts w:ascii="宋体" w:eastAsia="宋体" w:hAnsi="宋体" w:cs="宋体"/>
          <w:color w:val="000000"/>
          <w:sz w:val="24"/>
          <w:shd w:val="clear" w:color="auto" w:fill="FFFFFF"/>
        </w:rPr>
      </w:pPr>
    </w:p>
    <w:p w:rsidR="007D23B8" w:rsidRDefault="00000000">
      <w:pPr>
        <w:pStyle w:val="a3"/>
        <w:jc w:val="center"/>
      </w:pPr>
      <w:r>
        <w:t>表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旋转后因子载荷系数</w:t>
      </w:r>
    </w:p>
    <w:p w:rsidR="00082B08" w:rsidRPr="00082B08" w:rsidRDefault="00082B08" w:rsidP="00082B0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tbl>
      <w:tblPr>
        <w:tblW w:w="45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29"/>
      </w:tblGrid>
      <w:tr w:rsidR="00082B08" w:rsidRPr="00082B08" w:rsidTr="00082B08">
        <w:trPr>
          <w:cantSplit/>
        </w:trPr>
        <w:tc>
          <w:tcPr>
            <w:tcW w:w="4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  <w:szCs w:val="22"/>
              </w:rPr>
            </w:pPr>
            <w:r w:rsidRPr="00082B08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  <w:szCs w:val="22"/>
              </w:rPr>
              <w:t>旋转后的成分矩阵</w:t>
            </w:r>
            <w:r w:rsidR="007B2D10">
              <w:rPr>
                <w:rFonts w:asciiTheme="minorEastAsia" w:hAnsiTheme="minorEastAsia" w:cs="MingLiU" w:hint="eastAsia"/>
                <w:b/>
                <w:bCs/>
                <w:color w:val="010205"/>
                <w:kern w:val="0"/>
                <w:sz w:val="22"/>
                <w:szCs w:val="22"/>
              </w:rPr>
              <w:t>系数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成分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GDP</w:t>
            </w: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（万亿）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.792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.563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省电信业务总量（亿元）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电子商务销售额（万亿）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.535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互联网接入端口数量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.525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移动电话普及率：每一百人拥有的电话数量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.708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移动互联网接入流量（万万</w:t>
            </w:r>
            <w:r w:rsidRPr="00082B0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GB</w:t>
            </w: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固定电话数量（万个）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-.773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网站数（万万</w:t>
            </w:r>
            <w:proofErr w:type="gramStart"/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.632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财政支出（万亿）占</w:t>
            </w:r>
            <w:r w:rsidRPr="00082B0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GDP</w:t>
            </w: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比重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-.891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高等教育在校生数量（人力资本水平）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082B08" w:rsidRPr="00082B08" w:rsidTr="00082B08">
        <w:trPr>
          <w:cantSplit/>
        </w:trPr>
        <w:tc>
          <w:tcPr>
            <w:tcW w:w="4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提取方法：主成分分析法。</w:t>
            </w: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</w:p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r w:rsidRPr="00082B0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旋转方法：</w:t>
            </w:r>
            <w:proofErr w:type="gramStart"/>
            <w:r w:rsidRPr="00082B0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凯</w:t>
            </w:r>
            <w:proofErr w:type="gramEnd"/>
            <w:r w:rsidRPr="00082B0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撒正态化最大方差法。</w:t>
            </w: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082B08" w:rsidRPr="00082B08" w:rsidTr="00082B08">
        <w:trPr>
          <w:cantSplit/>
        </w:trPr>
        <w:tc>
          <w:tcPr>
            <w:tcW w:w="4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82B0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旋转在</w:t>
            </w: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3 </w:t>
            </w:r>
            <w:r w:rsidRPr="00082B0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次迭代后已收敛。</w:t>
            </w:r>
          </w:p>
        </w:tc>
      </w:tr>
    </w:tbl>
    <w:tbl>
      <w:tblPr>
        <w:tblpPr w:leftFromText="180" w:rightFromText="180" w:vertAnchor="text" w:horzAnchor="page" w:tblpX="6633" w:tblpY="-6010"/>
        <w:tblW w:w="45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29"/>
      </w:tblGrid>
      <w:tr w:rsidR="00082B08" w:rsidRPr="00082B08" w:rsidTr="00082B08">
        <w:trPr>
          <w:cantSplit/>
        </w:trPr>
        <w:tc>
          <w:tcPr>
            <w:tcW w:w="4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  <w:szCs w:val="22"/>
              </w:rPr>
            </w:pPr>
            <w:r w:rsidRPr="00082B08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  <w:szCs w:val="22"/>
              </w:rPr>
              <w:lastRenderedPageBreak/>
              <w:t>公因子方差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初始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提取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GDP</w:t>
            </w: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（万亿）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.944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省电信业务总量（亿元）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.479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电子商务销售额（万亿）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.889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互联网接入端口数量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.964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移动电话普及率：每一百人拥有的电话数量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.988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移动互联网接入流量（万万</w:t>
            </w:r>
            <w:r w:rsidRPr="00082B0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GB</w:t>
            </w: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.898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固定电话数量（万个）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.755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网站数（万万</w:t>
            </w:r>
            <w:proofErr w:type="gramStart"/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.653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财政支出（万亿）占</w:t>
            </w:r>
            <w:r w:rsidRPr="00082B0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GDP</w:t>
            </w: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比重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.794</w:t>
            </w:r>
          </w:p>
        </w:tc>
      </w:tr>
      <w:tr w:rsidR="00082B08" w:rsidRPr="00082B08" w:rsidTr="00082B08"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高等教育在校生数量（人力资本水平）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.907</w:t>
            </w:r>
          </w:p>
        </w:tc>
      </w:tr>
      <w:tr w:rsidR="00082B08" w:rsidRPr="00082B08" w:rsidTr="00082B08">
        <w:trPr>
          <w:cantSplit/>
        </w:trPr>
        <w:tc>
          <w:tcPr>
            <w:tcW w:w="4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2B08" w:rsidRPr="00082B08" w:rsidRDefault="00082B08" w:rsidP="00082B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82B0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提取方法：主成分分析法。</w:t>
            </w:r>
          </w:p>
        </w:tc>
      </w:tr>
    </w:tbl>
    <w:p w:rsidR="00082B08" w:rsidRPr="00082B08" w:rsidRDefault="00082B08" w:rsidP="00082B08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7D23B8" w:rsidRPr="00082B08" w:rsidRDefault="007D23B8">
      <w:pPr>
        <w:ind w:firstLineChars="200" w:firstLine="480"/>
        <w:rPr>
          <w:rFonts w:ascii="宋体" w:eastAsia="宋体" w:hAnsi="宋体" w:cs="宋体"/>
          <w:sz w:val="24"/>
        </w:rPr>
      </w:pPr>
    </w:p>
    <w:p w:rsidR="007D23B8" w:rsidRDefault="00000000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研究数据使用最大方差旋转方法（varimax)进行旋转，以便找出因子和研究项的对应关系。上表格展示因子对于研究项的信息提取情况，以及因子和研究项对应关系，从上表可知：所有研究项对应的共同度值均高于0.4，意味着研究项和因子之间有着较强的关联性，因子可以有效的提取出信息。确保因子可以提取出研究项大部分的信息量之后，接着分析因子和研究项的对应关系情况</w:t>
      </w:r>
      <w:r>
        <w:rPr>
          <w:rFonts w:ascii="宋体" w:eastAsia="宋体" w:hAnsi="宋体" w:cs="宋体" w:hint="eastAsia"/>
          <w:sz w:val="24"/>
        </w:rPr>
        <w:t>。</w:t>
      </w:r>
    </w:p>
    <w:p w:rsidR="007D23B8" w:rsidRDefault="007D23B8">
      <w:pPr>
        <w:ind w:firstLineChars="200" w:firstLine="480"/>
        <w:rPr>
          <w:rFonts w:ascii="宋体" w:eastAsia="宋体" w:hAnsi="宋体" w:cs="宋体"/>
          <w:sz w:val="24"/>
        </w:rPr>
      </w:pPr>
    </w:p>
    <w:p w:rsidR="007D23B8" w:rsidRDefault="00000000">
      <w:pPr>
        <w:numPr>
          <w:ilvl w:val="0"/>
          <w:numId w:val="2"/>
        </w:num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验证性因子分析</w:t>
      </w:r>
    </w:p>
    <w:p w:rsidR="007D23B8" w:rsidRDefault="007D23B8">
      <w:pPr>
        <w:rPr>
          <w:rFonts w:ascii="宋体" w:eastAsia="宋体" w:hAnsi="宋体" w:cs="宋体"/>
          <w:sz w:val="24"/>
        </w:rPr>
      </w:pPr>
    </w:p>
    <w:p w:rsidR="007D23B8" w:rsidRDefault="0000000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模型拟合指标</w:t>
      </w:r>
    </w:p>
    <w:tbl>
      <w:tblPr>
        <w:tblW w:w="4995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397"/>
        <w:gridCol w:w="772"/>
        <w:gridCol w:w="418"/>
        <w:gridCol w:w="676"/>
        <w:gridCol w:w="671"/>
        <w:gridCol w:w="671"/>
        <w:gridCol w:w="862"/>
        <w:gridCol w:w="676"/>
        <w:gridCol w:w="671"/>
        <w:gridCol w:w="671"/>
        <w:gridCol w:w="575"/>
        <w:gridCol w:w="671"/>
        <w:gridCol w:w="575"/>
      </w:tblGrid>
      <w:tr w:rsidR="007D23B8">
        <w:trPr>
          <w:trHeight w:val="310"/>
        </w:trPr>
        <w:tc>
          <w:tcPr>
            <w:tcW w:w="384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bookmarkStart w:id="5" w:name="_Hlk137546617"/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常用指标</w:t>
            </w:r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χ</w:t>
            </w:r>
            <w:r>
              <w:rPr>
                <w:rFonts w:ascii="Helvetica" w:eastAsia="Helvetica" w:hAnsi="Helvetica" w:cs="Helvetic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i/>
                <w:iCs/>
                <w:color w:val="000000"/>
                <w:szCs w:val="21"/>
              </w:rPr>
            </w:pPr>
            <w:proofErr w:type="spellStart"/>
            <w:r>
              <w:rPr>
                <w:rFonts w:ascii="Helvetica" w:eastAsia="Helvetica" w:hAnsi="Helvetica" w:cs="Helvetica"/>
                <w:i/>
                <w:iCs/>
                <w:color w:val="000000"/>
                <w:kern w:val="0"/>
                <w:szCs w:val="21"/>
                <w:lang w:bidi="ar"/>
              </w:rPr>
              <w:t>df</w:t>
            </w:r>
            <w:proofErr w:type="spellEnd"/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i/>
                <w:iCs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i/>
                <w:iCs/>
                <w:color w:val="000000"/>
                <w:kern w:val="0"/>
                <w:szCs w:val="21"/>
                <w:lang w:bidi="ar"/>
              </w:rPr>
              <w:t>p</w:t>
            </w:r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卡方</w:t>
            </w:r>
            <w:proofErr w:type="gramEnd"/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GFI</w:t>
            </w:r>
          </w:p>
        </w:tc>
        <w:tc>
          <w:tcPr>
            <w:tcW w:w="385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RMSEA</w:t>
            </w:r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RMR</w:t>
            </w:r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CFI</w:t>
            </w:r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NFI</w:t>
            </w:r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AFAFA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TLI</w:t>
            </w:r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AFAFA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AGFI</w:t>
            </w:r>
          </w:p>
        </w:tc>
        <w:tc>
          <w:tcPr>
            <w:tcW w:w="384" w:type="pct"/>
            <w:tcBorders>
              <w:bottom w:val="single" w:sz="8" w:space="0" w:color="auto"/>
            </w:tcBorders>
            <w:shd w:val="clear" w:color="auto" w:fill="FAFAFA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IFI</w:t>
            </w:r>
          </w:p>
        </w:tc>
      </w:tr>
      <w:tr w:rsidR="007D23B8">
        <w:trPr>
          <w:trHeight w:val="295"/>
        </w:trPr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判断标准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&gt;0.05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&lt;3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&gt;0.9</w:t>
            </w:r>
          </w:p>
        </w:tc>
        <w:tc>
          <w:tcPr>
            <w:tcW w:w="385" w:type="pct"/>
            <w:tcBorders>
              <w:top w:val="single" w:sz="8" w:space="0" w:color="auto"/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&lt;0.10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&lt;0.05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&gt;0.9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&gt;0.9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AFAFA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&gt;0.9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AFAFA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&gt;0.9</w:t>
            </w:r>
          </w:p>
        </w:tc>
        <w:tc>
          <w:tcPr>
            <w:tcW w:w="384" w:type="pct"/>
            <w:tcBorders>
              <w:top w:val="single" w:sz="8" w:space="0" w:color="auto"/>
              <w:tl2br w:val="nil"/>
              <w:tr2bl w:val="nil"/>
            </w:tcBorders>
            <w:shd w:val="clear" w:color="auto" w:fill="FAFAFA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&gt;0.9</w:t>
            </w:r>
          </w:p>
        </w:tc>
      </w:tr>
      <w:tr w:rsidR="007D23B8">
        <w:trPr>
          <w:trHeight w:val="285"/>
        </w:trPr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值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66.056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38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0.003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1.738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0.965</w:t>
            </w:r>
          </w:p>
        </w:tc>
        <w:tc>
          <w:tcPr>
            <w:tcW w:w="38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0.051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0.048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0.979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0.953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0.97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0.939</w:t>
            </w:r>
          </w:p>
        </w:tc>
        <w:tc>
          <w:tcPr>
            <w:tcW w:w="38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7D23B8" w:rsidRDefault="00000000">
            <w:pPr>
              <w:widowControl/>
              <w:jc w:val="center"/>
              <w:textAlignment w:val="center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0.98</w:t>
            </w:r>
          </w:p>
        </w:tc>
      </w:tr>
      <w:bookmarkEnd w:id="5"/>
    </w:tbl>
    <w:p w:rsidR="007D23B8" w:rsidRDefault="007D23B8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7D23B8" w:rsidRDefault="00000000">
      <w:pPr>
        <w:widowControl/>
        <w:ind w:firstLineChars="200" w:firstLine="480"/>
        <w:jc w:val="left"/>
      </w:pPr>
      <w:bookmarkStart w:id="6" w:name="_Hlk137546621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根据上表可知，根据模型拟合指标的评判标准，在本研究的验证性因子分析 </w:t>
      </w:r>
    </w:p>
    <w:p w:rsidR="007D23B8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模型中，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CMIN/DF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GFI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RMSEA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CFI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NFI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TLI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IFI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等大部分模型适配度 </w:t>
      </w:r>
    </w:p>
    <w:p w:rsidR="007D23B8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指标均符合标准，故模型适配度很好。</w:t>
      </w:r>
    </w:p>
    <w:bookmarkEnd w:id="6"/>
    <w:p w:rsidR="007B2D10" w:rsidRDefault="007B2D10" w:rsidP="007B2D10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7D23B8" w:rsidRDefault="007D23B8">
      <w:pPr>
        <w:ind w:firstLineChars="200" w:firstLine="480"/>
        <w:rPr>
          <w:rFonts w:ascii="宋体" w:eastAsia="宋体" w:hAnsi="宋体" w:cs="宋体"/>
          <w:color w:val="000000"/>
          <w:sz w:val="24"/>
          <w:shd w:val="clear" w:color="auto" w:fill="FFFFFF"/>
        </w:rPr>
      </w:pPr>
    </w:p>
    <w:p w:rsidR="007D23B8" w:rsidRDefault="007D23B8" w:rsidP="00221CE4">
      <w:pPr>
        <w:jc w:val="left"/>
        <w:rPr>
          <w:rFonts w:ascii="宋体" w:eastAsia="宋体" w:hAnsi="宋体" w:cs="宋体"/>
          <w:color w:val="000000"/>
          <w:sz w:val="24"/>
          <w:shd w:val="clear" w:color="auto" w:fill="FFFFFF"/>
        </w:rPr>
      </w:pPr>
    </w:p>
    <w:p w:rsidR="007D23B8" w:rsidRDefault="00000000">
      <w:pPr>
        <w:numPr>
          <w:ilvl w:val="0"/>
          <w:numId w:val="1"/>
        </w:num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  <w:r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回归分析</w:t>
      </w:r>
    </w:p>
    <w:p w:rsidR="009243DC" w:rsidRDefault="009243DC" w:rsidP="009243DC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  <w:r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综合上述研究与处理，本文的计量模型设置如下：</w:t>
      </w:r>
    </w:p>
    <w:p w:rsidR="00154F87" w:rsidRDefault="00154F87" w:rsidP="006C6751">
      <w:pPr>
        <w:jc w:val="center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  <w:r>
        <w:rPr>
          <w:rFonts w:ascii="黑体" w:eastAsia="黑体" w:hAnsi="黑体" w:cs="黑体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892558" cy="201168"/>
            <wp:effectExtent l="0" t="0" r="0" b="8890"/>
            <wp:docPr id="1842108147" name="图片 2" descr="%FontSize=18&#10;%TeXFontSize=18&#10;\documentclass{article}&#10;\pagestyle{empty}&#10;\begin{document}&#10;\[&#10;Y=\beta0+\beta1*V1+\beta2*V2+\tau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08147" name="图片 2" descr="%FontSize=18&#10;%TeXFontSize=18&#10;\documentclass{article}&#10;\pagestyle{empty}&#10;\begin{document}&#10;\[&#10;Y=\beta0+\beta1*V1+\beta2*V2+\tau&#10;\]&#10;\end{document}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55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DC" w:rsidRDefault="00154F87" w:rsidP="009243DC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  <w:r w:rsidRPr="00154F87"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 xml:space="preserve">，其中β0是截距，β1是自变量 </w:t>
      </w:r>
      <w:r w:rsidR="00C953B2"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  <w:t>V</w:t>
      </w:r>
      <w:r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  <w:t>1</w:t>
      </w:r>
      <w:r w:rsidRPr="00154F87"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的系数，β</w:t>
      </w:r>
      <w:r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  <w:t>2</w:t>
      </w:r>
      <w:r w:rsidRPr="00154F87"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是自变量</w:t>
      </w:r>
      <w:r w:rsidR="00C953B2"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  <w:t>V2</w:t>
      </w:r>
      <w:r w:rsidRPr="00154F87"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的系数</w:t>
      </w:r>
      <w:r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,</w:t>
      </w:r>
      <w:r w:rsidR="00C953B2">
        <w:rPr>
          <w:rFonts w:ascii="黑体" w:eastAsia="黑体" w:hAnsi="黑体" w:cs="黑体" w:hint="eastAsia"/>
          <w:noProof/>
          <w:color w:val="000000"/>
          <w:sz w:val="36"/>
          <w:szCs w:val="36"/>
          <w:shd w:val="clear" w:color="auto" w:fill="FFFFFF"/>
          <w:lang w:val="zh-CN"/>
        </w:rPr>
        <w:drawing>
          <wp:inline distT="0" distB="0" distL="0" distR="0">
            <wp:extent cx="108204" cy="103632"/>
            <wp:effectExtent l="0" t="0" r="6350" b="0"/>
            <wp:docPr id="928318960" name="图片 3" descr="%FontSize=18&#10;%TeXFontSize=18&#10;\documentclass{article}&#10;\pagestyle{empty}&#10;\begin{document}&#10;\[&#10;\tau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18960" name="图片 3" descr="%FontSize=18&#10;%TeXFontSize=18&#10;\documentclass{article}&#10;\pagestyle{empty}&#10;\begin{document}&#10;\[&#10;\tau&#10;\]&#10;\end{document}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F87"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是误差项。</w:t>
      </w:r>
    </w:p>
    <w:p w:rsidR="00C953B2" w:rsidRPr="00C953B2" w:rsidRDefault="00C953B2" w:rsidP="009243DC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  <w:r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  <w:lastRenderedPageBreak/>
        <w:t>V1,V2</w:t>
      </w:r>
      <w:r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是经过因子分析后的新自变量。</w:t>
      </w:r>
    </w:p>
    <w:p w:rsidR="009243DC" w:rsidRDefault="009243DC" w:rsidP="009243DC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</w:p>
    <w:p w:rsidR="00221CE4" w:rsidRDefault="00221CE4" w:rsidP="00221CE4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  <w:r w:rsidRPr="00221CE4"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因子得分计算：首先，对每个观测值计算因子得分。这可以通过将原始变量的值与因子载荷相乘，并对所有因子得分进行求和来实现。因子载荷表示了每个原始变量对应因子的贡献程度。</w:t>
      </w:r>
    </w:p>
    <w:tbl>
      <w:tblPr>
        <w:tblW w:w="4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036"/>
        <w:gridCol w:w="1036"/>
      </w:tblGrid>
      <w:tr w:rsidR="007C5157" w:rsidTr="002C7933">
        <w:trPr>
          <w:cantSplit/>
        </w:trPr>
        <w:tc>
          <w:tcPr>
            <w:tcW w:w="45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5157" w:rsidRDefault="007C5157" w:rsidP="002C793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10205"/>
                <w:sz w:val="22"/>
                <w:szCs w:val="22"/>
              </w:rPr>
              <w:t>成分得分系数矩阵</w:t>
            </w:r>
          </w:p>
        </w:tc>
      </w:tr>
      <w:tr w:rsidR="007C5157" w:rsidTr="002C7933">
        <w:trPr>
          <w:cantSplit/>
        </w:trPr>
        <w:tc>
          <w:tcPr>
            <w:tcW w:w="24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C5157" w:rsidRDefault="007C5157" w:rsidP="002C7933">
            <w:pPr>
              <w:rPr>
                <w:rFonts w:ascii="Times New Roman" w:cs="Times New Roman"/>
                <w:sz w:val="24"/>
              </w:rPr>
            </w:pPr>
          </w:p>
        </w:tc>
        <w:tc>
          <w:tcPr>
            <w:tcW w:w="2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C5157" w:rsidRDefault="007C5157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成分</w:t>
            </w:r>
          </w:p>
        </w:tc>
      </w:tr>
      <w:tr w:rsidR="007C5157" w:rsidTr="002C7933">
        <w:trPr>
          <w:cantSplit/>
        </w:trPr>
        <w:tc>
          <w:tcPr>
            <w:tcW w:w="24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C5157" w:rsidRDefault="007C5157" w:rsidP="002C7933">
            <w:pPr>
              <w:rPr>
                <w:color w:val="264A6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C5157" w:rsidRDefault="007C5157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C5157" w:rsidRDefault="007C5157" w:rsidP="002C7933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2</w:t>
            </w:r>
          </w:p>
        </w:tc>
      </w:tr>
      <w:tr w:rsidR="007C5157" w:rsidTr="002C7933">
        <w:trPr>
          <w:cantSplit/>
        </w:trPr>
        <w:tc>
          <w:tcPr>
            <w:tcW w:w="24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5157" w:rsidRDefault="007C5157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color w:val="264A60"/>
                <w:sz w:val="18"/>
                <w:szCs w:val="18"/>
              </w:rPr>
              <w:t>GDP</w:t>
            </w:r>
            <w:r>
              <w:rPr>
                <w:rFonts w:hint="eastAsia"/>
                <w:color w:val="264A60"/>
                <w:sz w:val="18"/>
                <w:szCs w:val="18"/>
              </w:rPr>
              <w:t>（万亿）</w:t>
            </w:r>
          </w:p>
        </w:tc>
        <w:tc>
          <w:tcPr>
            <w:tcW w:w="103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0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.066</w:t>
            </w:r>
          </w:p>
        </w:tc>
      </w:tr>
      <w:tr w:rsidR="007C5157" w:rsidTr="002C7933">
        <w:trPr>
          <w:cantSplit/>
        </w:trPr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5157" w:rsidRDefault="007C5157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省电信业务总量（亿元）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.228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-.160</w:t>
            </w:r>
          </w:p>
        </w:tc>
      </w:tr>
      <w:tr w:rsidR="007C5157" w:rsidTr="002C7933">
        <w:trPr>
          <w:cantSplit/>
        </w:trPr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5157" w:rsidRDefault="007C5157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电子商务销售额（万亿）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.055</w:t>
            </w:r>
          </w:p>
        </w:tc>
      </w:tr>
      <w:tr w:rsidR="007C5157" w:rsidTr="002C7933">
        <w:trPr>
          <w:cantSplit/>
        </w:trPr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5157" w:rsidRDefault="007C5157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互联网接入端口数量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.030</w:t>
            </w:r>
          </w:p>
        </w:tc>
      </w:tr>
      <w:tr w:rsidR="007C5157" w:rsidTr="002C7933">
        <w:trPr>
          <w:cantSplit/>
        </w:trPr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5157" w:rsidRDefault="007C5157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移动电话普及率：每一百人拥有的电话数量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.189</w:t>
            </w:r>
          </w:p>
        </w:tc>
      </w:tr>
      <w:tr w:rsidR="007C5157" w:rsidTr="002C7933">
        <w:trPr>
          <w:cantSplit/>
        </w:trPr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5157" w:rsidRDefault="007C5157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移动互联网接入流量（万万</w:t>
            </w:r>
            <w:r>
              <w:rPr>
                <w:color w:val="264A60"/>
                <w:sz w:val="18"/>
                <w:szCs w:val="18"/>
              </w:rPr>
              <w:t>GB</w:t>
            </w:r>
            <w:r>
              <w:rPr>
                <w:rFonts w:hint="eastAsia"/>
                <w:color w:val="264A60"/>
                <w:sz w:val="18"/>
                <w:szCs w:val="18"/>
              </w:rPr>
              <w:t>）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.335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-.255</w:t>
            </w:r>
          </w:p>
        </w:tc>
      </w:tr>
      <w:tr w:rsidR="007C5157" w:rsidTr="002C7933">
        <w:trPr>
          <w:cantSplit/>
        </w:trPr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5157" w:rsidRDefault="007C5157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固定电话数量（万个）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.113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-.335</w:t>
            </w:r>
          </w:p>
        </w:tc>
      </w:tr>
      <w:tr w:rsidR="007C5157" w:rsidTr="002C7933">
        <w:trPr>
          <w:cantSplit/>
        </w:trPr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5157" w:rsidRDefault="007C5157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网站数（万万</w:t>
            </w:r>
            <w:proofErr w:type="gramStart"/>
            <w:r>
              <w:rPr>
                <w:rFonts w:hint="eastAsia"/>
                <w:color w:val="264A60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-.020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.211</w:t>
            </w:r>
          </w:p>
        </w:tc>
      </w:tr>
      <w:tr w:rsidR="007C5157" w:rsidTr="002C7933">
        <w:trPr>
          <w:cantSplit/>
        </w:trPr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5157" w:rsidRDefault="007C5157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财政支出（万亿）占</w:t>
            </w:r>
            <w:r>
              <w:rPr>
                <w:color w:val="264A60"/>
                <w:sz w:val="18"/>
                <w:szCs w:val="18"/>
              </w:rPr>
              <w:t>GDP</w:t>
            </w:r>
            <w:r>
              <w:rPr>
                <w:rFonts w:hint="eastAsia"/>
                <w:color w:val="264A60"/>
                <w:sz w:val="18"/>
                <w:szCs w:val="18"/>
              </w:rPr>
              <w:t>比重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.314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-.547</w:t>
            </w:r>
          </w:p>
        </w:tc>
      </w:tr>
      <w:tr w:rsidR="007C5157" w:rsidTr="002C7933">
        <w:trPr>
          <w:cantSplit/>
        </w:trPr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5157" w:rsidRDefault="007C5157" w:rsidP="002C7933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高等教育在校生数量（人力资本水平）</w:t>
            </w:r>
          </w:p>
        </w:tc>
        <w:tc>
          <w:tcPr>
            <w:tcW w:w="103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C5157" w:rsidRDefault="007C5157" w:rsidP="002C7933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-.159</w:t>
            </w:r>
          </w:p>
        </w:tc>
      </w:tr>
    </w:tbl>
    <w:p w:rsidR="00221CE4" w:rsidRDefault="007C5157" w:rsidP="00221CE4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  <w:r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最后计算得出新的回归变量</w:t>
      </w:r>
    </w:p>
    <w:p w:rsidR="007C5157" w:rsidRDefault="007C5157" w:rsidP="00221CE4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  <w:r w:rsidRPr="007C5157">
        <w:rPr>
          <w:rFonts w:hint="eastAsia"/>
          <w:noProof/>
        </w:rPr>
        <w:drawing>
          <wp:inline distT="0" distB="0" distL="0" distR="0">
            <wp:extent cx="1837055" cy="2113915"/>
            <wp:effectExtent l="0" t="0" r="0" b="635"/>
            <wp:docPr id="19891138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157" w:rsidRDefault="00637709" w:rsidP="00221CE4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  <w:r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进行线性回归</w:t>
      </w:r>
    </w:p>
    <w:p w:rsidR="00637709" w:rsidRPr="00637709" w:rsidRDefault="00637709" w:rsidP="006377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tbl>
      <w:tblPr>
        <w:tblW w:w="10106" w:type="dxa"/>
        <w:tblInd w:w="-8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8"/>
        <w:gridCol w:w="795"/>
        <w:gridCol w:w="1047"/>
        <w:gridCol w:w="1047"/>
        <w:gridCol w:w="1234"/>
        <w:gridCol w:w="1047"/>
        <w:gridCol w:w="1047"/>
        <w:gridCol w:w="1047"/>
        <w:gridCol w:w="1047"/>
        <w:gridCol w:w="1047"/>
      </w:tblGrid>
      <w:tr w:rsidR="00637709" w:rsidRPr="00637709" w:rsidTr="00637709">
        <w:trPr>
          <w:cantSplit/>
        </w:trPr>
        <w:tc>
          <w:tcPr>
            <w:tcW w:w="1010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  <w:szCs w:val="22"/>
              </w:rPr>
            </w:pPr>
            <w:r w:rsidRPr="00637709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  <w:szCs w:val="22"/>
              </w:rPr>
              <w:t>系数</w:t>
            </w:r>
            <w:r w:rsidRPr="00637709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szCs w:val="22"/>
                <w:vertAlign w:val="superscript"/>
              </w:rPr>
              <w:t>a</w:t>
            </w:r>
          </w:p>
        </w:tc>
      </w:tr>
      <w:tr w:rsidR="00637709" w:rsidRPr="00637709" w:rsidTr="00637709">
        <w:trPr>
          <w:cantSplit/>
        </w:trPr>
        <w:tc>
          <w:tcPr>
            <w:tcW w:w="154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3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314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相关性</w:t>
            </w:r>
          </w:p>
        </w:tc>
      </w:tr>
      <w:tr w:rsidR="00637709" w:rsidRPr="00637709" w:rsidTr="00637709">
        <w:trPr>
          <w:cantSplit/>
        </w:trPr>
        <w:tc>
          <w:tcPr>
            <w:tcW w:w="15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标准错误</w:t>
            </w:r>
          </w:p>
        </w:tc>
        <w:tc>
          <w:tcPr>
            <w:tcW w:w="12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4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gramStart"/>
            <w:r w:rsidRPr="0063770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零阶</w:t>
            </w:r>
            <w:proofErr w:type="gramEnd"/>
          </w:p>
        </w:tc>
        <w:tc>
          <w:tcPr>
            <w:tcW w:w="10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偏</w:t>
            </w:r>
          </w:p>
        </w:tc>
        <w:tc>
          <w:tcPr>
            <w:tcW w:w="104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部分</w:t>
            </w:r>
          </w:p>
        </w:tc>
      </w:tr>
      <w:tr w:rsidR="00637709" w:rsidRPr="00637709" w:rsidTr="00637709">
        <w:trPr>
          <w:cantSplit/>
        </w:trPr>
        <w:tc>
          <w:tcPr>
            <w:tcW w:w="74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63770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63770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4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239.078</w:t>
            </w: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15.062</w:t>
            </w:r>
          </w:p>
        </w:tc>
        <w:tc>
          <w:tcPr>
            <w:tcW w:w="12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15.873</w:t>
            </w: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637709" w:rsidRPr="00637709" w:rsidTr="00637709">
        <w:trPr>
          <w:cantSplit/>
        </w:trPr>
        <w:tc>
          <w:tcPr>
            <w:tcW w:w="7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7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V1</w:t>
            </w:r>
          </w:p>
        </w:tc>
        <w:tc>
          <w:tcPr>
            <w:tcW w:w="104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-.009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.013</w:t>
            </w:r>
          </w:p>
        </w:tc>
        <w:tc>
          <w:tcPr>
            <w:tcW w:w="12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-.337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-.675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  <w:r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00</w:t>
            </w: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.024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-.232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-.226</w:t>
            </w:r>
          </w:p>
        </w:tc>
      </w:tr>
      <w:tr w:rsidR="00637709" w:rsidRPr="00637709" w:rsidTr="00637709">
        <w:trPr>
          <w:cantSplit/>
        </w:trPr>
        <w:tc>
          <w:tcPr>
            <w:tcW w:w="7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V2</w:t>
            </w:r>
          </w:p>
        </w:tc>
        <w:tc>
          <w:tcPr>
            <w:tcW w:w="104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-.029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.029</w:t>
            </w:r>
          </w:p>
        </w:tc>
        <w:tc>
          <w:tcPr>
            <w:tcW w:w="12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-.487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-.976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  <w:r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00</w:t>
            </w: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-.237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-.326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-.326</w:t>
            </w:r>
          </w:p>
        </w:tc>
      </w:tr>
      <w:tr w:rsidR="00637709" w:rsidRPr="00637709" w:rsidTr="00637709">
        <w:trPr>
          <w:cantSplit/>
        </w:trPr>
        <w:tc>
          <w:tcPr>
            <w:tcW w:w="1010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709" w:rsidRPr="00637709" w:rsidRDefault="00637709" w:rsidP="0063770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637709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63770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V3</w:t>
            </w:r>
          </w:p>
        </w:tc>
      </w:tr>
    </w:tbl>
    <w:p w:rsidR="000777A9" w:rsidRPr="000777A9" w:rsidRDefault="000777A9" w:rsidP="000777A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0777A9">
        <w:rPr>
          <w:rFonts w:ascii="Times New Roman" w:eastAsia="宋体" w:hAnsi="Times New Roman" w:cs="Times New Roman" w:hint="eastAsia"/>
          <w:kern w:val="0"/>
          <w:sz w:val="24"/>
        </w:rPr>
        <w:t>常量项（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Intercept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）：模型中的常量项为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239.078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。这表示当所有自变量（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V1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V2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）的取值都为零时，因变量（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V3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）的估计值为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239.078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:rsidR="000777A9" w:rsidRPr="000777A9" w:rsidRDefault="000777A9" w:rsidP="000777A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0777A9" w:rsidRPr="000777A9" w:rsidRDefault="000777A9" w:rsidP="000777A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0777A9">
        <w:rPr>
          <w:rFonts w:ascii="Times New Roman" w:eastAsia="宋体" w:hAnsi="Times New Roman" w:cs="Times New Roman" w:hint="eastAsia"/>
          <w:kern w:val="0"/>
          <w:sz w:val="24"/>
        </w:rPr>
        <w:t>自变量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V1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V1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的未标准化系数为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-0.009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，标准误差为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0.013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。标准化系数（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Beta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）为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-0.337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，表示在控制其他变量的情况下，每单位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V1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的增加对因变量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V3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的影响程度为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-0.337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。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t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统计量为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-0.675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，对应的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p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值为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0.</w:t>
      </w:r>
      <w:r>
        <w:rPr>
          <w:rFonts w:ascii="Times New Roman" w:eastAsia="宋体" w:hAnsi="Times New Roman" w:cs="Times New Roman"/>
          <w:kern w:val="0"/>
          <w:sz w:val="24"/>
        </w:rPr>
        <w:t>00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9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，说明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V1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的系数在统计上显著。</w:t>
      </w:r>
    </w:p>
    <w:p w:rsidR="000777A9" w:rsidRPr="000777A9" w:rsidRDefault="000777A9" w:rsidP="000777A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0777A9" w:rsidRPr="000777A9" w:rsidRDefault="000777A9" w:rsidP="000777A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0777A9">
        <w:rPr>
          <w:rFonts w:ascii="Times New Roman" w:eastAsia="宋体" w:hAnsi="Times New Roman" w:cs="Times New Roman" w:hint="eastAsia"/>
          <w:kern w:val="0"/>
          <w:sz w:val="24"/>
        </w:rPr>
        <w:t>自变量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V2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V2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的未标准化系数为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-0.029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，标准误差为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0.029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。标准化系数（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Beta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）为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-0.487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，表示在控制其他变量的情况下，每单位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V2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的增加对因变量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V3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的影响程度为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-0.487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。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t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统计量为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-0.976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，对应的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p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值为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0.</w:t>
      </w:r>
      <w:r>
        <w:rPr>
          <w:rFonts w:ascii="Times New Roman" w:eastAsia="宋体" w:hAnsi="Times New Roman" w:cs="Times New Roman"/>
          <w:kern w:val="0"/>
          <w:sz w:val="24"/>
        </w:rPr>
        <w:t>00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8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，说明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V2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的系数在统计上显著。</w:t>
      </w:r>
    </w:p>
    <w:p w:rsidR="000777A9" w:rsidRPr="000777A9" w:rsidRDefault="000777A9" w:rsidP="000777A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0777A9" w:rsidRPr="000777A9" w:rsidRDefault="000777A9" w:rsidP="000777A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0777A9">
        <w:rPr>
          <w:rFonts w:ascii="Times New Roman" w:eastAsia="宋体" w:hAnsi="Times New Roman" w:cs="Times New Roman" w:hint="eastAsia"/>
          <w:kern w:val="0"/>
          <w:sz w:val="24"/>
        </w:rPr>
        <w:t>综合以上分析，可以得出结论：</w:t>
      </w:r>
    </w:p>
    <w:p w:rsidR="000777A9" w:rsidRPr="000777A9" w:rsidRDefault="000777A9" w:rsidP="000777A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637709" w:rsidRPr="00637709" w:rsidRDefault="000777A9" w:rsidP="000777A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0777A9">
        <w:rPr>
          <w:rFonts w:ascii="Times New Roman" w:eastAsia="宋体" w:hAnsi="Times New Roman" w:cs="Times New Roman" w:hint="eastAsia"/>
          <w:kern w:val="0"/>
          <w:sz w:val="24"/>
        </w:rPr>
        <w:t>根据给出的模型结果，自变量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V1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V2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在统计上对因变量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V3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的影响显著，即在这个模型中，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V1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V2</w:t>
      </w:r>
      <w:r>
        <w:rPr>
          <w:rFonts w:ascii="Times New Roman" w:eastAsia="宋体" w:hAnsi="Times New Roman" w:cs="Times New Roman" w:hint="eastAsia"/>
          <w:kern w:val="0"/>
          <w:sz w:val="24"/>
        </w:rPr>
        <w:t>能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显著预测因变量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V3</w:t>
      </w:r>
      <w:r w:rsidRPr="000777A9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:rsidR="000777A9" w:rsidRDefault="000777A9" w:rsidP="000777A9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</w:p>
    <w:p w:rsidR="00DB4907" w:rsidRPr="000777A9" w:rsidRDefault="00DB4907" w:rsidP="000777A9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</w:p>
    <w:p w:rsidR="00637709" w:rsidRDefault="000777A9" w:rsidP="000777A9">
      <w:pPr>
        <w:jc w:val="left"/>
        <w:rPr>
          <w:rFonts w:ascii="黑体" w:eastAsia="黑体" w:hAnsi="黑体" w:cs="黑体"/>
          <w:color w:val="000000"/>
          <w:sz w:val="36"/>
          <w:szCs w:val="36"/>
          <w:shd w:val="clear" w:color="auto" w:fill="FFFFFF"/>
        </w:rPr>
      </w:pPr>
      <w:r w:rsidRPr="000777A9"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显著性水平（通常表示为p值）用于评估统计结果的显著性。p值反映了在原假设为真的情况下，观察到与之相反的结果的概率。一般而言，显著性水平越小，表示观察到的差异越不可能是由随机性引起的，因此结果越显著</w:t>
      </w:r>
      <w:r>
        <w:rPr>
          <w:rFonts w:ascii="黑体" w:eastAsia="黑体" w:hAnsi="黑体" w:cs="黑体" w:hint="eastAsia"/>
          <w:color w:val="000000"/>
          <w:sz w:val="36"/>
          <w:szCs w:val="36"/>
          <w:shd w:val="clear" w:color="auto" w:fill="FFFFFF"/>
        </w:rPr>
        <w:t>。由此看来模型通过显著性检验</w:t>
      </w:r>
    </w:p>
    <w:sectPr w:rsidR="00637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0409" w:rsidRDefault="00170409" w:rsidP="003E41EB">
      <w:r>
        <w:separator/>
      </w:r>
    </w:p>
  </w:endnote>
  <w:endnote w:type="continuationSeparator" w:id="0">
    <w:p w:rsidR="00170409" w:rsidRDefault="00170409" w:rsidP="003E4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confont">
    <w:altName w:val="Segoe Print"/>
    <w:charset w:val="00"/>
    <w:family w:val="auto"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0409" w:rsidRDefault="00170409" w:rsidP="003E41EB">
      <w:r>
        <w:separator/>
      </w:r>
    </w:p>
  </w:footnote>
  <w:footnote w:type="continuationSeparator" w:id="0">
    <w:p w:rsidR="00170409" w:rsidRDefault="00170409" w:rsidP="003E4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2E1A5B"/>
    <w:multiLevelType w:val="singleLevel"/>
    <w:tmpl w:val="C82E1A5B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5C906"/>
    <w:multiLevelType w:val="singleLevel"/>
    <w:tmpl w:val="10C5C906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422407739">
    <w:abstractNumId w:val="1"/>
  </w:num>
  <w:num w:numId="2" w16cid:durableId="82361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E0YjQ3NzI3ODc2OWE5YzdkYjViODk0YmE0ZDViNDcifQ=="/>
  </w:docVars>
  <w:rsids>
    <w:rsidRoot w:val="77B54875"/>
    <w:rsid w:val="000777A9"/>
    <w:rsid w:val="00082B08"/>
    <w:rsid w:val="000C7F8E"/>
    <w:rsid w:val="00154F87"/>
    <w:rsid w:val="00170409"/>
    <w:rsid w:val="001D6BED"/>
    <w:rsid w:val="00221CE4"/>
    <w:rsid w:val="0032106E"/>
    <w:rsid w:val="003C1EFC"/>
    <w:rsid w:val="003D4CFB"/>
    <w:rsid w:val="003E41EB"/>
    <w:rsid w:val="00401DA9"/>
    <w:rsid w:val="00567086"/>
    <w:rsid w:val="00585990"/>
    <w:rsid w:val="005A4C8F"/>
    <w:rsid w:val="00635125"/>
    <w:rsid w:val="00637709"/>
    <w:rsid w:val="006C6751"/>
    <w:rsid w:val="00713C29"/>
    <w:rsid w:val="007B2D10"/>
    <w:rsid w:val="007C5157"/>
    <w:rsid w:val="007D23B8"/>
    <w:rsid w:val="00807FD5"/>
    <w:rsid w:val="009243DC"/>
    <w:rsid w:val="009512B8"/>
    <w:rsid w:val="00A6351A"/>
    <w:rsid w:val="00B03C7B"/>
    <w:rsid w:val="00C953B2"/>
    <w:rsid w:val="00D54E5F"/>
    <w:rsid w:val="00DB4907"/>
    <w:rsid w:val="00F85818"/>
    <w:rsid w:val="00FB64B9"/>
    <w:rsid w:val="77B5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69F18F"/>
  <w15:docId w15:val="{B77B74E8-F4A3-46D5-9559-5BB32245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character" w:customStyle="1" w:styleId="font21">
    <w:name w:val="font21"/>
    <w:basedOn w:val="a0"/>
    <w:rPr>
      <w:rFonts w:ascii="Helvetica" w:eastAsia="Helvetica" w:hAnsi="Helvetica" w:cs="Helvetica" w:hint="default"/>
      <w:color w:val="000000"/>
      <w:sz w:val="21"/>
      <w:szCs w:val="21"/>
      <w:u w:val="none"/>
    </w:rPr>
  </w:style>
  <w:style w:type="character" w:customStyle="1" w:styleId="font11">
    <w:name w:val="font11"/>
    <w:basedOn w:val="a0"/>
    <w:rPr>
      <w:rFonts w:ascii="iconfont" w:eastAsia="iconfont" w:hAnsi="iconfont" w:cs="iconfont"/>
      <w:color w:val="CCCCCC"/>
      <w:sz w:val="21"/>
      <w:szCs w:val="21"/>
      <w:u w:val="non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font31">
    <w:name w:val="font31"/>
    <w:basedOn w:val="a0"/>
    <w:rPr>
      <w:rFonts w:ascii="Helvetica" w:eastAsia="Helvetica" w:hAnsi="Helvetica" w:cs="Helvetica" w:hint="default"/>
      <w:i/>
      <w:iCs/>
      <w:color w:val="000000"/>
      <w:sz w:val="21"/>
      <w:szCs w:val="21"/>
      <w:u w:val="none"/>
    </w:rPr>
  </w:style>
  <w:style w:type="character" w:customStyle="1" w:styleId="font41">
    <w:name w:val="font41"/>
    <w:basedOn w:val="a0"/>
    <w:rPr>
      <w:rFonts w:ascii="Helvetica" w:eastAsia="Helvetica" w:hAnsi="Helvetica" w:cs="Helvetica" w:hint="default"/>
      <w:i/>
      <w:iCs/>
      <w:color w:val="000000"/>
      <w:sz w:val="21"/>
      <w:szCs w:val="21"/>
      <w:u w:val="none"/>
    </w:rPr>
  </w:style>
  <w:style w:type="table" w:styleId="a5">
    <w:name w:val="Table Grid"/>
    <w:basedOn w:val="a1"/>
    <w:rsid w:val="003D4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3E41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E41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3E4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E41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正 骑</cp:lastModifiedBy>
  <cp:revision>8</cp:revision>
  <dcterms:created xsi:type="dcterms:W3CDTF">2023-06-07T09:14:00Z</dcterms:created>
  <dcterms:modified xsi:type="dcterms:W3CDTF">2023-06-13T03:53:00Z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F6795689886B49D893DCF535DE615EF8_11</vt:lpwstr>
  </property>
</Properties>
</file>