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7D4665">
      <w:pPr>
        <w:rPr>
          <w:rFonts w:ascii="宋体" w:eastAsia="宋体" w:cs="宋体"/>
          <w:kern w:val="0"/>
          <w:sz w:val="24"/>
          <w:szCs w:val="24"/>
        </w:rPr>
      </w:pPr>
    </w:p>
    <w:p w:rsidR="004502D6" w:rsidRDefault="004502D6" w:rsidP="004502D6">
      <w:r>
        <w:rPr>
          <w:rFonts w:hint="eastAsia"/>
        </w:rPr>
        <w:t>第</w:t>
      </w:r>
      <w:r>
        <w:t>4 章 基于BJW 模型的A 股市场异象实证研究</w:t>
      </w:r>
    </w:p>
    <w:p w:rsidR="004502D6" w:rsidRDefault="004502D6" w:rsidP="004502D6">
      <w:r>
        <w:rPr>
          <w:rFonts w:hint="eastAsia"/>
        </w:rPr>
        <w:t>为了了解模型是否能够解释某个特定的异常现象，参考</w:t>
      </w:r>
      <w:proofErr w:type="spellStart"/>
      <w:r>
        <w:t>Barberis</w:t>
      </w:r>
      <w:proofErr w:type="spellEnd"/>
      <w:r>
        <w:t>，</w:t>
      </w:r>
      <w:proofErr w:type="spellStart"/>
      <w:r>
        <w:t>Jin</w:t>
      </w:r>
      <w:proofErr w:type="spellEnd"/>
      <w:r>
        <w:t xml:space="preserve"> </w:t>
      </w:r>
      <w:proofErr w:type="gramStart"/>
      <w:r>
        <w:t>和</w:t>
      </w:r>
      <w:proofErr w:type="gramEnd"/>
    </w:p>
    <w:p w:rsidR="004502D6" w:rsidRDefault="004502D6" w:rsidP="004502D6">
      <w:r>
        <w:t>Wang(2021)的做法。考虑一个有</w:t>
      </w:r>
      <w:r>
        <w:rPr>
          <w:rFonts w:ascii="Cambria Math" w:hAnsi="Cambria Math" w:cs="Cambria Math"/>
        </w:rPr>
        <w:t>𝑁</w:t>
      </w:r>
      <w:r>
        <w:t xml:space="preserve"> = 1000只股票的经济体，并将其中所有股票按</w:t>
      </w:r>
    </w:p>
    <w:p w:rsidR="004502D6" w:rsidRDefault="004502D6" w:rsidP="004502D6">
      <w:r>
        <w:rPr>
          <w:rFonts w:hint="eastAsia"/>
        </w:rPr>
        <w:t>照市场异象对应的异象变量值从小到大进行排序，根据异象变量值的十分位数将</w:t>
      </w:r>
    </w:p>
    <w:p w:rsidR="004502D6" w:rsidRDefault="004502D6" w:rsidP="004502D6">
      <w:r>
        <w:rPr>
          <w:rFonts w:hint="eastAsia"/>
        </w:rPr>
        <w:t>所有股票分为</w:t>
      </w:r>
      <w:r>
        <w:t>10 组，每组包含100 只股票：第1 至第100 只股票属于第1 组(D1)，</w:t>
      </w:r>
    </w:p>
    <w:p w:rsidR="004502D6" w:rsidRDefault="004502D6" w:rsidP="004502D6">
      <w:r>
        <w:rPr>
          <w:rFonts w:hint="eastAsia"/>
        </w:rPr>
        <w:t>第</w:t>
      </w:r>
      <w:r>
        <w:t>101 至第200 只股票属于第2 组(D2)，以此类推。一个给定的十分位组中的所</w:t>
      </w:r>
    </w:p>
    <w:p w:rsidR="004502D6" w:rsidRDefault="004502D6" w:rsidP="004502D6">
      <w:r>
        <w:rPr>
          <w:rFonts w:hint="eastAsia"/>
        </w:rPr>
        <w:t>有股票都是相同的：它们有相同的特征，即</w:t>
      </w:r>
      <w:proofErr w:type="gramStart"/>
      <w:r>
        <w:rPr>
          <w:rFonts w:hint="eastAsia"/>
        </w:rPr>
        <w:t>该十分</w:t>
      </w:r>
      <w:proofErr w:type="gramEnd"/>
      <w:r>
        <w:rPr>
          <w:rFonts w:hint="eastAsia"/>
        </w:rPr>
        <w:t>位组中的典型股票的经验特征。</w:t>
      </w:r>
    </w:p>
    <w:p w:rsidR="004502D6" w:rsidRDefault="004502D6" w:rsidP="004502D6">
      <w:r>
        <w:rPr>
          <w:rFonts w:hint="eastAsia"/>
        </w:rPr>
        <w:t>在每一个十分位组中，随机选择一只股票，并利用前文</w:t>
      </w:r>
      <w:r>
        <w:t>BJW 模型对其期望收益进</w:t>
      </w:r>
    </w:p>
    <w:p w:rsidR="004502D6" w:rsidRDefault="004502D6" w:rsidP="004502D6">
      <w:r>
        <w:rPr>
          <w:rFonts w:hint="eastAsia"/>
        </w:rPr>
        <w:t>行预测。由于在一个给定的十分位组中，所有股票都被认为是相同的，预测出其</w:t>
      </w:r>
    </w:p>
    <w:p w:rsidR="004502D6" w:rsidRDefault="004502D6" w:rsidP="004502D6">
      <w:r>
        <w:rPr>
          <w:rFonts w:hint="eastAsia"/>
        </w:rPr>
        <w:t>中一只股票的期望收益也就得到了该组中所有股票的期望收益。如果模型预测的</w:t>
      </w:r>
    </w:p>
    <w:p w:rsidR="004502D6" w:rsidRDefault="004502D6" w:rsidP="004502D6">
      <w:r>
        <w:rPr>
          <w:rFonts w:hint="eastAsia"/>
        </w:rPr>
        <w:t>第</w:t>
      </w:r>
      <w:r>
        <w:t xml:space="preserve">10 </w:t>
      </w:r>
      <w:proofErr w:type="gramStart"/>
      <w:r>
        <w:t>组股票</w:t>
      </w:r>
      <w:proofErr w:type="gramEnd"/>
      <w:r>
        <w:t xml:space="preserve">的期望收益大于模型预测的第1 </w:t>
      </w:r>
      <w:proofErr w:type="gramStart"/>
      <w:r>
        <w:t>组股票</w:t>
      </w:r>
      <w:proofErr w:type="gramEnd"/>
      <w:r>
        <w:t>的期望收益，实际中第10 组</w:t>
      </w:r>
    </w:p>
    <w:p w:rsidR="004502D6" w:rsidRDefault="004502D6" w:rsidP="004502D6">
      <w:r>
        <w:rPr>
          <w:rFonts w:hint="eastAsia"/>
        </w:rPr>
        <w:t>的收益也大于第</w:t>
      </w:r>
      <w:r>
        <w:t>1 组的收益，则模型就可以帮助解释该市场异象。</w:t>
      </w:r>
    </w:p>
    <w:p w:rsidR="004502D6" w:rsidRDefault="004502D6" w:rsidP="004502D6"/>
    <w:p w:rsidR="004502D6" w:rsidRDefault="004502D6" w:rsidP="004502D6">
      <w:r>
        <w:lastRenderedPageBreak/>
        <w:t>4.1 模型经验输入</w:t>
      </w:r>
    </w:p>
    <w:p w:rsidR="004502D6" w:rsidRDefault="004502D6" w:rsidP="004502D6">
      <w:r>
        <w:rPr>
          <w:rFonts w:hint="eastAsia"/>
        </w:rPr>
        <w:t>在模型中，需要哪些经验输入来计算股票的预期收益？公式</w:t>
      </w:r>
      <w:r>
        <w:t>(2.16)显示，为了</w:t>
      </w:r>
    </w:p>
    <w:p w:rsidR="004502D6" w:rsidRDefault="004502D6" w:rsidP="004502D6">
      <w:r>
        <w:rPr>
          <w:rFonts w:hint="eastAsia"/>
        </w:rPr>
        <w:t>确定</w:t>
      </w:r>
      <w:r>
        <w:rPr>
          <w:rFonts w:ascii="Cambria Math" w:hAnsi="Cambria Math" w:cs="Cambria Math"/>
        </w:rPr>
        <w:t>𝜇𝑖</w:t>
      </w:r>
      <w:r>
        <w:t>，以及股票</w:t>
      </w:r>
      <w:r>
        <w:rPr>
          <w:rFonts w:ascii="Cambria Math" w:hAnsi="Cambria Math" w:cs="Cambria Math"/>
        </w:rPr>
        <w:t>𝑖</w:t>
      </w:r>
      <w:r>
        <w:t>的期望收益，需要知道</w:t>
      </w:r>
      <w:r>
        <w:rPr>
          <w:rFonts w:ascii="Cambria Math" w:hAnsi="Cambria Math" w:cs="Cambria Math"/>
        </w:rPr>
        <w:t>𝜁𝑖</w:t>
      </w:r>
      <w:r>
        <w:t>、</w:t>
      </w:r>
      <w:r>
        <w:rPr>
          <w:rFonts w:ascii="Cambria Math" w:hAnsi="Cambria Math" w:cs="Cambria Math"/>
        </w:rPr>
        <w:t>𝑔𝑖</w:t>
      </w:r>
      <w:r>
        <w:t>和</w:t>
      </w:r>
      <w:r>
        <w:rPr>
          <w:rFonts w:ascii="Cambria Math" w:hAnsi="Cambria Math" w:cs="Cambria Math"/>
        </w:rPr>
        <w:t>𝛽𝑖</w:t>
      </w:r>
      <w:r>
        <w:t>。换句话说，为了用模型对某</w:t>
      </w:r>
    </w:p>
    <w:p w:rsidR="004502D6" w:rsidRDefault="004502D6" w:rsidP="004502D6">
      <w:proofErr w:type="gramStart"/>
      <w:r>
        <w:rPr>
          <w:rFonts w:hint="eastAsia"/>
        </w:rPr>
        <w:t>一</w:t>
      </w:r>
      <w:proofErr w:type="gramEnd"/>
      <w:r>
        <w:rPr>
          <w:rFonts w:hint="eastAsia"/>
        </w:rPr>
        <w:t>异象十分</w:t>
      </w:r>
      <w:proofErr w:type="gramStart"/>
      <w:r>
        <w:rPr>
          <w:rFonts w:hint="eastAsia"/>
        </w:rPr>
        <w:t>位组股票</w:t>
      </w:r>
      <w:proofErr w:type="gramEnd"/>
      <w:r>
        <w:rPr>
          <w:rFonts w:hint="eastAsia"/>
        </w:rPr>
        <w:t>的期望收益进行预测，我们需要知道该异象</w:t>
      </w:r>
      <w:proofErr w:type="gramStart"/>
      <w:r>
        <w:rPr>
          <w:rFonts w:hint="eastAsia"/>
        </w:rPr>
        <w:t>十分位组的</w:t>
      </w:r>
      <w:proofErr w:type="gramEnd"/>
      <w:r>
        <w:rPr>
          <w:rFonts w:hint="eastAsia"/>
        </w:rPr>
        <w:t>典型</w:t>
      </w:r>
    </w:p>
    <w:p w:rsidR="004502D6" w:rsidRDefault="004502D6" w:rsidP="004502D6">
      <w:r>
        <w:rPr>
          <w:rFonts w:hint="eastAsia"/>
        </w:rPr>
        <w:t>股票的收益率标准差，收益率偏度，未实现资本利得</w:t>
      </w:r>
      <w:r>
        <w:t>CGO 以及</w:t>
      </w:r>
      <w:r>
        <w:rPr>
          <w:rFonts w:ascii="Cambria Math" w:hAnsi="Cambria Math" w:cs="Cambria Math"/>
        </w:rPr>
        <w:t>𝛽</w:t>
      </w:r>
      <w:r>
        <w:t>值。这些参数可</w:t>
      </w:r>
    </w:p>
    <w:p w:rsidR="004502D6" w:rsidRDefault="004502D6" w:rsidP="004502D6">
      <w:r>
        <w:rPr>
          <w:rFonts w:hint="eastAsia"/>
        </w:rPr>
        <w:t>以从历史数据中估计。</w:t>
      </w:r>
    </w:p>
    <w:p w:rsidR="004502D6" w:rsidRDefault="004502D6" w:rsidP="004502D6">
      <w:r>
        <w:rPr>
          <w:rFonts w:hint="eastAsia"/>
        </w:rPr>
        <w:t>这里就要解释一下为什么</w:t>
      </w:r>
      <w:r>
        <w:rPr>
          <w:rFonts w:ascii="Cambria Math" w:hAnsi="Cambria Math" w:cs="Cambria Math"/>
        </w:rPr>
        <w:t>𝜇𝑖</w:t>
      </w:r>
      <w:r>
        <w:t>不能够从历史数据估计得到。本文使用的BJW 模</w:t>
      </w:r>
    </w:p>
    <w:p w:rsidR="004502D6" w:rsidRDefault="004502D6" w:rsidP="004502D6">
      <w:r>
        <w:rPr>
          <w:rFonts w:hint="eastAsia"/>
        </w:rPr>
        <w:t>型是一个资产定价模型，用于预测现实世界股票的期望收益，而</w:t>
      </w:r>
      <w:r>
        <w:rPr>
          <w:rFonts w:ascii="Cambria Math" w:hAnsi="Cambria Math" w:cs="Cambria Math"/>
        </w:rPr>
        <w:t>𝜇𝑖</w:t>
      </w:r>
      <w:r>
        <w:t>这个参数了资</w:t>
      </w:r>
    </w:p>
    <w:p w:rsidR="004502D6" w:rsidRDefault="004502D6" w:rsidP="004502D6">
      <w:r>
        <w:rPr>
          <w:rFonts w:hint="eastAsia"/>
        </w:rPr>
        <w:t>产收益率分布的均值，即决定股票的期望收益，因此这里的</w:t>
      </w:r>
      <w:r>
        <w:rPr>
          <w:rFonts w:ascii="Cambria Math" w:hAnsi="Cambria Math" w:cs="Cambria Math"/>
        </w:rPr>
        <w:t>𝜇𝑖</w:t>
      </w:r>
      <w:r>
        <w:t>应使得模型最优解</w:t>
      </w:r>
    </w:p>
    <w:p w:rsidR="004502D6" w:rsidRDefault="004502D6" w:rsidP="004502D6">
      <w:r>
        <w:rPr>
          <w:rFonts w:hint="eastAsia"/>
        </w:rPr>
        <w:t>Θ</w:t>
      </w:r>
      <w:r>
        <w:rPr>
          <w:rFonts w:ascii="Cambria Math" w:hAnsi="Cambria Math" w:cs="Cambria Math"/>
        </w:rPr>
        <w:t>𝑖</w:t>
      </w:r>
      <w:r>
        <w:t>满足市场出清条件。用历史数据估计</w:t>
      </w:r>
      <w:r>
        <w:rPr>
          <w:rFonts w:ascii="Cambria Math" w:hAnsi="Cambria Math" w:cs="Cambria Math"/>
        </w:rPr>
        <w:t>𝜇𝑖</w:t>
      </w:r>
      <w:r>
        <w:t>，再最大化目标函数求解出Θ</w:t>
      </w:r>
      <w:r>
        <w:rPr>
          <w:rFonts w:ascii="Cambria Math" w:hAnsi="Cambria Math" w:cs="Cambria Math"/>
        </w:rPr>
        <w:t>𝑖</w:t>
      </w:r>
      <w:r>
        <w:t>是没有意</w:t>
      </w:r>
    </w:p>
    <w:p w:rsidR="004502D6" w:rsidRDefault="004502D6" w:rsidP="004502D6">
      <w:r>
        <w:rPr>
          <w:rFonts w:hint="eastAsia"/>
        </w:rPr>
        <w:t>义的，而要将模型与实际市场均衡结合起来，即模型解出的Θ</w:t>
      </w:r>
      <w:r>
        <w:rPr>
          <w:rFonts w:ascii="Cambria Math" w:hAnsi="Cambria Math" w:cs="Cambria Math"/>
        </w:rPr>
        <w:t>𝑖</w:t>
      </w:r>
      <w:r>
        <w:t>应与市场组合权重</w:t>
      </w:r>
    </w:p>
    <w:p w:rsidR="004502D6" w:rsidRDefault="004502D6" w:rsidP="004502D6">
      <w:r>
        <w:rPr>
          <w:rFonts w:hint="eastAsia"/>
        </w:rPr>
        <w:t>Θ</w:t>
      </w:r>
      <w:r>
        <w:rPr>
          <w:rFonts w:ascii="Cambria Math" w:hAnsi="Cambria Math" w:cs="Cambria Math"/>
        </w:rPr>
        <w:t>𝑀</w:t>
      </w:r>
      <w:r>
        <w:t>,</w:t>
      </w:r>
      <w:r>
        <w:rPr>
          <w:rFonts w:ascii="Cambria Math" w:hAnsi="Cambria Math" w:cs="Cambria Math"/>
        </w:rPr>
        <w:t>𝑖</w:t>
      </w:r>
      <w:r>
        <w:t>，也就是目前市场实际均衡结果紧密相关。</w:t>
      </w:r>
    </w:p>
    <w:p w:rsidR="004502D6" w:rsidRDefault="004502D6" w:rsidP="004502D6">
      <w:r>
        <w:rPr>
          <w:rFonts w:hint="eastAsia"/>
        </w:rPr>
        <w:t>接下来以规模异象为例，介绍上文提到的经验输入大致是如何估计出来的，</w:t>
      </w:r>
    </w:p>
    <w:p w:rsidR="004502D6" w:rsidRDefault="004502D6" w:rsidP="004502D6">
      <w:r>
        <w:rPr>
          <w:rFonts w:hint="eastAsia"/>
        </w:rPr>
        <w:t>其余异象做法相同不再具体介绍。对于</w:t>
      </w:r>
      <w:r>
        <w:t>1997 年1 月到202</w:t>
      </w:r>
      <w:r w:rsidR="004B62BB">
        <w:t>3</w:t>
      </w:r>
      <w:r>
        <w:t xml:space="preserve"> 年</w:t>
      </w:r>
      <w:r w:rsidR="004B62BB">
        <w:t>3</w:t>
      </w:r>
      <w:r>
        <w:t xml:space="preserve"> 月的每个月，将</w:t>
      </w:r>
    </w:p>
    <w:p w:rsidR="004502D6" w:rsidRDefault="004502D6" w:rsidP="004502D6">
      <w:r>
        <w:rPr>
          <w:rFonts w:hint="eastAsia"/>
        </w:rPr>
        <w:t>本文股票样本中的所有股票，按其市值规模进行排名，然后将它们按照市值规模</w:t>
      </w:r>
    </w:p>
    <w:p w:rsidR="004502D6" w:rsidRDefault="004502D6" w:rsidP="004502D6">
      <w:r>
        <w:rPr>
          <w:rFonts w:hint="eastAsia"/>
        </w:rPr>
        <w:t>十分位数分为</w:t>
      </w:r>
      <w:r>
        <w:t>10 组（对于其他每一种异象，根据对应的异象变量对股票进行排</w:t>
      </w:r>
      <w:r>
        <w:rPr>
          <w:rFonts w:hint="eastAsia"/>
        </w:rPr>
        <w:t>名，例如，对于动量异象，根据动量大小进行排名）。假设在某个特定的月份，每</w:t>
      </w:r>
    </w:p>
    <w:p w:rsidR="004502D6" w:rsidRDefault="004502D6" w:rsidP="004502D6">
      <w:proofErr w:type="gramStart"/>
      <w:r>
        <w:rPr>
          <w:rFonts w:hint="eastAsia"/>
        </w:rPr>
        <w:t>个</w:t>
      </w:r>
      <w:proofErr w:type="gramEnd"/>
      <w:r>
        <w:rPr>
          <w:rFonts w:hint="eastAsia"/>
        </w:rPr>
        <w:t>十分</w:t>
      </w:r>
      <w:proofErr w:type="gramStart"/>
      <w:r>
        <w:rPr>
          <w:rFonts w:hint="eastAsia"/>
        </w:rPr>
        <w:t>位组包含</w:t>
      </w:r>
      <w:proofErr w:type="gramEnd"/>
      <w:r>
        <w:t>100 只股票。接下来，以第</w:t>
      </w:r>
      <w:r w:rsidR="004B62BB">
        <w:t>3</w:t>
      </w:r>
      <w:r>
        <w:t xml:space="preserve"> 组为例，具体介绍每个月的</w:t>
      </w:r>
      <w:r w:rsidR="004B62BB">
        <w:t>4</w:t>
      </w:r>
      <w:r>
        <w:t xml:space="preserve"> </w:t>
      </w:r>
      <w:proofErr w:type="gramStart"/>
      <w:r>
        <w:t>个</w:t>
      </w:r>
      <w:proofErr w:type="gramEnd"/>
      <w:r>
        <w:t>经</w:t>
      </w:r>
    </w:p>
    <w:p w:rsidR="004502D6" w:rsidRDefault="004502D6" w:rsidP="004502D6">
      <w:proofErr w:type="gramStart"/>
      <w:r>
        <w:rPr>
          <w:rFonts w:hint="eastAsia"/>
        </w:rPr>
        <w:t>验</w:t>
      </w:r>
      <w:proofErr w:type="gramEnd"/>
      <w:r>
        <w:rPr>
          <w:rFonts w:hint="eastAsia"/>
        </w:rPr>
        <w:t>输入如何计算。</w:t>
      </w:r>
    </w:p>
    <w:p w:rsidR="004502D6" w:rsidRDefault="004502D6" w:rsidP="004502D6">
      <w:r>
        <w:t>4.1.1 股票收益率的标准差、偏度及</w:t>
      </w:r>
      <w:r>
        <w:rPr>
          <w:rFonts w:ascii="Cambria Math" w:hAnsi="Cambria Math" w:cs="Cambria Math"/>
        </w:rPr>
        <w:t>𝜷</w:t>
      </w:r>
      <w:r>
        <w:t>值</w:t>
      </w:r>
    </w:p>
    <w:p w:rsidR="004502D6" w:rsidRDefault="004502D6" w:rsidP="004502D6">
      <w:r>
        <w:rPr>
          <w:rFonts w:hint="eastAsia"/>
        </w:rPr>
        <w:t>以某月第</w:t>
      </w:r>
      <w:r w:rsidR="004B62BB">
        <w:t>3</w:t>
      </w:r>
      <w:r>
        <w:t xml:space="preserve"> 组为例，计算该组中典型股票在接下来3 </w:t>
      </w:r>
      <w:proofErr w:type="gramStart"/>
      <w:r>
        <w:t>个</w:t>
      </w:r>
      <w:proofErr w:type="gramEnd"/>
      <w:r>
        <w:t>月累计收益率的横截</w:t>
      </w:r>
    </w:p>
    <w:p w:rsidR="004502D6" w:rsidRDefault="004502D6" w:rsidP="004502D6">
      <w:r>
        <w:rPr>
          <w:rFonts w:hint="eastAsia"/>
        </w:rPr>
        <w:t>面标准差和偏度，作为该组典型股票收益率的标准差和偏度。</w:t>
      </w:r>
    </w:p>
    <w:p w:rsidR="004502D6" w:rsidRDefault="004502D6" w:rsidP="004502D6">
      <w:r>
        <w:rPr>
          <w:rFonts w:hint="eastAsia"/>
        </w:rPr>
        <w:t>在计算股票收益率标准差和偏度的时候，使用的是接下来三个月股票的累计</w:t>
      </w:r>
    </w:p>
    <w:p w:rsidR="004502D6" w:rsidRDefault="004502D6" w:rsidP="004502D6">
      <w:r>
        <w:rPr>
          <w:rFonts w:hint="eastAsia"/>
        </w:rPr>
        <w:t>收益率，去计算横截面的波动率和偏度。这是因为在模型中，主要关注的是</w:t>
      </w:r>
      <w:r>
        <w:t>0 时</w:t>
      </w:r>
    </w:p>
    <w:p w:rsidR="004502D6" w:rsidRDefault="004502D6" w:rsidP="004502D6">
      <w:r>
        <w:rPr>
          <w:rFonts w:hint="eastAsia"/>
        </w:rPr>
        <w:t>刻的决策，也就是投资者购买股票的</w:t>
      </w:r>
      <w:r>
        <w:rPr>
          <w:rFonts w:ascii="微软雅黑" w:eastAsia="微软雅黑" w:hAnsi="微软雅黑" w:cs="微软雅黑" w:hint="eastAsia"/>
        </w:rPr>
        <w:t>−</w:t>
      </w:r>
      <w:r>
        <w:t>1时刻和处置股票的1 时刻之间。</w:t>
      </w:r>
      <w:proofErr w:type="spellStart"/>
      <w:r>
        <w:t>Barberis</w:t>
      </w:r>
      <w:proofErr w:type="spellEnd"/>
      <w:r>
        <w:t>，</w:t>
      </w:r>
    </w:p>
    <w:p w:rsidR="004502D6" w:rsidRDefault="004502D6" w:rsidP="004502D6">
      <w:proofErr w:type="spellStart"/>
      <w:r>
        <w:t>Jin</w:t>
      </w:r>
      <w:proofErr w:type="spellEnd"/>
      <w:r>
        <w:t xml:space="preserve"> 和Wang(2021)利用的是股票接下来12 </w:t>
      </w:r>
      <w:proofErr w:type="gramStart"/>
      <w:r>
        <w:t>个</w:t>
      </w:r>
      <w:proofErr w:type="gramEnd"/>
      <w:r>
        <w:t>月的累计收益率计算横截面波动率</w:t>
      </w:r>
      <w:proofErr w:type="gramStart"/>
      <w:r>
        <w:t>和</w:t>
      </w:r>
      <w:proofErr w:type="gramEnd"/>
    </w:p>
    <w:p w:rsidR="004502D6" w:rsidRDefault="004502D6" w:rsidP="004502D6">
      <w:r>
        <w:rPr>
          <w:rFonts w:hint="eastAsia"/>
        </w:rPr>
        <w:t>偏度，因为美股市场的周转率约为每年</w:t>
      </w:r>
      <w:r>
        <w:t>50%，即平均持有期为两年，如果</w:t>
      </w:r>
      <w:r>
        <w:rPr>
          <w:rFonts w:ascii="微软雅黑" w:eastAsia="微软雅黑" w:hAnsi="微软雅黑" w:cs="微软雅黑" w:hint="eastAsia"/>
        </w:rPr>
        <w:t>−</w:t>
      </w:r>
      <w:r>
        <w:t>1时刻</w:t>
      </w:r>
    </w:p>
    <w:p w:rsidR="004502D6" w:rsidRDefault="004502D6" w:rsidP="004502D6">
      <w:r>
        <w:rPr>
          <w:rFonts w:hint="eastAsia"/>
        </w:rPr>
        <w:t>和</w:t>
      </w:r>
      <w:r>
        <w:t>1 时刻之间的间隔是两年，那么自然可以把0 时刻和1 时刻之间的间隔看作是</w:t>
      </w:r>
    </w:p>
    <w:p w:rsidR="004502D6" w:rsidRDefault="004502D6" w:rsidP="004502D6">
      <w:r>
        <w:rPr>
          <w:rFonts w:hint="eastAsia"/>
        </w:rPr>
        <w:t>这个间隔的一半，即</w:t>
      </w:r>
      <w:r>
        <w:t xml:space="preserve">12 </w:t>
      </w:r>
      <w:proofErr w:type="gramStart"/>
      <w:r>
        <w:t>个</w:t>
      </w:r>
      <w:proofErr w:type="gramEnd"/>
      <w:r>
        <w:t xml:space="preserve">月。但是本文使用12 </w:t>
      </w:r>
      <w:proofErr w:type="gramStart"/>
      <w:r>
        <w:t>个月显然</w:t>
      </w:r>
      <w:proofErr w:type="gramEnd"/>
      <w:r>
        <w:t>是不合适的，因为美股</w:t>
      </w:r>
    </w:p>
    <w:p w:rsidR="004502D6" w:rsidRDefault="004502D6" w:rsidP="004502D6">
      <w:r>
        <w:rPr>
          <w:rFonts w:hint="eastAsia"/>
        </w:rPr>
        <w:t>市场比较成熟，而</w:t>
      </w:r>
      <w:r>
        <w:t>A 股市场散户主导，换手率明显高于美国，平均持有期较短。</w:t>
      </w:r>
    </w:p>
    <w:p w:rsidR="004502D6" w:rsidRDefault="004502D6" w:rsidP="004502D6">
      <w:r>
        <w:rPr>
          <w:rFonts w:hint="eastAsia"/>
        </w:rPr>
        <w:t>为了选择适合</w:t>
      </w:r>
      <w:r>
        <w:t>A 股市场整体持股时长，从而计算在此持股期间的累计收益率</w:t>
      </w:r>
    </w:p>
    <w:p w:rsidR="004502D6" w:rsidRDefault="004502D6" w:rsidP="004502D6">
      <w:r>
        <w:rPr>
          <w:rFonts w:hint="eastAsia"/>
        </w:rPr>
        <w:t>的横截面波动率和偏度，需要观察</w:t>
      </w:r>
      <w:r>
        <w:t>A 股市场的整体换手率，这里选择中</w:t>
      </w:r>
      <w:proofErr w:type="gramStart"/>
      <w:r>
        <w:t>证流通指</w:t>
      </w:r>
      <w:proofErr w:type="gramEnd"/>
    </w:p>
    <w:p w:rsidR="004502D6" w:rsidRDefault="004502D6" w:rsidP="004502D6">
      <w:r>
        <w:rPr>
          <w:rFonts w:hint="eastAsia"/>
        </w:rPr>
        <w:t>数来观察</w:t>
      </w:r>
      <w:r>
        <w:t>A 股市场整体换手率。由于中</w:t>
      </w:r>
      <w:proofErr w:type="gramStart"/>
      <w:r>
        <w:t>证流通</w:t>
      </w:r>
      <w:proofErr w:type="gramEnd"/>
      <w:r>
        <w:t>指数以2005 年12 月30 日为基日，</w:t>
      </w:r>
    </w:p>
    <w:p w:rsidR="004502D6" w:rsidRPr="004B62BB" w:rsidRDefault="004502D6" w:rsidP="004502D6">
      <w:pPr>
        <w:rPr>
          <w:color w:val="FF0000"/>
        </w:rPr>
      </w:pPr>
      <w:r>
        <w:rPr>
          <w:rFonts w:hint="eastAsia"/>
        </w:rPr>
        <w:t>因此只能观察</w:t>
      </w:r>
      <w:r>
        <w:t>2006 年至2021 年中</w:t>
      </w:r>
      <w:proofErr w:type="gramStart"/>
      <w:r>
        <w:t>证流通</w:t>
      </w:r>
      <w:proofErr w:type="gramEnd"/>
      <w:r>
        <w:t>指数的年换手率。</w:t>
      </w:r>
      <w:r w:rsidRPr="004B62BB">
        <w:rPr>
          <w:color w:val="FF0000"/>
        </w:rPr>
        <w:t>下图展示了2006 年</w:t>
      </w:r>
    </w:p>
    <w:p w:rsidR="004502D6" w:rsidRPr="004B62BB" w:rsidRDefault="004502D6" w:rsidP="004502D6">
      <w:pPr>
        <w:rPr>
          <w:color w:val="FF0000"/>
        </w:rPr>
      </w:pPr>
      <w:r w:rsidRPr="004B62BB">
        <w:rPr>
          <w:rFonts w:hint="eastAsia"/>
          <w:color w:val="FF0000"/>
        </w:rPr>
        <w:t>至</w:t>
      </w:r>
      <w:r w:rsidRPr="004B62BB">
        <w:rPr>
          <w:color w:val="FF0000"/>
        </w:rPr>
        <w:t>202</w:t>
      </w:r>
      <w:r w:rsidR="004B62BB" w:rsidRPr="004B62BB">
        <w:rPr>
          <w:color w:val="FF0000"/>
        </w:rPr>
        <w:t>3</w:t>
      </w:r>
      <w:r w:rsidRPr="004B62BB">
        <w:rPr>
          <w:color w:val="FF0000"/>
        </w:rPr>
        <w:t xml:space="preserve"> 年中</w:t>
      </w:r>
      <w:proofErr w:type="gramStart"/>
      <w:r w:rsidRPr="004B62BB">
        <w:rPr>
          <w:color w:val="FF0000"/>
        </w:rPr>
        <w:t>证流通</w:t>
      </w:r>
      <w:proofErr w:type="gramEnd"/>
      <w:r w:rsidRPr="004B62BB">
        <w:rPr>
          <w:color w:val="FF0000"/>
        </w:rPr>
        <w:t>指数的年换手率。</w:t>
      </w:r>
    </w:p>
    <w:p w:rsidR="004502D6" w:rsidRDefault="006C1AA6" w:rsidP="004502D6">
      <w:r w:rsidRPr="006C1AA6">
        <w:lastRenderedPageBreak/>
        <w:drawing>
          <wp:inline distT="0" distB="0" distL="0" distR="0" wp14:anchorId="10FE2BF8" wp14:editId="57BEC14E">
            <wp:extent cx="5274310" cy="3843020"/>
            <wp:effectExtent l="0" t="0" r="2540" b="5080"/>
            <wp:docPr id="780780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80240" name=""/>
                    <pic:cNvPicPr/>
                  </pic:nvPicPr>
                  <pic:blipFill>
                    <a:blip r:embed="rId4"/>
                    <a:stretch>
                      <a:fillRect/>
                    </a:stretch>
                  </pic:blipFill>
                  <pic:spPr>
                    <a:xfrm>
                      <a:off x="0" y="0"/>
                      <a:ext cx="5274310" cy="3843020"/>
                    </a:xfrm>
                    <a:prstGeom prst="rect">
                      <a:avLst/>
                    </a:prstGeom>
                  </pic:spPr>
                </pic:pic>
              </a:graphicData>
            </a:graphic>
          </wp:inline>
        </w:drawing>
      </w:r>
    </w:p>
    <w:p w:rsidR="006C1AA6" w:rsidRDefault="006C1AA6" w:rsidP="004502D6"/>
    <w:p w:rsidR="006C1AA6" w:rsidRDefault="006C1AA6" w:rsidP="006C1AA6">
      <w:r>
        <w:rPr>
          <w:rFonts w:hint="eastAsia"/>
        </w:rPr>
        <w:t>从图</w:t>
      </w:r>
      <w:r>
        <w:t>4.1 中可以看出A 股市场的年换手率是明显高于美股市场年平均换手率</w:t>
      </w:r>
    </w:p>
    <w:p w:rsidR="006C1AA6" w:rsidRDefault="006C1AA6" w:rsidP="006C1AA6">
      <w:r>
        <w:t>50%的，每一年的年换手率均超过150%，2007 年甚至接近1000%。为了减少异</w:t>
      </w:r>
    </w:p>
    <w:p w:rsidR="006C1AA6" w:rsidRDefault="006C1AA6" w:rsidP="006C1AA6">
      <w:r>
        <w:rPr>
          <w:rFonts w:hint="eastAsia"/>
        </w:rPr>
        <w:t>常值的影响，这里采用</w:t>
      </w:r>
      <w:r>
        <w:t>2006 年至202</w:t>
      </w:r>
      <w:r w:rsidR="004B62BB">
        <w:t>3</w:t>
      </w:r>
      <w:r>
        <w:t xml:space="preserve"> 年中</w:t>
      </w:r>
      <w:proofErr w:type="gramStart"/>
      <w:r>
        <w:t>证流通</w:t>
      </w:r>
      <w:proofErr w:type="gramEnd"/>
      <w:r>
        <w:t>指数年换手率的中位数2</w:t>
      </w:r>
      <w:r w:rsidR="004B62BB">
        <w:t>81</w:t>
      </w:r>
      <w:r>
        <w:t>%</w:t>
      </w:r>
    </w:p>
    <w:p w:rsidR="006C1AA6" w:rsidRDefault="006C1AA6" w:rsidP="006C1AA6">
      <w:r>
        <w:rPr>
          <w:rFonts w:hint="eastAsia"/>
        </w:rPr>
        <w:t>作为本文</w:t>
      </w:r>
      <w:r>
        <w:t xml:space="preserve">A 股市场整体年平均换手率，平均持有期约为4 </w:t>
      </w:r>
      <w:proofErr w:type="gramStart"/>
      <w:r>
        <w:t>个</w:t>
      </w:r>
      <w:proofErr w:type="gramEnd"/>
      <w:r>
        <w:t>月。但是考虑到如果</w:t>
      </w:r>
    </w:p>
    <w:p w:rsidR="006C1AA6" w:rsidRDefault="006C1AA6" w:rsidP="006C1AA6">
      <w:r>
        <w:rPr>
          <w:rFonts w:hint="eastAsia"/>
        </w:rPr>
        <w:t>使用股票接下来</w:t>
      </w:r>
      <w:r>
        <w:t xml:space="preserve">2 </w:t>
      </w:r>
      <w:proofErr w:type="gramStart"/>
      <w:r>
        <w:t>个</w:t>
      </w:r>
      <w:proofErr w:type="gramEnd"/>
      <w:r>
        <w:t>月的累计收益率，去计算横截面的波动率和偏度，一方面波</w:t>
      </w:r>
    </w:p>
    <w:p w:rsidR="006C1AA6" w:rsidRDefault="006C1AA6" w:rsidP="006C1AA6">
      <w:proofErr w:type="gramStart"/>
      <w:r>
        <w:rPr>
          <w:rFonts w:hint="eastAsia"/>
        </w:rPr>
        <w:t>动率和</w:t>
      </w:r>
      <w:proofErr w:type="gramEnd"/>
      <w:r>
        <w:rPr>
          <w:rFonts w:hint="eastAsia"/>
        </w:rPr>
        <w:t>偏度数值较小，另一方面，各组波动率和偏度差异也较小，难以捕捉股票</w:t>
      </w:r>
    </w:p>
    <w:p w:rsidR="006C1AA6" w:rsidRDefault="006C1AA6" w:rsidP="006C1AA6">
      <w:r>
        <w:rPr>
          <w:rFonts w:hint="eastAsia"/>
        </w:rPr>
        <w:t>特征，这里考虑将时间区间适当放宽。观察到</w:t>
      </w:r>
      <w:r>
        <w:t>2006 年至202</w:t>
      </w:r>
      <w:r w:rsidR="004B62BB">
        <w:t>3</w:t>
      </w:r>
      <w:r>
        <w:t xml:space="preserve"> 年A 股市场年换手</w:t>
      </w:r>
    </w:p>
    <w:p w:rsidR="006C1AA6" w:rsidRDefault="006C1AA6" w:rsidP="006C1AA6">
      <w:r>
        <w:rPr>
          <w:rFonts w:hint="eastAsia"/>
        </w:rPr>
        <w:t>率最小值为</w:t>
      </w:r>
      <w:r>
        <w:t>2012 年的1</w:t>
      </w:r>
      <w:r w:rsidR="004B62BB">
        <w:t>7</w:t>
      </w:r>
      <w:r>
        <w:t xml:space="preserve">0%，持有期约为7 </w:t>
      </w:r>
      <w:proofErr w:type="gramStart"/>
      <w:r>
        <w:t>个</w:t>
      </w:r>
      <w:proofErr w:type="gramEnd"/>
      <w:r>
        <w:t>月，因此本文选择使用股票接下来</w:t>
      </w:r>
    </w:p>
    <w:p w:rsidR="006C1AA6" w:rsidRDefault="006C1AA6" w:rsidP="006C1AA6">
      <w:r>
        <w:t xml:space="preserve">3 </w:t>
      </w:r>
      <w:proofErr w:type="gramStart"/>
      <w:r>
        <w:t>个</w:t>
      </w:r>
      <w:proofErr w:type="gramEnd"/>
      <w:r>
        <w:t>月即一个季度的累计收益率，去计算横截面的波动率和偏度。</w:t>
      </w:r>
    </w:p>
    <w:p w:rsidR="006C1AA6" w:rsidRDefault="006C1AA6" w:rsidP="006C1AA6">
      <w:r>
        <w:rPr>
          <w:rFonts w:hint="eastAsia"/>
        </w:rPr>
        <w:t>另一方面注意到，这里使用股票未来三个月的累计收益计算横截面的波动率</w:t>
      </w:r>
    </w:p>
    <w:p w:rsidR="006C1AA6" w:rsidRDefault="006C1AA6" w:rsidP="006C1AA6">
      <w:r>
        <w:rPr>
          <w:rFonts w:hint="eastAsia"/>
        </w:rPr>
        <w:t>和偏度，是为了通过测量股票未来可能的波动率和偏度，而不是股票过去的波动</w:t>
      </w:r>
    </w:p>
    <w:p w:rsidR="006C1AA6" w:rsidRDefault="006C1AA6" w:rsidP="006C1AA6">
      <w:r>
        <w:rPr>
          <w:rFonts w:hint="eastAsia"/>
        </w:rPr>
        <w:t>率和偏度，关注的是一个理性的、前瞻性的投资者所关心的东西。</w:t>
      </w:r>
    </w:p>
    <w:p w:rsidR="006C1AA6" w:rsidRDefault="006C1AA6" w:rsidP="006C1AA6">
      <w:r>
        <w:rPr>
          <w:rFonts w:hint="eastAsia"/>
        </w:rPr>
        <w:t>以第</w:t>
      </w:r>
      <w:r>
        <w:t>4 组为例，为了计算这个月第4 组中典型股票的</w:t>
      </w:r>
      <w:r>
        <w:rPr>
          <w:rFonts w:ascii="Cambria Math" w:hAnsi="Cambria Math" w:cs="Cambria Math"/>
        </w:rPr>
        <w:t>𝛽</w:t>
      </w:r>
      <w:r>
        <w:t>系数，我们同样利用</w:t>
      </w:r>
    </w:p>
    <w:p w:rsidR="006C1AA6" w:rsidRDefault="006C1AA6" w:rsidP="006C1AA6">
      <w:r>
        <w:rPr>
          <w:rFonts w:hint="eastAsia"/>
        </w:rPr>
        <w:t>股票接下来三个月的日交易数据，计算该组中每只股票的</w:t>
      </w:r>
      <w:r>
        <w:rPr>
          <w:rFonts w:ascii="Cambria Math" w:hAnsi="Cambria Math" w:cs="Cambria Math"/>
        </w:rPr>
        <w:t>𝛽</w:t>
      </w:r>
      <w:r>
        <w:t>系数并取其平均值。4.1.2 未实现资本利得CGO</w:t>
      </w:r>
    </w:p>
    <w:p w:rsidR="006C1AA6" w:rsidRDefault="006C1AA6" w:rsidP="006C1AA6">
      <w:r>
        <w:rPr>
          <w:rFonts w:hint="eastAsia"/>
        </w:rPr>
        <w:t>以某月的第</w:t>
      </w:r>
      <w:r>
        <w:t>4 组为例，为了计算第4 组中典型股票的未实现资本利得CGO，</w:t>
      </w:r>
    </w:p>
    <w:p w:rsidR="006C1AA6" w:rsidRDefault="006C1AA6" w:rsidP="006C1AA6">
      <w:r>
        <w:rPr>
          <w:rFonts w:hint="eastAsia"/>
        </w:rPr>
        <w:t>计算该组中每只股票的</w:t>
      </w:r>
      <w:r>
        <w:t>CGO，并取平均值。</w:t>
      </w:r>
    </w:p>
    <w:p w:rsidR="006C1AA6" w:rsidRDefault="006C1AA6" w:rsidP="006C1AA6">
      <w:r>
        <w:rPr>
          <w:rFonts w:hint="eastAsia"/>
        </w:rPr>
        <w:t>接下来介绍未实现资本利得</w:t>
      </w:r>
      <w:r>
        <w:t>CGO 具体如何计算。</w:t>
      </w:r>
      <w:proofErr w:type="spellStart"/>
      <w:r>
        <w:t>Grinblatt</w:t>
      </w:r>
      <w:proofErr w:type="spellEnd"/>
      <w:r>
        <w:t xml:space="preserve"> 和Han(2005)提出</w:t>
      </w:r>
    </w:p>
    <w:p w:rsidR="006C1AA6" w:rsidRDefault="006C1AA6" w:rsidP="006C1AA6">
      <w:r>
        <w:rPr>
          <w:rFonts w:hint="eastAsia"/>
        </w:rPr>
        <w:t>的未实现资本利得</w:t>
      </w:r>
      <w:r>
        <w:t>CGO，使用股票过去2</w:t>
      </w:r>
      <w:r w:rsidR="001C2924">
        <w:t>80</w:t>
      </w:r>
      <w:r>
        <w:t xml:space="preserve"> 周即5 年内的加权平均收盘价作为投</w:t>
      </w:r>
    </w:p>
    <w:p w:rsidR="006C1AA6" w:rsidRDefault="006C1AA6" w:rsidP="006C1AA6">
      <w:r>
        <w:rPr>
          <w:rFonts w:hint="eastAsia"/>
        </w:rPr>
        <w:t>资者的参考价格，用换手率衡量投资者持有股票的买卖概率，该变量可度量某股</w:t>
      </w:r>
    </w:p>
    <w:p w:rsidR="006C1AA6" w:rsidRDefault="006C1AA6" w:rsidP="006C1AA6">
      <w:r>
        <w:rPr>
          <w:rFonts w:hint="eastAsia"/>
        </w:rPr>
        <w:t>票大部分持有者的平均收益。注意到在计算参考价格时，需要每个月末每只股票</w:t>
      </w:r>
    </w:p>
    <w:p w:rsidR="006C1AA6" w:rsidRDefault="006C1AA6" w:rsidP="006C1AA6">
      <w:r>
        <w:rPr>
          <w:rFonts w:hint="eastAsia"/>
        </w:rPr>
        <w:t>过去</w:t>
      </w:r>
      <w:r w:rsidR="001C2924">
        <w:t>280</w:t>
      </w:r>
      <w:r>
        <w:t xml:space="preserve"> 周的交易数据，这里就存在股票一周都不进行交易的情况，当该月末前</w:t>
      </w:r>
    </w:p>
    <w:p w:rsidR="006C1AA6" w:rsidRDefault="001C2924" w:rsidP="006C1AA6">
      <w:r>
        <w:t>280</w:t>
      </w:r>
      <w:r w:rsidR="006C1AA6">
        <w:t xml:space="preserve"> 周的周收盘价和换手</w:t>
      </w:r>
      <w:proofErr w:type="gramStart"/>
      <w:r w:rsidR="006C1AA6">
        <w:t>率数据</w:t>
      </w:r>
      <w:proofErr w:type="gramEnd"/>
      <w:r w:rsidR="006C1AA6">
        <w:t>缺失不多于40%时，本文才计算该月末该股票的</w:t>
      </w:r>
    </w:p>
    <w:p w:rsidR="006C1AA6" w:rsidRDefault="006C1AA6" w:rsidP="006C1AA6">
      <w:r>
        <w:rPr>
          <w:rFonts w:hint="eastAsia"/>
        </w:rPr>
        <w:lastRenderedPageBreak/>
        <w:t>未实现资本利得</w:t>
      </w:r>
      <w:r>
        <w:t>CGO。参考价格的具体计算公式如下：</w:t>
      </w:r>
    </w:p>
    <w:p w:rsidR="006C1AA6" w:rsidRDefault="007A3792" w:rsidP="006C1AA6">
      <w:r>
        <w:rPr>
          <w:rFonts w:hint="eastAsia"/>
          <w:noProof/>
        </w:rPr>
        <w:drawing>
          <wp:inline distT="0" distB="0" distL="0" distR="0">
            <wp:extent cx="2260097" cy="377953"/>
            <wp:effectExtent l="0" t="0" r="6985" b="3175"/>
            <wp:docPr id="1511060342" name="图片 2" descr="%FontSize=10&#10;%TeXFontSize=10&#10;\documentclass{article}&#10;\pagestyle{empty}&#10;\begin{document}&#10;\[&#10;RP_{i,t}=\frac{1}{k}\sum_{n=1}^T\left(V_{i,t-n}\prod\limits_{i=1}^{n-1}\left[1-V_{i,t-n+i}\right]\right)P_{i,t-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60342" name="图片 2" descr="%FontSize=10&#10;%TeXFontSize=10&#10;\documentclass{article}&#10;\pagestyle{empty}&#10;\begin{document}&#10;\[&#10;RP_{i,t}=\frac{1}{k}\sum_{n=1}^T\left(V_{i,t-n}\prod\limits_{i=1}^{n-1}\left[1-V_{i,t-n+i}\right]\right)P_{i,t-n}&#10;\]&#10;\end{document}"/>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2260097" cy="377953"/>
                    </a:xfrm>
                    <a:prstGeom prst="rect">
                      <a:avLst/>
                    </a:prstGeom>
                  </pic:spPr>
                </pic:pic>
              </a:graphicData>
            </a:graphic>
          </wp:inline>
        </w:drawing>
      </w:r>
    </w:p>
    <w:p w:rsidR="007A3792" w:rsidRDefault="007A3792" w:rsidP="007A3792">
      <w:pPr>
        <w:autoSpaceDE w:val="0"/>
        <w:autoSpaceDN w:val="0"/>
        <w:adjustRightInd w:val="0"/>
        <w:jc w:val="left"/>
        <w:rPr>
          <w:rFonts w:ascii="宋体" w:eastAsia="宋体" w:cs="宋体"/>
          <w:kern w:val="0"/>
          <w:sz w:val="24"/>
          <w:szCs w:val="24"/>
        </w:rPr>
      </w:pPr>
      <w:r>
        <w:rPr>
          <w:rFonts w:hint="eastAsia"/>
        </w:rPr>
        <w:t>其中</w:t>
      </w:r>
      <w:r w:rsidRPr="007A3792">
        <w:rPr>
          <w:rFonts w:hint="eastAsia"/>
          <w:noProof/>
          <w:position w:val="-24"/>
        </w:rPr>
        <w:drawing>
          <wp:inline distT="0" distB="0" distL="0" distR="0">
            <wp:extent cx="2375921" cy="377953"/>
            <wp:effectExtent l="0" t="0" r="5715" b="3175"/>
            <wp:docPr id="1549063958" name="图片 3" descr="%FontSize=10.5&#10;%TeXFontSize=10.5&#10;\documentclass{article}&#10;\pagestyle{empty}&#10;\begin{document}&#10;\[&#10;T=260,k=\sum_{n=1}^T V_{i,t-n}\prod_{i=1}^{n-1}\left[1-V_{i,t-n+i}\right],V_{i,t-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63958" name="图片 3" descr="%FontSize=10.5&#10;%TeXFontSize=10.5&#10;\documentclass{article}&#10;\pagestyle{empty}&#10;\begin{document}&#10;\[&#10;T=260,k=\sum_{n=1}^T V_{i,t-n}\prod_{i=1}^{n-1}\left[1-V_{i,t-n+i}\right],V_{i,t-n}&#10;\]&#10;\end{document}"/>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2375921" cy="377953"/>
                    </a:xfrm>
                    <a:prstGeom prst="rect">
                      <a:avLst/>
                    </a:prstGeom>
                  </pic:spPr>
                </pic:pic>
              </a:graphicData>
            </a:graphic>
          </wp:inline>
        </w:drawing>
      </w:r>
      <w:r>
        <w:rPr>
          <w:rFonts w:ascii="宋体" w:eastAsia="宋体" w:cs="宋体" w:hint="eastAsia"/>
          <w:kern w:val="0"/>
          <w:sz w:val="24"/>
          <w:szCs w:val="24"/>
        </w:rPr>
        <w:t>为股票</w:t>
      </w:r>
      <w:r>
        <w:rPr>
          <w:rFonts w:ascii="Cambria Math" w:eastAsia="CambriaMath" w:hAnsi="Cambria Math" w:cs="Cambria Math"/>
          <w:kern w:val="0"/>
          <w:sz w:val="24"/>
          <w:szCs w:val="24"/>
        </w:rPr>
        <w:t>𝑖</w:t>
      </w:r>
      <w:r>
        <w:rPr>
          <w:rFonts w:ascii="宋体" w:eastAsia="宋体" w:cs="宋体" w:hint="eastAsia"/>
          <w:kern w:val="0"/>
          <w:sz w:val="24"/>
          <w:szCs w:val="24"/>
        </w:rPr>
        <w:t>在</w:t>
      </w:r>
      <w:r>
        <w:rPr>
          <w:rFonts w:ascii="Cambria Math" w:eastAsia="CambriaMath" w:hAnsi="Cambria Math" w:cs="Cambria Math"/>
          <w:kern w:val="0"/>
          <w:sz w:val="24"/>
          <w:szCs w:val="24"/>
        </w:rPr>
        <w:t>𝑡</w:t>
      </w:r>
      <w:r>
        <w:rPr>
          <w:rFonts w:ascii="CambriaMath" w:eastAsia="CambriaMath" w:cs="CambriaMath"/>
          <w:kern w:val="0"/>
          <w:sz w:val="24"/>
          <w:szCs w:val="24"/>
        </w:rPr>
        <w:t xml:space="preserve"> </w:t>
      </w:r>
      <w:r>
        <w:rPr>
          <w:rFonts w:ascii="CambriaMath" w:eastAsia="CambriaMath" w:cs="CambriaMath" w:hint="eastAsia"/>
          <w:kern w:val="0"/>
          <w:sz w:val="24"/>
          <w:szCs w:val="24"/>
        </w:rPr>
        <w:t>−</w:t>
      </w:r>
      <w:r>
        <w:rPr>
          <w:rFonts w:ascii="CambriaMath" w:eastAsia="CambriaMath" w:cs="CambriaMath"/>
          <w:kern w:val="0"/>
          <w:sz w:val="24"/>
          <w:szCs w:val="24"/>
        </w:rPr>
        <w:t xml:space="preserve"> </w:t>
      </w:r>
      <w:r>
        <w:rPr>
          <w:rFonts w:ascii="Cambria Math" w:eastAsia="CambriaMath" w:hAnsi="Cambria Math" w:cs="Cambria Math"/>
          <w:kern w:val="0"/>
          <w:sz w:val="24"/>
          <w:szCs w:val="24"/>
        </w:rPr>
        <w:t>𝑛</w:t>
      </w:r>
      <w:r>
        <w:rPr>
          <w:rFonts w:ascii="宋体" w:eastAsia="宋体" w:cs="宋体" w:hint="eastAsia"/>
          <w:kern w:val="0"/>
          <w:sz w:val="24"/>
          <w:szCs w:val="24"/>
        </w:rPr>
        <w:t>周的周换</w:t>
      </w:r>
    </w:p>
    <w:p w:rsidR="007A3792" w:rsidRDefault="007A3792" w:rsidP="007A3792">
      <w:pPr>
        <w:rPr>
          <w:rFonts w:ascii="宋体" w:eastAsia="宋体" w:cs="宋体"/>
          <w:kern w:val="0"/>
          <w:sz w:val="24"/>
          <w:szCs w:val="24"/>
        </w:rPr>
      </w:pPr>
      <w:r>
        <w:rPr>
          <w:rFonts w:ascii="宋体" w:eastAsia="宋体" w:cs="宋体" w:hint="eastAsia"/>
          <w:kern w:val="0"/>
          <w:sz w:val="24"/>
          <w:szCs w:val="24"/>
        </w:rPr>
        <w:t>手率，</w:t>
      </w:r>
      <w:r>
        <w:rPr>
          <w:rFonts w:ascii="Cambria Math" w:eastAsia="CambriaMath" w:hAnsi="Cambria Math" w:cs="Cambria Math"/>
          <w:kern w:val="0"/>
          <w:sz w:val="24"/>
          <w:szCs w:val="24"/>
        </w:rPr>
        <w:t>𝑃</w:t>
      </w:r>
      <w:r>
        <w:rPr>
          <w:rFonts w:ascii="Cambria Math" w:eastAsia="CambriaMath" w:hAnsi="Cambria Math" w:cs="Cambria Math"/>
          <w:kern w:val="0"/>
          <w:sz w:val="17"/>
          <w:szCs w:val="17"/>
        </w:rPr>
        <w:t>𝑖</w:t>
      </w:r>
      <w:r>
        <w:rPr>
          <w:rFonts w:ascii="CambriaMath" w:eastAsia="CambriaMath" w:cs="CambriaMath"/>
          <w:kern w:val="0"/>
          <w:sz w:val="17"/>
          <w:szCs w:val="17"/>
        </w:rPr>
        <w:t>,</w:t>
      </w:r>
      <w:r>
        <w:rPr>
          <w:rFonts w:ascii="Cambria Math" w:eastAsia="CambriaMath" w:hAnsi="Cambria Math" w:cs="Cambria Math"/>
          <w:kern w:val="0"/>
          <w:sz w:val="17"/>
          <w:szCs w:val="17"/>
        </w:rPr>
        <w:t>𝑡</w:t>
      </w:r>
      <w:r>
        <w:rPr>
          <w:rFonts w:ascii="CambriaMath" w:eastAsia="CambriaMath" w:cs="CambriaMath" w:hint="eastAsia"/>
          <w:kern w:val="0"/>
          <w:sz w:val="17"/>
          <w:szCs w:val="17"/>
        </w:rPr>
        <w:t>−</w:t>
      </w:r>
      <w:r>
        <w:rPr>
          <w:rFonts w:ascii="Cambria Math" w:eastAsia="CambriaMath" w:hAnsi="Cambria Math" w:cs="Cambria Math"/>
          <w:kern w:val="0"/>
          <w:sz w:val="17"/>
          <w:szCs w:val="17"/>
        </w:rPr>
        <w:t>𝑛</w:t>
      </w:r>
      <w:r>
        <w:rPr>
          <w:rFonts w:ascii="宋体" w:eastAsia="宋体" w:cs="宋体" w:hint="eastAsia"/>
          <w:kern w:val="0"/>
          <w:sz w:val="24"/>
          <w:szCs w:val="24"/>
        </w:rPr>
        <w:t>为股票</w:t>
      </w:r>
      <w:r>
        <w:rPr>
          <w:rFonts w:ascii="Cambria Math" w:eastAsia="CambriaMath" w:hAnsi="Cambria Math" w:cs="Cambria Math"/>
          <w:kern w:val="0"/>
          <w:sz w:val="24"/>
          <w:szCs w:val="24"/>
        </w:rPr>
        <w:t>𝑖</w:t>
      </w:r>
      <w:r>
        <w:rPr>
          <w:rFonts w:ascii="宋体" w:eastAsia="宋体" w:cs="宋体" w:hint="eastAsia"/>
          <w:kern w:val="0"/>
          <w:sz w:val="24"/>
          <w:szCs w:val="24"/>
        </w:rPr>
        <w:t>在</w:t>
      </w:r>
      <w:r>
        <w:rPr>
          <w:rFonts w:ascii="Cambria Math" w:eastAsia="CambriaMath" w:hAnsi="Cambria Math" w:cs="Cambria Math"/>
          <w:kern w:val="0"/>
          <w:sz w:val="24"/>
          <w:szCs w:val="24"/>
        </w:rPr>
        <w:t>𝑡</w:t>
      </w:r>
      <w:r>
        <w:rPr>
          <w:rFonts w:ascii="CambriaMath" w:eastAsia="CambriaMath" w:cs="CambriaMath"/>
          <w:kern w:val="0"/>
          <w:sz w:val="24"/>
          <w:szCs w:val="24"/>
        </w:rPr>
        <w:t xml:space="preserve"> </w:t>
      </w:r>
      <w:r>
        <w:rPr>
          <w:rFonts w:ascii="CambriaMath" w:eastAsia="CambriaMath" w:cs="CambriaMath" w:hint="eastAsia"/>
          <w:kern w:val="0"/>
          <w:sz w:val="24"/>
          <w:szCs w:val="24"/>
        </w:rPr>
        <w:t>−</w:t>
      </w:r>
      <w:r>
        <w:rPr>
          <w:rFonts w:ascii="CambriaMath" w:eastAsia="CambriaMath" w:cs="CambriaMath"/>
          <w:kern w:val="0"/>
          <w:sz w:val="24"/>
          <w:szCs w:val="24"/>
        </w:rPr>
        <w:t xml:space="preserve"> </w:t>
      </w:r>
      <w:r>
        <w:rPr>
          <w:rFonts w:ascii="Cambria Math" w:eastAsia="CambriaMath" w:hAnsi="Cambria Math" w:cs="Cambria Math"/>
          <w:kern w:val="0"/>
          <w:sz w:val="24"/>
          <w:szCs w:val="24"/>
        </w:rPr>
        <w:t>𝑛</w:t>
      </w:r>
      <w:r>
        <w:rPr>
          <w:rFonts w:ascii="宋体" w:eastAsia="宋体" w:cs="宋体" w:hint="eastAsia"/>
          <w:kern w:val="0"/>
          <w:sz w:val="24"/>
          <w:szCs w:val="24"/>
        </w:rPr>
        <w:t>周的周收盘价。然后再计算未实现资本利得</w:t>
      </w:r>
      <w:r>
        <w:rPr>
          <w:rFonts w:ascii="TimesNewRomanPSMT" w:eastAsia="TimesNewRomanPSMT" w:cs="TimesNewRomanPSMT"/>
          <w:kern w:val="0"/>
          <w:sz w:val="24"/>
          <w:szCs w:val="24"/>
        </w:rPr>
        <w:t>CGO</w:t>
      </w:r>
      <w:r>
        <w:rPr>
          <w:rFonts w:ascii="宋体" w:eastAsia="宋体" w:cs="宋体" w:hint="eastAsia"/>
          <w:kern w:val="0"/>
          <w:sz w:val="24"/>
          <w:szCs w:val="24"/>
        </w:rPr>
        <w:t>：</w:t>
      </w:r>
    </w:p>
    <w:p w:rsidR="005E7D80" w:rsidRDefault="005E7D80" w:rsidP="007A3792">
      <w:r>
        <w:rPr>
          <w:rFonts w:hint="eastAsia"/>
          <w:noProof/>
        </w:rPr>
        <w:drawing>
          <wp:inline distT="0" distB="0" distL="0" distR="0">
            <wp:extent cx="1437135" cy="350521"/>
            <wp:effectExtent l="0" t="0" r="0" b="0"/>
            <wp:docPr id="296688216" name="图片 4" descr="%FontSize=12&#10;%TeXFontSize=12&#10;\documentclass{article}&#10;\pagestyle{empty}&#10;\begin{document}&#10;\[&#10;CGO_{i,t}=\frac{P_{i,t-1}-RP_{i,t}}{P_{i,t-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88216" name="图片 4" descr="%FontSize=12&#10;%TeXFontSize=12&#10;\documentclass{article}&#10;\pagestyle{empty}&#10;\begin{document}&#10;\[&#10;CGO_{i,t}=\frac{P_{i,t-1}-RP_{i,t}}{P_{i,t-1}}.&#10;\]&#10;\end{document}"/>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1437135" cy="350521"/>
                    </a:xfrm>
                    <a:prstGeom prst="rect">
                      <a:avLst/>
                    </a:prstGeom>
                  </pic:spPr>
                </pic:pic>
              </a:graphicData>
            </a:graphic>
          </wp:inline>
        </w:drawing>
      </w:r>
    </w:p>
    <w:p w:rsidR="005E7D80" w:rsidRDefault="005E7D80" w:rsidP="005E7D80">
      <w:proofErr w:type="spellStart"/>
      <w:r>
        <w:t>Barberis</w:t>
      </w:r>
      <w:proofErr w:type="spellEnd"/>
      <w:r>
        <w:t>，</w:t>
      </w:r>
      <w:proofErr w:type="spellStart"/>
      <w:r>
        <w:t>Jin</w:t>
      </w:r>
      <w:proofErr w:type="spellEnd"/>
      <w:r>
        <w:t xml:space="preserve"> 和Wang(2021)对</w:t>
      </w:r>
      <w:proofErr w:type="spellStart"/>
      <w:r>
        <w:t>Grinblatt</w:t>
      </w:r>
      <w:proofErr w:type="spellEnd"/>
      <w:r>
        <w:t xml:space="preserve"> 和Han(2005)计算CGO 的方法略微做了修</w:t>
      </w:r>
    </w:p>
    <w:p w:rsidR="005E7D80" w:rsidRDefault="005E7D80" w:rsidP="005E7D80">
      <w:r>
        <w:rPr>
          <w:rFonts w:hint="eastAsia"/>
        </w:rPr>
        <w:t>改，将公式</w:t>
      </w:r>
      <w:r>
        <w:t>(4.4)分母上的滞后一期的周收盘价</w:t>
      </w:r>
      <w:r>
        <w:rPr>
          <w:rFonts w:ascii="Cambria Math" w:hAnsi="Cambria Math" w:cs="Cambria Math"/>
        </w:rPr>
        <w:t>𝑃𝑖</w:t>
      </w:r>
      <w:r>
        <w:t>,</w:t>
      </w:r>
      <w:r>
        <w:rPr>
          <w:rFonts w:ascii="Cambria Math" w:hAnsi="Cambria Math" w:cs="Cambria Math"/>
        </w:rPr>
        <w:t>𝑡</w:t>
      </w:r>
      <w:r>
        <w:rPr>
          <w:rFonts w:ascii="微软雅黑" w:eastAsia="微软雅黑" w:hAnsi="微软雅黑" w:cs="微软雅黑" w:hint="eastAsia"/>
        </w:rPr>
        <w:t>−</w:t>
      </w:r>
      <w:r>
        <w:t>1换成了参考价格，从而使得</w:t>
      </w:r>
    </w:p>
    <w:p w:rsidR="005E7D80" w:rsidRDefault="005E7D80" w:rsidP="005E7D80">
      <w:r>
        <w:t>CGO 与模型中定义的先前损益</w:t>
      </w:r>
      <w:r>
        <w:rPr>
          <w:rFonts w:ascii="Cambria Math" w:hAnsi="Cambria Math" w:cs="Cambria Math"/>
        </w:rPr>
        <w:t>𝑔𝑖</w:t>
      </w:r>
      <w:r>
        <w:t>更精确地匹配，具体计算公式如下：</w:t>
      </w:r>
    </w:p>
    <w:p w:rsidR="005E7D80" w:rsidRDefault="005E7D80" w:rsidP="005E7D80">
      <w:r>
        <w:rPr>
          <w:rFonts w:hint="eastAsia"/>
          <w:noProof/>
        </w:rPr>
        <w:drawing>
          <wp:inline distT="0" distB="0" distL="0" distR="0">
            <wp:extent cx="1228346" cy="300229"/>
            <wp:effectExtent l="0" t="0" r="0" b="5080"/>
            <wp:docPr id="1306043150" name="图片 5" descr="%FontSize=10.5&#10;%TeXFontSize=10.5&#10;\documentclass{article}&#10;\pagestyle{empty}&#10;\begin{document}&#10;\[&#10;\begin{aligned}&#10; \\&#10;CGO_{i,t} =\frac{P_{i,t-1}-RP_{i,t}}{RP_{i,t}}. &#10;\end{align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3150" name="图片 5" descr="%FontSize=10.5&#10;%TeXFontSize=10.5&#10;\documentclass{article}&#10;\pagestyle{empty}&#10;\begin{document}&#10;\[&#10;\begin{aligned}&#10; \\&#10;CGO_{i,t} =\frac{P_{i,t-1}-RP_{i,t}}{RP_{i,t}}. &#10;\end{aligned}&#10;\]&#10;\end{document}"/>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1228346" cy="300229"/>
                    </a:xfrm>
                    <a:prstGeom prst="rect">
                      <a:avLst/>
                    </a:prstGeom>
                  </pic:spPr>
                </pic:pic>
              </a:graphicData>
            </a:graphic>
          </wp:inline>
        </w:drawing>
      </w:r>
    </w:p>
    <w:p w:rsidR="005E7D80" w:rsidRDefault="005E7D80" w:rsidP="005E7D80">
      <w:r>
        <w:rPr>
          <w:rFonts w:hint="eastAsia"/>
        </w:rPr>
        <w:t>考虑到</w:t>
      </w:r>
      <w:r>
        <w:t>A 股市场散户主导的特点，投资者换手率高、持股周期短，在计算参</w:t>
      </w:r>
    </w:p>
    <w:p w:rsidR="005E7D80" w:rsidRDefault="005E7D80" w:rsidP="005E7D80">
      <w:proofErr w:type="gramStart"/>
      <w:r>
        <w:rPr>
          <w:rFonts w:hint="eastAsia"/>
        </w:rPr>
        <w:t>考价格</w:t>
      </w:r>
      <w:proofErr w:type="gramEnd"/>
      <w:r>
        <w:rPr>
          <w:rFonts w:hint="eastAsia"/>
        </w:rPr>
        <w:t>时再使用过去</w:t>
      </w:r>
      <w:r>
        <w:t>260 周即5 年的加权平均周收盘价显然是不合适的。而通过</w:t>
      </w:r>
    </w:p>
    <w:p w:rsidR="005E7D80" w:rsidRDefault="005E7D80" w:rsidP="005E7D80">
      <w:r>
        <w:rPr>
          <w:rFonts w:hint="eastAsia"/>
        </w:rPr>
        <w:t>阅读文献发现，以哪一个价格作为参考价格仍不统一。如张</w:t>
      </w:r>
      <w:proofErr w:type="gramStart"/>
      <w:r>
        <w:rPr>
          <w:rFonts w:hint="eastAsia"/>
        </w:rPr>
        <w:t>乒</w:t>
      </w:r>
      <w:proofErr w:type="gramEnd"/>
      <w:r>
        <w:t>(2021)使用过去3 年</w:t>
      </w:r>
    </w:p>
    <w:p w:rsidR="005E7D80" w:rsidRDefault="005E7D80" w:rsidP="005E7D80">
      <w:r>
        <w:rPr>
          <w:rFonts w:hint="eastAsia"/>
        </w:rPr>
        <w:t>的加权平均日收盘价作为参考价格；任德平等</w:t>
      </w:r>
      <w:r>
        <w:t>(2013)则使用5 周为频率的加权移</w:t>
      </w:r>
    </w:p>
    <w:p w:rsidR="005E7D80" w:rsidRDefault="005E7D80" w:rsidP="005E7D80">
      <w:proofErr w:type="gramStart"/>
      <w:r>
        <w:rPr>
          <w:rFonts w:hint="eastAsia"/>
        </w:rPr>
        <w:t>动平均</w:t>
      </w:r>
      <w:proofErr w:type="gramEnd"/>
      <w:r>
        <w:rPr>
          <w:rFonts w:hint="eastAsia"/>
        </w:rPr>
        <w:t>收盘价，但是没有使用换手率作为可能的买卖概率。但是本文仍想参照</w:t>
      </w:r>
    </w:p>
    <w:p w:rsidR="005E7D80" w:rsidRDefault="005E7D80" w:rsidP="005E7D80">
      <w:proofErr w:type="spellStart"/>
      <w:r>
        <w:t>Grinblatt</w:t>
      </w:r>
      <w:proofErr w:type="spellEnd"/>
      <w:r>
        <w:t xml:space="preserve"> 和Han(2005)的方法，使用加权平均周收盘价计算参考价格。因此将公式</w:t>
      </w:r>
    </w:p>
    <w:p w:rsidR="005E7D80" w:rsidRDefault="005E7D80" w:rsidP="005E7D80">
      <w:r>
        <w:t>(22)中持股周期T 设置为5 周、13 周、26 周和52 周，计算</w:t>
      </w:r>
      <w:r>
        <w:rPr>
          <w:rFonts w:hint="eastAsia"/>
          <w:noProof/>
        </w:rPr>
        <w:drawing>
          <wp:inline distT="0" distB="0" distL="0" distR="0">
            <wp:extent cx="1164338" cy="156972"/>
            <wp:effectExtent l="0" t="0" r="0" b="0"/>
            <wp:docPr id="1990903366" name="图片 6" descr="%FontSize=10.5&#10;%TeXFontSize=10.5&#10;\documentclass{article}&#10;\pagestyle{empty}&#10;\begin{document}&#10;\[&#10;RP_t^5,RP_t^{13},RP_t^{26},RP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03366" name="图片 6" descr="%FontSize=10.5&#10;%TeXFontSize=10.5&#10;\documentclass{article}&#10;\pagestyle{empty}&#10;\begin{document}&#10;\[&#10;RP_t^5,RP_t^{13},RP_t^{26},RP_t^{52}&#10;\]&#10;\end{document}"/>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1164338" cy="156972"/>
                    </a:xfrm>
                    <a:prstGeom prst="rect">
                      <a:avLst/>
                    </a:prstGeom>
                  </pic:spPr>
                </pic:pic>
              </a:graphicData>
            </a:graphic>
          </wp:inline>
        </w:drawing>
      </w:r>
    </w:p>
    <w:p w:rsidR="00804652" w:rsidRDefault="00804652" w:rsidP="00804652">
      <w:r>
        <w:rPr>
          <w:rFonts w:hint="eastAsia"/>
        </w:rPr>
        <w:t>，即投投资者持股时间分别为一个月、一个季度、半年和一年的参考价格，</w:t>
      </w:r>
    </w:p>
    <w:p w:rsidR="00804652" w:rsidRDefault="00804652" w:rsidP="00804652">
      <w:r>
        <w:rPr>
          <w:rFonts w:hint="eastAsia"/>
        </w:rPr>
        <w:t>构造</w:t>
      </w:r>
      <w:r>
        <w:t xml:space="preserve">4 </w:t>
      </w:r>
      <w:proofErr w:type="gramStart"/>
      <w:r>
        <w:t>个</w:t>
      </w:r>
      <w:proofErr w:type="gramEnd"/>
      <w:r>
        <w:t>未实现资本利得</w:t>
      </w:r>
      <w:r>
        <w:rPr>
          <w:rFonts w:hint="eastAsia"/>
          <w:noProof/>
        </w:rPr>
        <w:drawing>
          <wp:inline distT="0" distB="0" distL="0" distR="0">
            <wp:extent cx="1636779" cy="156972"/>
            <wp:effectExtent l="0" t="0" r="1905" b="0"/>
            <wp:docPr id="736530918" name="图片 7" descr="%FontSize=10.5&#10;%TeXFontSize=10.5&#10;\documentclass{article}&#10;\pagestyle{empty}&#10;\begin{document}&#10;\[&#10;CGO_t^5,CGO_t^{13},CGO_t^{26},CGO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30918" name="图片 7" descr="%FontSize=10.5&#10;%TeXFontSize=10.5&#10;\documentclass{article}&#10;\pagestyle{empty}&#10;\begin{document}&#10;\[&#10;CGO_t^5,CGO_t^{13},CGO_t^{26},CGO_t^{52}.&#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1636779" cy="156972"/>
                    </a:xfrm>
                    <a:prstGeom prst="rect">
                      <a:avLst/>
                    </a:prstGeom>
                  </pic:spPr>
                </pic:pic>
              </a:graphicData>
            </a:graphic>
          </wp:inline>
        </w:drawing>
      </w:r>
    </w:p>
    <w:p w:rsidR="00804652" w:rsidRDefault="00804652" w:rsidP="00804652"/>
    <w:p w:rsidR="00804652" w:rsidRDefault="00804652" w:rsidP="00804652">
      <w:r>
        <w:rPr>
          <w:rFonts w:hint="eastAsia"/>
        </w:rPr>
        <w:t>接下来就要挑选合适的参考价格构造未实现资本利得。由于未实现资本利得</w:t>
      </w:r>
    </w:p>
    <w:p w:rsidR="00804652" w:rsidRDefault="00804652" w:rsidP="00804652">
      <w:r>
        <w:rPr>
          <w:rFonts w:hint="eastAsia"/>
        </w:rPr>
        <w:t>这个因子，是建立在行为金融学中前景理论和处置效应的基础上的，首先就是要</w:t>
      </w:r>
    </w:p>
    <w:p w:rsidR="00804652" w:rsidRDefault="00804652" w:rsidP="00804652">
      <w:r>
        <w:rPr>
          <w:rFonts w:hint="eastAsia"/>
        </w:rPr>
        <w:t>检验股票市场上的处置效应，然后选取最优未实现资本利得对应的最优参考价格。</w:t>
      </w:r>
    </w:p>
    <w:p w:rsidR="00804652" w:rsidRDefault="00804652" w:rsidP="00804652">
      <w:r>
        <w:rPr>
          <w:rFonts w:hint="eastAsia"/>
        </w:rPr>
        <w:t>参考任德平等</w:t>
      </w:r>
      <w:r>
        <w:t>(2013)选择参考价格的做法，他们将“处置效应”，也就是CGO</w:t>
      </w:r>
    </w:p>
    <w:p w:rsidR="00804652" w:rsidRDefault="00804652" w:rsidP="00804652">
      <w:r>
        <w:rPr>
          <w:rFonts w:hint="eastAsia"/>
        </w:rPr>
        <w:t>引入到传统的线性量价回归模型</w:t>
      </w:r>
      <w:r>
        <w:rPr>
          <w:rFonts w:ascii="Cambria Math" w:hAnsi="Cambria Math" w:cs="Cambria Math"/>
        </w:rPr>
        <w:t>𝑉𝑡</w:t>
      </w:r>
      <w:r>
        <w:t xml:space="preserve"> = </w:t>
      </w:r>
      <w:r>
        <w:rPr>
          <w:rFonts w:ascii="Cambria Math" w:hAnsi="Cambria Math" w:cs="Cambria Math"/>
        </w:rPr>
        <w:t>𝛼</w:t>
      </w:r>
      <w:r>
        <w:t xml:space="preserve"> + </w:t>
      </w:r>
      <w:r>
        <w:rPr>
          <w:rFonts w:ascii="Cambria Math" w:hAnsi="Cambria Math" w:cs="Cambria Math"/>
        </w:rPr>
        <w:t>𝛽</w:t>
      </w:r>
      <w:r>
        <w:t>|</w:t>
      </w:r>
      <w:r>
        <w:rPr>
          <w:rFonts w:ascii="Cambria Math" w:hAnsi="Cambria Math" w:cs="Cambria Math"/>
        </w:rPr>
        <w:t>𝑅𝑡</w:t>
      </w:r>
      <w:r>
        <w:t xml:space="preserve">| + </w:t>
      </w:r>
      <w:r>
        <w:rPr>
          <w:rFonts w:ascii="Cambria Math" w:hAnsi="Cambria Math" w:cs="Cambria Math"/>
        </w:rPr>
        <w:t>𝜀𝑡</w:t>
      </w:r>
      <w:r>
        <w:t>中，对其进行调整，调整的线</w:t>
      </w:r>
    </w:p>
    <w:p w:rsidR="00804652" w:rsidRDefault="00804652" w:rsidP="00804652">
      <w:r>
        <w:rPr>
          <w:rFonts w:hint="eastAsia"/>
        </w:rPr>
        <w:t>性量价回归模型为：</w:t>
      </w:r>
    </w:p>
    <w:p w:rsidR="00804652" w:rsidRDefault="00804652" w:rsidP="00804652">
      <w:r>
        <w:rPr>
          <w:rFonts w:hint="eastAsia"/>
          <w:noProof/>
        </w:rPr>
        <w:drawing>
          <wp:inline distT="0" distB="0" distL="0" distR="0">
            <wp:extent cx="1464567" cy="112776"/>
            <wp:effectExtent l="0" t="0" r="2540" b="1905"/>
            <wp:docPr id="882408950" name="图片 8" descr="%FontSize=10.5&#10;%TeXFontSize=10.5&#10;\documentclass{article}&#10;\pagestyle{empty}&#10;\begin{document}&#10;\[&#10;V_t=\alpha+\beta|R_t|+\gamma CGO_t+\varepsilon_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8950" name="图片 8" descr="%FontSize=10.5&#10;%TeXFontSize=10.5&#10;\documentclass{article}&#10;\pagestyle{empty}&#10;\begin{document}&#10;\[&#10;V_t=\alpha+\beta|R_t|+\gamma CGO_t+\varepsilon_t,&#10;\]&#10;\end{document}"/>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1464567" cy="112776"/>
                    </a:xfrm>
                    <a:prstGeom prst="rect">
                      <a:avLst/>
                    </a:prstGeom>
                  </pic:spPr>
                </pic:pic>
              </a:graphicData>
            </a:graphic>
          </wp:inline>
        </w:drawing>
      </w:r>
    </w:p>
    <w:p w:rsidR="00804652" w:rsidRDefault="00804652" w:rsidP="00804652">
      <w:r>
        <w:rPr>
          <w:rFonts w:hint="eastAsia"/>
        </w:rPr>
        <w:t>其中</w:t>
      </w:r>
      <w:r>
        <w:rPr>
          <w:rFonts w:ascii="Cambria Math" w:hAnsi="Cambria Math" w:cs="Cambria Math"/>
        </w:rPr>
        <w:t>𝑉𝑡</w:t>
      </w:r>
      <w:r>
        <w:t>为股票在</w:t>
      </w:r>
      <w:r>
        <w:rPr>
          <w:rFonts w:ascii="Cambria Math" w:hAnsi="Cambria Math" w:cs="Cambria Math"/>
        </w:rPr>
        <w:t>𝑡</w:t>
      </w:r>
      <w:r>
        <w:t>时刻的换手率，|</w:t>
      </w:r>
      <w:r>
        <w:rPr>
          <w:rFonts w:ascii="Cambria Math" w:hAnsi="Cambria Math" w:cs="Cambria Math"/>
        </w:rPr>
        <w:t>𝑅𝑡</w:t>
      </w:r>
      <w:r>
        <w:t>|为股票在</w:t>
      </w:r>
      <w:r>
        <w:rPr>
          <w:rFonts w:ascii="Cambria Math" w:hAnsi="Cambria Math" w:cs="Cambria Math"/>
        </w:rPr>
        <w:t>𝑡</w:t>
      </w:r>
      <w:r>
        <w:t>时刻收益率的绝对值。</w:t>
      </w:r>
    </w:p>
    <w:p w:rsidR="00804652" w:rsidRDefault="00804652" w:rsidP="00804652">
      <w:r>
        <w:rPr>
          <w:rFonts w:hint="eastAsia"/>
        </w:rPr>
        <w:t>所谓处置效应，是指投资者倾向于</w:t>
      </w:r>
      <w:proofErr w:type="gramStart"/>
      <w:r>
        <w:rPr>
          <w:rFonts w:hint="eastAsia"/>
        </w:rPr>
        <w:t>出赢保亏</w:t>
      </w:r>
      <w:proofErr w:type="gramEnd"/>
      <w:r>
        <w:rPr>
          <w:rFonts w:hint="eastAsia"/>
        </w:rPr>
        <w:t>，卖掉手中赚钱的股票，继续持</w:t>
      </w:r>
    </w:p>
    <w:p w:rsidR="00804652" w:rsidRDefault="00804652" w:rsidP="00804652">
      <w:r>
        <w:rPr>
          <w:rFonts w:hint="eastAsia"/>
        </w:rPr>
        <w:t>有赔钱的股票。公式</w:t>
      </w:r>
      <w:r>
        <w:t>(4.5)中的CGO 恰好能够捕捉处置效应“出赢保亏”的特征。</w:t>
      </w:r>
    </w:p>
    <w:p w:rsidR="00804652" w:rsidRDefault="00804652" w:rsidP="00804652">
      <w:r>
        <w:rPr>
          <w:rFonts w:hint="eastAsia"/>
        </w:rPr>
        <w:t>公式</w:t>
      </w:r>
      <w:r>
        <w:t>(4.5)中的</w:t>
      </w:r>
      <w:r>
        <w:rPr>
          <w:rFonts w:ascii="Cambria Math" w:hAnsi="Cambria Math" w:cs="Cambria Math"/>
        </w:rPr>
        <w:t>𝛾</w:t>
      </w:r>
      <w:r>
        <w:t>反应股票在</w:t>
      </w:r>
      <w:r>
        <w:rPr>
          <w:rFonts w:ascii="Cambria Math" w:hAnsi="Cambria Math" w:cs="Cambria Math"/>
        </w:rPr>
        <w:t>𝑡</w:t>
      </w:r>
      <w:r>
        <w:t>时刻的CGO 与股票换手率之间的关系。如果</w:t>
      </w:r>
      <w:r>
        <w:rPr>
          <w:rFonts w:ascii="Cambria Math" w:hAnsi="Cambria Math" w:cs="Cambria Math"/>
        </w:rPr>
        <w:t>𝛾</w:t>
      </w:r>
      <w:r>
        <w:t>显著为</w:t>
      </w:r>
    </w:p>
    <w:p w:rsidR="00804652" w:rsidRDefault="00804652" w:rsidP="00804652">
      <w:r>
        <w:rPr>
          <w:rFonts w:hint="eastAsia"/>
        </w:rPr>
        <w:t>正，则当</w:t>
      </w:r>
      <w:r>
        <w:t>CGO 大于0 时，投资者认为股票现在的价格高于他们心目中的参考价</w:t>
      </w:r>
    </w:p>
    <w:p w:rsidR="00804652" w:rsidRDefault="00804652" w:rsidP="00804652">
      <w:r>
        <w:rPr>
          <w:rFonts w:hint="eastAsia"/>
        </w:rPr>
        <w:t>格，认为目前持有股票</w:t>
      </w:r>
      <w:proofErr w:type="gramStart"/>
      <w:r>
        <w:rPr>
          <w:rFonts w:hint="eastAsia"/>
        </w:rPr>
        <w:t>处于浮盈状态</w:t>
      </w:r>
      <w:proofErr w:type="gramEnd"/>
      <w:r>
        <w:rPr>
          <w:rFonts w:hint="eastAsia"/>
        </w:rPr>
        <w:t>，投资者倾向于卖出股票实现盈利，从而换</w:t>
      </w:r>
    </w:p>
    <w:p w:rsidR="00804652" w:rsidRDefault="00804652" w:rsidP="00804652">
      <w:proofErr w:type="gramStart"/>
      <w:r>
        <w:rPr>
          <w:rFonts w:hint="eastAsia"/>
        </w:rPr>
        <w:t>手率增加</w:t>
      </w:r>
      <w:proofErr w:type="gramEnd"/>
      <w:r>
        <w:rPr>
          <w:rFonts w:hint="eastAsia"/>
        </w:rPr>
        <w:t>；当</w:t>
      </w:r>
      <w:r>
        <w:t>CGO 小于0 时，投资者认为股票现在的价格低于他们心目中的参</w:t>
      </w:r>
    </w:p>
    <w:p w:rsidR="00804652" w:rsidRDefault="00804652" w:rsidP="00804652">
      <w:r>
        <w:rPr>
          <w:rFonts w:hint="eastAsia"/>
        </w:rPr>
        <w:t>考价格，认为目前持有股票处于亏损状态，倾向于继续持有股票，换手率降低。</w:t>
      </w:r>
    </w:p>
    <w:p w:rsidR="00804652" w:rsidRDefault="00804652" w:rsidP="00804652">
      <w:r>
        <w:rPr>
          <w:rFonts w:hint="eastAsia"/>
        </w:rPr>
        <w:t>如果</w:t>
      </w:r>
      <w:r>
        <w:rPr>
          <w:rFonts w:ascii="Cambria Math" w:hAnsi="Cambria Math" w:cs="Cambria Math"/>
        </w:rPr>
        <w:t>𝛾</w:t>
      </w:r>
      <w:r>
        <w:t>系数显著为负，则得到相反的结论。综上所述，如果对于市场上的大多数股</w:t>
      </w:r>
    </w:p>
    <w:p w:rsidR="00804652" w:rsidRDefault="00804652" w:rsidP="00804652">
      <w:r>
        <w:rPr>
          <w:rFonts w:hint="eastAsia"/>
        </w:rPr>
        <w:t>票，公式</w:t>
      </w:r>
      <w:r>
        <w:t>(4.5)中的系数</w:t>
      </w:r>
      <w:r>
        <w:rPr>
          <w:rFonts w:ascii="Cambria Math" w:hAnsi="Cambria Math" w:cs="Cambria Math"/>
        </w:rPr>
        <w:t>𝛾</w:t>
      </w:r>
      <w:r>
        <w:t>显著为正，则整体上市场上的投资者上存在处置效应。</w:t>
      </w:r>
    </w:p>
    <w:p w:rsidR="00804652" w:rsidRDefault="00804652" w:rsidP="00804652">
      <w:r>
        <w:rPr>
          <w:rFonts w:hint="eastAsia"/>
        </w:rPr>
        <w:lastRenderedPageBreak/>
        <w:t>这里在检验</w:t>
      </w:r>
      <w:r>
        <w:t>A 股市场处置效应存在性时，使用的数据是1997 年1 月至202</w:t>
      </w:r>
      <w:r w:rsidR="001C2924">
        <w:t>3</w:t>
      </w:r>
    </w:p>
    <w:p w:rsidR="00804652" w:rsidRDefault="00804652" w:rsidP="00804652">
      <w:r>
        <w:rPr>
          <w:rFonts w:hint="eastAsia"/>
        </w:rPr>
        <w:t>年</w:t>
      </w:r>
      <w:r w:rsidR="001C2924">
        <w:t>3</w:t>
      </w:r>
      <w:r>
        <w:t xml:space="preserve"> </w:t>
      </w:r>
      <w:proofErr w:type="gramStart"/>
      <w:r>
        <w:t>月沪深</w:t>
      </w:r>
      <w:proofErr w:type="gramEnd"/>
      <w:r>
        <w:t>A 股市场上所有股票周收益率数据和周收盘价数据，剔除了ST 和*ST</w:t>
      </w:r>
    </w:p>
    <w:p w:rsidR="00804652" w:rsidRDefault="00804652" w:rsidP="00804652">
      <w:r>
        <w:rPr>
          <w:rFonts w:hint="eastAsia"/>
        </w:rPr>
        <w:t>股票，同时剔除了金融行业的股票和上市不满一年的股票，总计</w:t>
      </w:r>
      <w:r>
        <w:t>3</w:t>
      </w:r>
      <w:r w:rsidR="001C2924">
        <w:t>0</w:t>
      </w:r>
      <w:r w:rsidR="000031A1">
        <w:t>35</w:t>
      </w:r>
      <w:r>
        <w:t xml:space="preserve"> 只股票。根</w:t>
      </w:r>
    </w:p>
    <w:p w:rsidR="00804652" w:rsidRDefault="00804652" w:rsidP="00804652">
      <w:r>
        <w:rPr>
          <w:rFonts w:hint="eastAsia"/>
        </w:rPr>
        <w:t>据上面的公式</w:t>
      </w:r>
      <w:r>
        <w:t>(4.5)进行回归分析。下表4.1 展示了股票样本中随机选择的10 只股</w:t>
      </w:r>
    </w:p>
    <w:p w:rsidR="00804652" w:rsidRDefault="00804652" w:rsidP="00804652">
      <w:r>
        <w:rPr>
          <w:rFonts w:hint="eastAsia"/>
        </w:rPr>
        <w:t>票，分别使用</w:t>
      </w:r>
      <w:r w:rsidRPr="00804652">
        <w:rPr>
          <w:noProof/>
          <w:position w:val="-4"/>
          <w:lang w:val="zh-CN"/>
        </w:rPr>
        <w:drawing>
          <wp:inline distT="0" distB="0" distL="0" distR="0">
            <wp:extent cx="1636779" cy="156972"/>
            <wp:effectExtent l="0" t="0" r="1905" b="0"/>
            <wp:docPr id="1318414781" name="图片 9" descr="%FontSize=10.5&#10;%TeXFontSize=10.5&#10;\documentclass{article}&#10;\pagestyle{empty}&#10;\begin{document}&#10;\[&#10;CGO_t^5,CGO_t^{13},CGO_t^{26},CGO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14781" name="图片 9" descr="%FontSize=10.5&#10;%TeXFontSize=10.5&#10;\documentclass{article}&#10;\pagestyle{empty}&#10;\begin{document}&#10;\[&#10;CGO_t^5,CGO_t^{13},CGO_t^{26},CGO_t^{52}.&#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1636779" cy="156972"/>
                    </a:xfrm>
                    <a:prstGeom prst="rect">
                      <a:avLst/>
                    </a:prstGeom>
                  </pic:spPr>
                </pic:pic>
              </a:graphicData>
            </a:graphic>
          </wp:inline>
        </w:drawing>
      </w:r>
      <w:r>
        <w:t>的回归结果。</w:t>
      </w:r>
    </w:p>
    <w:p w:rsidR="00C14C61" w:rsidRDefault="00C14C61" w:rsidP="00804652">
      <w:r w:rsidRPr="00C14C61">
        <w:drawing>
          <wp:inline distT="0" distB="0" distL="0" distR="0" wp14:anchorId="1F961C84" wp14:editId="2F92160F">
            <wp:extent cx="5274310" cy="4756785"/>
            <wp:effectExtent l="0" t="0" r="2540" b="5715"/>
            <wp:docPr id="2107362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62996" name=""/>
                    <pic:cNvPicPr/>
                  </pic:nvPicPr>
                  <pic:blipFill>
                    <a:blip r:embed="rId12"/>
                    <a:stretch>
                      <a:fillRect/>
                    </a:stretch>
                  </pic:blipFill>
                  <pic:spPr>
                    <a:xfrm>
                      <a:off x="0" y="0"/>
                      <a:ext cx="5274310" cy="4756785"/>
                    </a:xfrm>
                    <a:prstGeom prst="rect">
                      <a:avLst/>
                    </a:prstGeom>
                  </pic:spPr>
                </pic:pic>
              </a:graphicData>
            </a:graphic>
          </wp:inline>
        </w:drawing>
      </w:r>
    </w:p>
    <w:p w:rsidR="00C14C61" w:rsidRPr="00C14C61" w:rsidRDefault="00C14C61" w:rsidP="00C14C61">
      <w:r>
        <w:rPr>
          <w:rFonts w:hint="eastAsia"/>
        </w:rPr>
        <w:t>实证发现，本文本节选择的</w:t>
      </w:r>
      <w:r>
        <w:t>3824 只股票中，分别使用</w:t>
      </w:r>
      <w:r w:rsidRPr="00C14C61">
        <w:rPr>
          <w:noProof/>
          <w:position w:val="-8"/>
        </w:rPr>
        <w:drawing>
          <wp:inline distT="0" distB="0" distL="0" distR="0">
            <wp:extent cx="1636779" cy="156972"/>
            <wp:effectExtent l="0" t="0" r="1905" b="0"/>
            <wp:docPr id="2144439553" name="图片 10" descr="%FontSize=10.5&#10;%TeXFontSize=10.5&#10;\documentclass{article}&#10;\pagestyle{empty}&#10;\begin{document}&#10;\[&#10;CGO_t^5,CGO_t^{13},CGO_t^{26},CGO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39553" name="图片 10" descr="%FontSize=10.5&#10;%TeXFontSize=10.5&#10;\documentclass{article}&#10;\pagestyle{empty}&#10;\begin{document}&#10;\[&#10;CGO_t^5,CGO_t^{13},CGO_t^{26},CGO_t^{52}.&#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1636779" cy="156972"/>
                    </a:xfrm>
                    <a:prstGeom prst="rect">
                      <a:avLst/>
                    </a:prstGeom>
                  </pic:spPr>
                </pic:pic>
              </a:graphicData>
            </a:graphic>
          </wp:inline>
        </w:drawing>
      </w:r>
    </w:p>
    <w:p w:rsidR="00C14C61" w:rsidRDefault="00C14C61" w:rsidP="00C14C61">
      <w:r>
        <w:t>代入公式(4.5)进行回归分析，分别有</w:t>
      </w:r>
      <w:r w:rsidR="000031A1">
        <w:t>2830</w:t>
      </w:r>
      <w:r>
        <w:t>，</w:t>
      </w:r>
      <w:r w:rsidR="000031A1">
        <w:t>2832</w:t>
      </w:r>
      <w:r>
        <w:t>，</w:t>
      </w:r>
      <w:r w:rsidR="000031A1">
        <w:t>2839,</w:t>
      </w:r>
      <w:r>
        <w:t xml:space="preserve"> </w:t>
      </w:r>
      <w:r w:rsidR="000031A1">
        <w:t>2841</w:t>
      </w:r>
      <w:r>
        <w:t>只</w:t>
      </w:r>
    </w:p>
    <w:p w:rsidR="00C14C61" w:rsidRDefault="00C14C61" w:rsidP="00C14C61">
      <w:r>
        <w:rPr>
          <w:rFonts w:hint="eastAsia"/>
        </w:rPr>
        <w:t>股票（分别达到总样本量的</w:t>
      </w:r>
      <w:r>
        <w:t>93.25%，93.33%，93.57%，93.64%）的</w:t>
      </w:r>
      <w:r>
        <w:rPr>
          <w:rFonts w:ascii="Cambria Math" w:hAnsi="Cambria Math" w:cs="Cambria Math"/>
        </w:rPr>
        <w:t>𝛾</w:t>
      </w:r>
      <w:r>
        <w:t>系数显著为</w:t>
      </w:r>
    </w:p>
    <w:p w:rsidR="00C14C61" w:rsidRDefault="00C14C61" w:rsidP="00C14C61">
      <w:r>
        <w:rPr>
          <w:rFonts w:hint="eastAsia"/>
        </w:rPr>
        <w:t>正。从整个市场角度来看，</w:t>
      </w:r>
      <w:r>
        <w:t>A 股市场中的投资者存在处置效应。</w:t>
      </w:r>
    </w:p>
    <w:p w:rsidR="00C14C61" w:rsidRDefault="00C14C61" w:rsidP="00C14C61">
      <w:r w:rsidRPr="00C14C61">
        <w:rPr>
          <w:rFonts w:hint="eastAsia"/>
        </w:rPr>
        <w:t>下表</w:t>
      </w:r>
      <w:r w:rsidRPr="00C14C61">
        <w:t>4.2 展示了股票样本中随机选择的10 只股票，分别使用</w:t>
      </w:r>
      <w:r w:rsidRPr="00C14C61">
        <w:rPr>
          <w:rFonts w:hint="eastAsia"/>
          <w:noProof/>
          <w:position w:val="-4"/>
        </w:rPr>
        <w:drawing>
          <wp:inline distT="0" distB="0" distL="0" distR="0">
            <wp:extent cx="1636779" cy="156972"/>
            <wp:effectExtent l="0" t="0" r="1905" b="0"/>
            <wp:docPr id="1813742557" name="图片 11" descr="%FontSize=10.5&#10;%TeXFontSize=10.5&#10;\documentclass{article}&#10;\pagestyle{empty}&#10;\begin{document}&#10;\[&#10;CGO_t^5,CGO_t^{13},CGO_t^{26},CGO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42557" name="图片 11" descr="%FontSize=10.5&#10;%TeXFontSize=10.5&#10;\documentclass{article}&#10;\pagestyle{empty}&#10;\begin{document}&#10;\[&#10;CGO_t^5,CGO_t^{13},CGO_t^{26},CGO_t^{52}.&#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1636779" cy="156972"/>
                    </a:xfrm>
                    <a:prstGeom prst="rect">
                      <a:avLst/>
                    </a:prstGeom>
                  </pic:spPr>
                </pic:pic>
              </a:graphicData>
            </a:graphic>
          </wp:inline>
        </w:drawing>
      </w:r>
    </w:p>
    <w:p w:rsidR="00C14C61" w:rsidRDefault="00C14C61" w:rsidP="00C14C61">
      <w:r>
        <w:rPr>
          <w:rFonts w:hint="eastAsia"/>
        </w:rPr>
        <w:t>的回归后的</w:t>
      </w:r>
      <w:r>
        <w:t>Adj-R2(调整后的拟合优度)值。从表4.2 可以看出，虽</w:t>
      </w:r>
    </w:p>
    <w:p w:rsidR="00C14C61" w:rsidRDefault="00C14C61" w:rsidP="00C14C61">
      <w:proofErr w:type="gramStart"/>
      <w:r>
        <w:rPr>
          <w:rFonts w:hint="eastAsia"/>
        </w:rPr>
        <w:t>然对于</w:t>
      </w:r>
      <w:proofErr w:type="gramEnd"/>
      <w:r>
        <w:rPr>
          <w:rFonts w:hint="eastAsia"/>
        </w:rPr>
        <w:t>不同的股票，使得回归模型</w:t>
      </w:r>
      <w:r>
        <w:t>(4.5)拟合优度最大的CGO 不同。但从整体来</w:t>
      </w:r>
    </w:p>
    <w:p w:rsidR="00C14C61" w:rsidRDefault="00C14C61" w:rsidP="00C14C61">
      <w:r>
        <w:t>33</w:t>
      </w:r>
    </w:p>
    <w:p w:rsidR="00C14C61" w:rsidRPr="00B700F8" w:rsidRDefault="00C14C61" w:rsidP="00B700F8">
      <w:r>
        <w:rPr>
          <w:rFonts w:hint="eastAsia"/>
        </w:rPr>
        <w:t>看，本文研究的</w:t>
      </w:r>
      <w:r w:rsidR="00AA0357">
        <w:t>3035</w:t>
      </w:r>
      <w:r>
        <w:t>只股票中，其中2</w:t>
      </w:r>
      <w:r w:rsidR="00AA0357">
        <w:t>156</w:t>
      </w:r>
      <w:r>
        <w:t xml:space="preserve"> 只股票，选用</w:t>
      </w:r>
      <w:r>
        <w:rPr>
          <w:noProof/>
          <w:lang w:val="zh-CN"/>
        </w:rPr>
        <w:drawing>
          <wp:inline distT="0" distB="0" distL="0" distR="0">
            <wp:extent cx="260605" cy="156972"/>
            <wp:effectExtent l="0" t="0" r="6350" b="0"/>
            <wp:docPr id="829327868" name="图片 12" descr="%FontSize=10.5&#10;%TeXFontSize=10.5&#10;\documentclass{article}&#10;\pagestyle{empty}&#10;\begin{document}&#10;\[&#10;RP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7868" name="图片 12" descr="%FontSize=10.5&#10;%TeXFontSize=10.5&#10;\documentclass{article}&#10;\pagestyle{empty}&#10;\begin{document}&#10;\[&#10;RP_t^{52}&#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60605" cy="156972"/>
                    </a:xfrm>
                    <a:prstGeom prst="rect">
                      <a:avLst/>
                    </a:prstGeom>
                  </pic:spPr>
                </pic:pic>
              </a:graphicData>
            </a:graphic>
          </wp:inline>
        </w:drawing>
      </w:r>
      <w:r>
        <w:t>计算得到的</w:t>
      </w:r>
      <w:r w:rsidR="00B700F8" w:rsidRPr="00B700F8">
        <w:rPr>
          <w:noProof/>
          <w:position w:val="-6"/>
        </w:rPr>
        <w:drawing>
          <wp:inline distT="0" distB="0" distL="0" distR="0">
            <wp:extent cx="365761" cy="156972"/>
            <wp:effectExtent l="0" t="0" r="0" b="0"/>
            <wp:docPr id="1699641688" name="图片 13" descr="%FontSize=10.5&#10;%TeXFontSize=10.5&#10;\documentclass{article}&#10;\pagestyle{empty}&#10;\begin{document}&#10;\[&#10;CGO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41688" name="图片 13" descr="%FontSize=10.5&#10;%TeXFontSize=10.5&#10;\documentclass{article}&#10;\pagestyle{empty}&#10;\begin{document}&#10;\[&#10;CGO_t^{52}&#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365761" cy="156972"/>
                    </a:xfrm>
                    <a:prstGeom prst="rect">
                      <a:avLst/>
                    </a:prstGeom>
                  </pic:spPr>
                </pic:pic>
              </a:graphicData>
            </a:graphic>
          </wp:inline>
        </w:drawing>
      </w:r>
    </w:p>
    <w:p w:rsidR="00C14C61" w:rsidRDefault="00C14C61" w:rsidP="00C14C61">
      <w:r>
        <w:rPr>
          <w:rFonts w:hint="eastAsia"/>
        </w:rPr>
        <w:t>模型</w:t>
      </w:r>
      <w:r>
        <w:t>(4.5)的拟合优度最高，其次是</w:t>
      </w:r>
      <w:r w:rsidR="00B700F8" w:rsidRPr="00B700F8">
        <w:rPr>
          <w:noProof/>
          <w:position w:val="-2"/>
          <w:lang w:val="zh-CN"/>
        </w:rPr>
        <w:drawing>
          <wp:inline distT="0" distB="0" distL="0" distR="0">
            <wp:extent cx="310897" cy="156972"/>
            <wp:effectExtent l="0" t="0" r="0" b="0"/>
            <wp:docPr id="869123024" name="图片 14" descr="%FontSize=10.5&#10;%TeXFontSize=10.5&#10;\documentclass{article}&#10;\pagestyle{empty}&#10;\begin{document}&#10;\[&#10;CGO_t^{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3024" name="图片 14" descr="%FontSize=10.5&#10;%TeXFontSize=10.5&#10;\documentclass{article}&#10;\pagestyle{empty}&#10;\begin{document}&#10;\[&#10;CGO_t^{5}&#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310897" cy="156972"/>
                    </a:xfrm>
                    <a:prstGeom prst="rect">
                      <a:avLst/>
                    </a:prstGeom>
                  </pic:spPr>
                </pic:pic>
              </a:graphicData>
            </a:graphic>
          </wp:inline>
        </w:drawing>
      </w:r>
      <w:r>
        <w:t>因此，本文使用</w:t>
      </w:r>
      <w:r w:rsidR="00B700F8" w:rsidRPr="00B700F8">
        <w:rPr>
          <w:noProof/>
          <w:position w:val="-6"/>
        </w:rPr>
        <w:drawing>
          <wp:inline distT="0" distB="0" distL="0" distR="0" wp14:anchorId="1D166EF4" wp14:editId="00AB53AC">
            <wp:extent cx="365761" cy="156972"/>
            <wp:effectExtent l="0" t="0" r="0" b="0"/>
            <wp:docPr id="1430366362" name="图片 1430366362" descr="%FontSize=10.5&#10;%TeXFontSize=10.5&#10;\documentclass{article}&#10;\pagestyle{empty}&#10;\begin{document}&#10;\[&#10;CGO_t^{5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41688" name="图片 13" descr="%FontSize=10.5&#10;%TeXFontSize=10.5&#10;\documentclass{article}&#10;\pagestyle{empty}&#10;\begin{document}&#10;\[&#10;CGO_t^{52}&#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365761" cy="156972"/>
                    </a:xfrm>
                    <a:prstGeom prst="rect">
                      <a:avLst/>
                    </a:prstGeom>
                  </pic:spPr>
                </pic:pic>
              </a:graphicData>
            </a:graphic>
          </wp:inline>
        </w:drawing>
      </w:r>
      <w:r>
        <w:t>作为本文未实现</w:t>
      </w:r>
    </w:p>
    <w:p w:rsidR="00C14C61" w:rsidRDefault="00C14C61" w:rsidP="00C14C61">
      <w:r>
        <w:rPr>
          <w:rFonts w:hint="eastAsia"/>
        </w:rPr>
        <w:t>资本利得</w:t>
      </w:r>
      <w:r>
        <w:t>CGO 的经验输入</w:t>
      </w:r>
    </w:p>
    <w:p w:rsidR="00B700F8" w:rsidRDefault="00B700F8" w:rsidP="00C14C61">
      <w:r w:rsidRPr="00B700F8">
        <w:lastRenderedPageBreak/>
        <w:drawing>
          <wp:inline distT="0" distB="0" distL="0" distR="0" wp14:anchorId="0937803C" wp14:editId="620DB709">
            <wp:extent cx="5274310" cy="2832735"/>
            <wp:effectExtent l="0" t="0" r="2540" b="5715"/>
            <wp:docPr id="1767101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01319" name=""/>
                    <pic:cNvPicPr/>
                  </pic:nvPicPr>
                  <pic:blipFill>
                    <a:blip r:embed="rId16"/>
                    <a:stretch>
                      <a:fillRect/>
                    </a:stretch>
                  </pic:blipFill>
                  <pic:spPr>
                    <a:xfrm>
                      <a:off x="0" y="0"/>
                      <a:ext cx="5274310" cy="2832735"/>
                    </a:xfrm>
                    <a:prstGeom prst="rect">
                      <a:avLst/>
                    </a:prstGeom>
                  </pic:spPr>
                </pic:pic>
              </a:graphicData>
            </a:graphic>
          </wp:inline>
        </w:drawing>
      </w:r>
    </w:p>
    <w:p w:rsidR="00B700F8" w:rsidRDefault="00B700F8" w:rsidP="00B700F8">
      <w:r>
        <w:t>4.1.3 经验输入值</w:t>
      </w:r>
    </w:p>
    <w:p w:rsidR="00B700F8" w:rsidRDefault="00B700F8" w:rsidP="00B700F8">
      <w:r>
        <w:rPr>
          <w:rFonts w:hint="eastAsia"/>
        </w:rPr>
        <w:t>在某一特定月份对每一个十分位组中的股票重复进行上述操作，这样就可以</w:t>
      </w:r>
    </w:p>
    <w:p w:rsidR="00B700F8" w:rsidRDefault="00B700F8" w:rsidP="00B700F8">
      <w:r>
        <w:rPr>
          <w:rFonts w:hint="eastAsia"/>
        </w:rPr>
        <w:t>得到这个月的每个</w:t>
      </w:r>
      <w:proofErr w:type="gramStart"/>
      <w:r>
        <w:rPr>
          <w:rFonts w:hint="eastAsia"/>
        </w:rPr>
        <w:t>十分位组有</w:t>
      </w:r>
      <w:proofErr w:type="gramEnd"/>
      <w:r>
        <w:rPr>
          <w:rFonts w:hint="eastAsia"/>
        </w:rPr>
        <w:t>四个数值：该组典型股票收益率的标准差、偏度、</w:t>
      </w:r>
    </w:p>
    <w:p w:rsidR="00B700F8" w:rsidRDefault="00B700F8" w:rsidP="00B700F8">
      <w:r>
        <w:rPr>
          <w:rFonts w:hint="eastAsia"/>
        </w:rPr>
        <w:t>未实现资本利得和</w:t>
      </w:r>
      <w:r>
        <w:rPr>
          <w:rFonts w:ascii="Cambria Math" w:hAnsi="Cambria Math" w:cs="Cambria Math"/>
        </w:rPr>
        <w:t>𝛽</w:t>
      </w:r>
      <w:r>
        <w:t>值。</w:t>
      </w:r>
    </w:p>
    <w:p w:rsidR="00B700F8" w:rsidRDefault="00B700F8" w:rsidP="00B700F8">
      <w:r>
        <w:rPr>
          <w:rFonts w:hint="eastAsia"/>
        </w:rPr>
        <w:t>接下来对样本中的每个月都重复上述计算过程，就得到了每一个异象十分位</w:t>
      </w:r>
    </w:p>
    <w:p w:rsidR="00B700F8" w:rsidRDefault="00B700F8" w:rsidP="00B700F8">
      <w:r>
        <w:rPr>
          <w:rFonts w:hint="eastAsia"/>
        </w:rPr>
        <w:t>组的四个数值的时间序列：收益率的标准差、偏度、未实现资本利得和</w:t>
      </w:r>
      <w:r>
        <w:rPr>
          <w:rFonts w:ascii="Cambria Math" w:hAnsi="Cambria Math" w:cs="Cambria Math"/>
        </w:rPr>
        <w:t>𝛽</w:t>
      </w:r>
      <w:r>
        <w:t>值。最后</w:t>
      </w:r>
    </w:p>
    <w:p w:rsidR="00B700F8" w:rsidRDefault="00B700F8" w:rsidP="00B700F8">
      <w:r>
        <w:rPr>
          <w:rFonts w:hint="eastAsia"/>
        </w:rPr>
        <w:t>计算出每个时间序列的平均值。对于每一个异象十分位组，可以得到与</w:t>
      </w:r>
      <w:proofErr w:type="gramStart"/>
      <w:r>
        <w:rPr>
          <w:rFonts w:hint="eastAsia"/>
        </w:rPr>
        <w:t>该十分</w:t>
      </w:r>
      <w:proofErr w:type="gramEnd"/>
      <w:r>
        <w:rPr>
          <w:rFonts w:hint="eastAsia"/>
        </w:rPr>
        <w:t>位</w:t>
      </w:r>
    </w:p>
    <w:p w:rsidR="00B700F8" w:rsidRDefault="00B700F8" w:rsidP="00B700F8">
      <w:r>
        <w:rPr>
          <w:rFonts w:hint="eastAsia"/>
        </w:rPr>
        <w:t>组的典型股票有关的四个数值：收益率的标准差，偏度，未实现资本利得以及</w:t>
      </w:r>
      <w:r>
        <w:rPr>
          <w:rFonts w:ascii="Cambria Math" w:hAnsi="Cambria Math" w:cs="Cambria Math"/>
        </w:rPr>
        <w:t>𝛽</w:t>
      </w:r>
      <w:r>
        <w:t>值。</w:t>
      </w:r>
    </w:p>
    <w:p w:rsidR="00B700F8" w:rsidRDefault="00B700F8" w:rsidP="00B700F8">
      <w:r>
        <w:rPr>
          <w:rFonts w:hint="eastAsia"/>
        </w:rPr>
        <w:t>把这四个数值作为模型的输入，计算模型对每一个十分</w:t>
      </w:r>
      <w:proofErr w:type="gramStart"/>
      <w:r>
        <w:rPr>
          <w:rFonts w:hint="eastAsia"/>
        </w:rPr>
        <w:t>位组期望</w:t>
      </w:r>
      <w:proofErr w:type="gramEnd"/>
      <w:r>
        <w:rPr>
          <w:rFonts w:hint="eastAsia"/>
        </w:rPr>
        <w:t>收益的预测值。</w:t>
      </w:r>
    </w:p>
    <w:p w:rsidR="00B700F8" w:rsidRDefault="00B700F8" w:rsidP="00B700F8">
      <w:r>
        <w:rPr>
          <w:rFonts w:hint="eastAsia"/>
        </w:rPr>
        <w:t>下表</w:t>
      </w:r>
      <w:r>
        <w:t>4.3 列出了经验输入的结果。表4.1 的第一列是本文检验出A 股市场上</w:t>
      </w:r>
    </w:p>
    <w:p w:rsidR="00B700F8" w:rsidRDefault="00B700F8" w:rsidP="00B700F8">
      <w:r>
        <w:rPr>
          <w:rFonts w:hint="eastAsia"/>
        </w:rPr>
        <w:t>存在的</w:t>
      </w:r>
      <w:r>
        <w:t xml:space="preserve">19 </w:t>
      </w:r>
      <w:proofErr w:type="gramStart"/>
      <w:r>
        <w:t>个</w:t>
      </w:r>
      <w:proofErr w:type="gramEnd"/>
      <w:r>
        <w:t>市场异象；第二列和第三列分别是每个市场异象的第1 组(D1)股票</w:t>
      </w:r>
      <w:proofErr w:type="gramStart"/>
      <w:r>
        <w:t>和</w:t>
      </w:r>
      <w:proofErr w:type="gramEnd"/>
    </w:p>
    <w:p w:rsidR="00B700F8" w:rsidRDefault="00B700F8" w:rsidP="00B700F8">
      <w:r>
        <w:rPr>
          <w:rFonts w:hint="eastAsia"/>
        </w:rPr>
        <w:t>第</w:t>
      </w:r>
      <w:r>
        <w:t>10 组(D10)股票的每一个月的月度加权平均收益率2，然后再取时间序列上的平</w:t>
      </w:r>
      <w:r>
        <w:rPr>
          <w:rFonts w:hint="eastAsia"/>
        </w:rPr>
        <w:t>均值；第四列和第五列分别是每个市场异象的第</w:t>
      </w:r>
      <w:r>
        <w:t>1 组(D1)股票和第10 组(D10)股</w:t>
      </w:r>
    </w:p>
    <w:p w:rsidR="00B700F8" w:rsidRDefault="00B700F8" w:rsidP="00B700F8">
      <w:r>
        <w:rPr>
          <w:rFonts w:hint="eastAsia"/>
        </w:rPr>
        <w:t>票中典型股票的月度收益率的标准差，计算方法如上所述；第六列和第七列分别</w:t>
      </w:r>
    </w:p>
    <w:p w:rsidR="00B700F8" w:rsidRDefault="00B700F8" w:rsidP="00B700F8">
      <w:r>
        <w:rPr>
          <w:rFonts w:hint="eastAsia"/>
        </w:rPr>
        <w:t>是每个市场异象的第</w:t>
      </w:r>
      <w:r>
        <w:t>1 组(D1)股票和第10 组(D10)股票的月度收益率的偏度；最</w:t>
      </w:r>
    </w:p>
    <w:p w:rsidR="00B700F8" w:rsidRDefault="00B700F8" w:rsidP="00B700F8">
      <w:r>
        <w:rPr>
          <w:rFonts w:hint="eastAsia"/>
        </w:rPr>
        <w:t>后，第八列和第九列分别是每个市场异象的第</w:t>
      </w:r>
      <w:r>
        <w:t>1 组(D1)股票和第10 组(D10)股票</w:t>
      </w:r>
    </w:p>
    <w:p w:rsidR="00B700F8" w:rsidRDefault="00B700F8" w:rsidP="00B700F8">
      <w:r>
        <w:rPr>
          <w:rFonts w:hint="eastAsia"/>
        </w:rPr>
        <w:t>中典型股票的未实现资本利得</w:t>
      </w:r>
      <w:r>
        <w:t>CGO。</w:t>
      </w:r>
    </w:p>
    <w:p w:rsidR="00B700F8" w:rsidRDefault="00B700F8" w:rsidP="00B700F8">
      <w:r w:rsidRPr="00B700F8">
        <w:lastRenderedPageBreak/>
        <w:drawing>
          <wp:inline distT="0" distB="0" distL="0" distR="0" wp14:anchorId="632E7BF2" wp14:editId="4B100107">
            <wp:extent cx="5274310" cy="4921250"/>
            <wp:effectExtent l="0" t="0" r="2540" b="0"/>
            <wp:docPr id="460021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1420" name=""/>
                    <pic:cNvPicPr/>
                  </pic:nvPicPr>
                  <pic:blipFill>
                    <a:blip r:embed="rId17"/>
                    <a:stretch>
                      <a:fillRect/>
                    </a:stretch>
                  </pic:blipFill>
                  <pic:spPr>
                    <a:xfrm>
                      <a:off x="0" y="0"/>
                      <a:ext cx="5274310" cy="4921250"/>
                    </a:xfrm>
                    <a:prstGeom prst="rect">
                      <a:avLst/>
                    </a:prstGeom>
                  </pic:spPr>
                </pic:pic>
              </a:graphicData>
            </a:graphic>
          </wp:inline>
        </w:drawing>
      </w:r>
    </w:p>
    <w:p w:rsidR="00B700F8" w:rsidRDefault="00B700F8" w:rsidP="00B700F8">
      <w:r>
        <w:rPr>
          <w:rFonts w:hint="eastAsia"/>
        </w:rPr>
        <w:t>观察表</w:t>
      </w:r>
      <w:r>
        <w:t>4.3 可以发现，对于大多数市场异象，第1 组的典型股票与第10 组的</w:t>
      </w:r>
    </w:p>
    <w:p w:rsidR="00B700F8" w:rsidRDefault="00B700F8" w:rsidP="00B700F8">
      <w:r>
        <w:rPr>
          <w:rFonts w:hint="eastAsia"/>
        </w:rPr>
        <w:t>典型股票在收益率标准差、收益率偏度和未实现资本利得有很大的差别。换句话</w:t>
      </w:r>
    </w:p>
    <w:p w:rsidR="00B700F8" w:rsidRDefault="00B700F8" w:rsidP="00B700F8">
      <w:r>
        <w:rPr>
          <w:rFonts w:hint="eastAsia"/>
        </w:rPr>
        <w:t>说，在模型中，除了</w:t>
      </w:r>
      <w:r>
        <w:rPr>
          <w:rFonts w:ascii="Cambria Math" w:hAnsi="Cambria Math" w:cs="Cambria Math"/>
        </w:rPr>
        <w:t>𝛽</w:t>
      </w:r>
      <w:r>
        <w:t>值之外，这三个股票特征决定了股票的期望收益。例如规模</w:t>
      </w:r>
    </w:p>
    <w:p w:rsidR="00B700F8" w:rsidRDefault="00B700F8" w:rsidP="00B700F8">
      <w:r>
        <w:rPr>
          <w:rFonts w:hint="eastAsia"/>
        </w:rPr>
        <w:t>异象：第</w:t>
      </w:r>
      <w:r>
        <w:t xml:space="preserve">1 </w:t>
      </w:r>
      <w:proofErr w:type="gramStart"/>
      <w:r>
        <w:t>组典型</w:t>
      </w:r>
      <w:proofErr w:type="gramEnd"/>
      <w:r>
        <w:t xml:space="preserve">股票的季度收益率标准差为4.13%，而第10 </w:t>
      </w:r>
      <w:proofErr w:type="gramStart"/>
      <w:r>
        <w:t>组典型</w:t>
      </w:r>
      <w:proofErr w:type="gramEnd"/>
      <w:r>
        <w:t>股票的季度</w:t>
      </w:r>
    </w:p>
    <w:p w:rsidR="00B700F8" w:rsidRDefault="00B700F8" w:rsidP="00B700F8">
      <w:r>
        <w:rPr>
          <w:rFonts w:hint="eastAsia"/>
        </w:rPr>
        <w:t>收益率标准差只有</w:t>
      </w:r>
      <w:r>
        <w:t>3.15%；典型小盘股的季收益率偏度为1.48，而典型大盘股的</w:t>
      </w:r>
    </w:p>
    <w:p w:rsidR="00B700F8" w:rsidRDefault="00B700F8" w:rsidP="00B700F8">
      <w:r>
        <w:rPr>
          <w:rFonts w:hint="eastAsia"/>
        </w:rPr>
        <w:t>季收益率偏度仅为</w:t>
      </w:r>
      <w:r>
        <w:t>0.75；典型小盘股的未实现资本利得为</w:t>
      </w:r>
      <w:r>
        <w:rPr>
          <w:rFonts w:ascii="微软雅黑" w:eastAsia="微软雅黑" w:hAnsi="微软雅黑" w:cs="微软雅黑" w:hint="eastAsia"/>
        </w:rPr>
        <w:t>−</w:t>
      </w:r>
      <w:r>
        <w:t>4.26%，而典型大盘股</w:t>
      </w:r>
    </w:p>
    <w:p w:rsidR="00B700F8" w:rsidRDefault="00B700F8" w:rsidP="00B700F8">
      <w:r>
        <w:rPr>
          <w:rFonts w:hint="eastAsia"/>
        </w:rPr>
        <w:t>的未实现资本利得为</w:t>
      </w:r>
      <w:r>
        <w:rPr>
          <w:rFonts w:ascii="微软雅黑" w:eastAsia="微软雅黑" w:hAnsi="微软雅黑" w:cs="微软雅黑" w:hint="eastAsia"/>
        </w:rPr>
        <w:t>−</w:t>
      </w:r>
      <w:r>
        <w:t>4.61%。</w:t>
      </w:r>
      <w:r>
        <w:rPr>
          <w:rFonts w:hint="eastAsia"/>
        </w:rPr>
        <w:t>观察表</w:t>
      </w:r>
      <w:r>
        <w:t>4.3 还可以得到另一个更加引人注目的结果，收益率标准差、偏度</w:t>
      </w:r>
      <w:proofErr w:type="gramStart"/>
      <w:r>
        <w:t>和</w:t>
      </w:r>
      <w:proofErr w:type="gramEnd"/>
    </w:p>
    <w:p w:rsidR="00B700F8" w:rsidRDefault="00B700F8" w:rsidP="00B700F8">
      <w:r>
        <w:rPr>
          <w:rFonts w:hint="eastAsia"/>
        </w:rPr>
        <w:t>未实现资本利得这三个股票特征在不同的异象</w:t>
      </w:r>
      <w:proofErr w:type="gramStart"/>
      <w:r>
        <w:rPr>
          <w:rFonts w:hint="eastAsia"/>
        </w:rPr>
        <w:t>十分位组之间</w:t>
      </w:r>
      <w:proofErr w:type="gramEnd"/>
      <w:r>
        <w:rPr>
          <w:rFonts w:hint="eastAsia"/>
        </w:rPr>
        <w:t>有很强的相关性：对</w:t>
      </w:r>
    </w:p>
    <w:p w:rsidR="00B700F8" w:rsidRDefault="00B700F8" w:rsidP="00B700F8">
      <w:r>
        <w:rPr>
          <w:rFonts w:hint="eastAsia"/>
        </w:rPr>
        <w:t>于这</w:t>
      </w:r>
      <w:r>
        <w:t xml:space="preserve">19 </w:t>
      </w:r>
      <w:proofErr w:type="gramStart"/>
      <w:r>
        <w:t>个</w:t>
      </w:r>
      <w:proofErr w:type="gramEnd"/>
      <w:r>
        <w:t xml:space="preserve">市场异象中的14 </w:t>
      </w:r>
      <w:proofErr w:type="gramStart"/>
      <w:r>
        <w:t>个</w:t>
      </w:r>
      <w:proofErr w:type="gramEnd"/>
      <w:r>
        <w:t xml:space="preserve">，如果第1 </w:t>
      </w:r>
      <w:proofErr w:type="gramStart"/>
      <w:r>
        <w:t>组典型</w:t>
      </w:r>
      <w:proofErr w:type="gramEnd"/>
      <w:r>
        <w:t>股票的收益率偏度高于第10 组</w:t>
      </w:r>
    </w:p>
    <w:p w:rsidR="00B700F8" w:rsidRDefault="00B700F8" w:rsidP="00B700F8">
      <w:r>
        <w:rPr>
          <w:rFonts w:hint="eastAsia"/>
        </w:rPr>
        <w:t>的典型股票，那么它的标准差也会更高，反之亦然，仅有的</w:t>
      </w:r>
      <w:r>
        <w:t xml:space="preserve">3 </w:t>
      </w:r>
      <w:proofErr w:type="gramStart"/>
      <w:r>
        <w:t>个</w:t>
      </w:r>
      <w:proofErr w:type="gramEnd"/>
      <w:r>
        <w:t>例外是投资支出</w:t>
      </w:r>
    </w:p>
    <w:p w:rsidR="00B700F8" w:rsidRDefault="00B700F8" w:rsidP="00B700F8">
      <w:r>
        <w:rPr>
          <w:rFonts w:hint="eastAsia"/>
        </w:rPr>
        <w:t>异象</w:t>
      </w:r>
      <w:r>
        <w:t>(INV)，特质波动率异象(IVOL)，动量异象(MOM)，盈余公告后价格漂移异象</w:t>
      </w:r>
    </w:p>
    <w:p w:rsidR="00B700F8" w:rsidRDefault="00B700F8" w:rsidP="00B700F8">
      <w:r>
        <w:t xml:space="preserve">(PEAD)和短期反转异象(STREV)。此外，对于这19 </w:t>
      </w:r>
      <w:proofErr w:type="gramStart"/>
      <w:r>
        <w:t>个</w:t>
      </w:r>
      <w:proofErr w:type="gramEnd"/>
      <w:r>
        <w:t xml:space="preserve">市场异象中的15 </w:t>
      </w:r>
      <w:proofErr w:type="gramStart"/>
      <w:r>
        <w:t>个</w:t>
      </w:r>
      <w:proofErr w:type="gramEnd"/>
      <w:r>
        <w:t>，如果</w:t>
      </w:r>
    </w:p>
    <w:p w:rsidR="00B700F8" w:rsidRDefault="00B700F8" w:rsidP="00B700F8">
      <w:r>
        <w:rPr>
          <w:rFonts w:hint="eastAsia"/>
        </w:rPr>
        <w:t>第</w:t>
      </w:r>
      <w:r>
        <w:t>1 组的典型股票比第10 组的典型股票有更高的收益率标准差，那么它也有高</w:t>
      </w:r>
    </w:p>
    <w:p w:rsidR="00B700F8" w:rsidRDefault="00B700F8" w:rsidP="00B700F8">
      <w:r>
        <w:rPr>
          <w:rFonts w:hint="eastAsia"/>
        </w:rPr>
        <w:t>的未实现资本利得，反之亦然，仅有的</w:t>
      </w:r>
      <w:r>
        <w:t xml:space="preserve">4 </w:t>
      </w:r>
      <w:proofErr w:type="gramStart"/>
      <w:r>
        <w:t>个</w:t>
      </w:r>
      <w:proofErr w:type="gramEnd"/>
      <w:r>
        <w:t>例外是复合股权发行异象(CEI)，投资</w:t>
      </w:r>
    </w:p>
    <w:p w:rsidR="00B700F8" w:rsidRDefault="00B700F8" w:rsidP="00B700F8">
      <w:r>
        <w:rPr>
          <w:rFonts w:hint="eastAsia"/>
        </w:rPr>
        <w:t>支出异象</w:t>
      </w:r>
      <w:r>
        <w:t>(INV)，O-Score 异象(ORGCAP)和外部融资异象(XFIN)。</w:t>
      </w:r>
      <w:r w:rsidR="00566E50" w:rsidRPr="00566E50">
        <w:lastRenderedPageBreak/>
        <w:drawing>
          <wp:inline distT="0" distB="0" distL="0" distR="0" wp14:anchorId="6B93988F" wp14:editId="2C78E789">
            <wp:extent cx="5274310" cy="3115945"/>
            <wp:effectExtent l="0" t="0" r="2540" b="8255"/>
            <wp:docPr id="717903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3950" name=""/>
                    <pic:cNvPicPr/>
                  </pic:nvPicPr>
                  <pic:blipFill>
                    <a:blip r:embed="rId18"/>
                    <a:stretch>
                      <a:fillRect/>
                    </a:stretch>
                  </pic:blipFill>
                  <pic:spPr>
                    <a:xfrm>
                      <a:off x="0" y="0"/>
                      <a:ext cx="5274310" cy="3115945"/>
                    </a:xfrm>
                    <a:prstGeom prst="rect">
                      <a:avLst/>
                    </a:prstGeom>
                  </pic:spPr>
                </pic:pic>
              </a:graphicData>
            </a:graphic>
          </wp:inline>
        </w:drawing>
      </w:r>
    </w:p>
    <w:p w:rsidR="00566E50" w:rsidRDefault="00566E50" w:rsidP="00566E50">
      <w:r>
        <w:rPr>
          <w:rFonts w:hint="eastAsia"/>
        </w:rPr>
        <w:t>图</w:t>
      </w:r>
      <w:r>
        <w:t>4.2 说明了股票收益率标准差、偏度和未实现资本利得CGO 之间的相关</w:t>
      </w:r>
      <w:proofErr w:type="gramStart"/>
      <w:r>
        <w:t>关</w:t>
      </w:r>
      <w:proofErr w:type="gramEnd"/>
    </w:p>
    <w:p w:rsidR="00566E50" w:rsidRDefault="00566E50" w:rsidP="00566E50">
      <w:r>
        <w:rPr>
          <w:rFonts w:hint="eastAsia"/>
        </w:rPr>
        <w:t>系。观察图</w:t>
      </w:r>
      <w:r>
        <w:t>4.2 中左上方的图表，图中的每个点对应一个异象十分位组，因为有</w:t>
      </w:r>
    </w:p>
    <w:p w:rsidR="00566E50" w:rsidRDefault="00566E50" w:rsidP="00566E50">
      <w:r>
        <w:t xml:space="preserve">19 </w:t>
      </w:r>
      <w:proofErr w:type="gramStart"/>
      <w:r>
        <w:t>个</w:t>
      </w:r>
      <w:proofErr w:type="gramEnd"/>
      <w:r>
        <w:t xml:space="preserve">市场异象，所以总共有190 </w:t>
      </w:r>
      <w:proofErr w:type="gramStart"/>
      <w:r>
        <w:t>个</w:t>
      </w:r>
      <w:proofErr w:type="gramEnd"/>
      <w:r>
        <w:t>点。图中的横轴和纵轴分别是异象十分位组中</w:t>
      </w:r>
    </w:p>
    <w:p w:rsidR="00566E50" w:rsidRDefault="00566E50" w:rsidP="00566E50">
      <w:r>
        <w:rPr>
          <w:rFonts w:hint="eastAsia"/>
        </w:rPr>
        <w:t>典型股票收益率的标准差和偏度，该图显示了这两个量之间存在的一些正相关关</w:t>
      </w:r>
    </w:p>
    <w:p w:rsidR="00566E50" w:rsidRDefault="00566E50" w:rsidP="00566E50">
      <w:r>
        <w:rPr>
          <w:rFonts w:hint="eastAsia"/>
        </w:rPr>
        <w:t>系。类似地，另外两张图显示了收益率偏度和未实现资本利得</w:t>
      </w:r>
      <w:r>
        <w:t>CGO 之间的正相</w:t>
      </w:r>
    </w:p>
    <w:p w:rsidR="00566E50" w:rsidRDefault="00566E50" w:rsidP="00566E50">
      <w:r>
        <w:rPr>
          <w:rFonts w:hint="eastAsia"/>
        </w:rPr>
        <w:t>关关系，以及收益率标准差和未实现资本利得</w:t>
      </w:r>
      <w:r>
        <w:t>CGO 之间的正相关关系，尤其是</w:t>
      </w:r>
    </w:p>
    <w:p w:rsidR="00566E50" w:rsidRDefault="00566E50" w:rsidP="00566E50">
      <w:r>
        <w:rPr>
          <w:rFonts w:hint="eastAsia"/>
        </w:rPr>
        <w:t>收益率标准差和未实现资本利得</w:t>
      </w:r>
      <w:r>
        <w:t>CGO 之间的正相关关系特别明显。</w:t>
      </w:r>
    </w:p>
    <w:p w:rsidR="00566E50" w:rsidRDefault="00566E50" w:rsidP="00566E50">
      <w:r>
        <w:rPr>
          <w:rFonts w:hint="eastAsia"/>
        </w:rPr>
        <w:t>图</w:t>
      </w:r>
      <w:r>
        <w:t>4.2 中的三个股票特征之间的相关关系指出了用模型进行量化的必要性。</w:t>
      </w:r>
    </w:p>
    <w:p w:rsidR="00566E50" w:rsidRDefault="00566E50" w:rsidP="00566E50">
      <w:r>
        <w:rPr>
          <w:rFonts w:hint="eastAsia"/>
        </w:rPr>
        <w:t>假设对于其中一个极端的十分</w:t>
      </w:r>
      <w:proofErr w:type="gramStart"/>
      <w:r>
        <w:rPr>
          <w:rFonts w:hint="eastAsia"/>
        </w:rPr>
        <w:t>位组投资</w:t>
      </w:r>
      <w:proofErr w:type="gramEnd"/>
      <w:r>
        <w:rPr>
          <w:rFonts w:hint="eastAsia"/>
        </w:rPr>
        <w:t>组合——比如说第</w:t>
      </w:r>
      <w:r>
        <w:t>1 组，</w:t>
      </w:r>
      <w:proofErr w:type="gramStart"/>
      <w:r>
        <w:t>该十分位组</w:t>
      </w:r>
      <w:proofErr w:type="gramEnd"/>
      <w:r>
        <w:t>的典</w:t>
      </w:r>
      <w:r>
        <w:rPr>
          <w:rFonts w:hint="eastAsia"/>
        </w:rPr>
        <w:t>型股票比另一个极端的</w:t>
      </w:r>
      <w:proofErr w:type="gramStart"/>
      <w:r>
        <w:rPr>
          <w:rFonts w:hint="eastAsia"/>
        </w:rPr>
        <w:t>十分位组</w:t>
      </w:r>
      <w:proofErr w:type="gramEnd"/>
      <w:r>
        <w:rPr>
          <w:rFonts w:hint="eastAsia"/>
        </w:rPr>
        <w:t>——第</w:t>
      </w:r>
      <w:r>
        <w:t xml:space="preserve">10 </w:t>
      </w:r>
      <w:proofErr w:type="gramStart"/>
      <w:r>
        <w:t>组典型</w:t>
      </w:r>
      <w:proofErr w:type="gramEnd"/>
      <w:r>
        <w:t>股票具有更高的收益率偏度、</w:t>
      </w:r>
    </w:p>
    <w:p w:rsidR="00566E50" w:rsidRDefault="00566E50" w:rsidP="00566E50">
      <w:r>
        <w:rPr>
          <w:rFonts w:hint="eastAsia"/>
        </w:rPr>
        <w:t>更高的收益波动率和更高的未实现资本利得；在这</w:t>
      </w:r>
      <w:r>
        <w:t xml:space="preserve">19 </w:t>
      </w:r>
      <w:proofErr w:type="gramStart"/>
      <w:r>
        <w:t>个</w:t>
      </w:r>
      <w:proofErr w:type="gramEnd"/>
      <w:r>
        <w:t xml:space="preserve">市场异象中，有15 </w:t>
      </w:r>
      <w:proofErr w:type="gramStart"/>
      <w:r>
        <w:t>个遵</w:t>
      </w:r>
      <w:proofErr w:type="gramEnd"/>
    </w:p>
    <w:p w:rsidR="00566E50" w:rsidRDefault="00566E50" w:rsidP="00566E50">
      <w:proofErr w:type="gramStart"/>
      <w:r>
        <w:rPr>
          <w:rFonts w:hint="eastAsia"/>
        </w:rPr>
        <w:t>循</w:t>
      </w:r>
      <w:proofErr w:type="gramEnd"/>
      <w:r>
        <w:rPr>
          <w:rFonts w:hint="eastAsia"/>
        </w:rPr>
        <w:t>这一模式，仅有的</w:t>
      </w:r>
      <w:r>
        <w:t xml:space="preserve">4 </w:t>
      </w:r>
      <w:proofErr w:type="gramStart"/>
      <w:r>
        <w:t>个</w:t>
      </w:r>
      <w:proofErr w:type="gramEnd"/>
      <w:r>
        <w:t>例外是失败概率异象(FPROB)，投资支出异象(INV)，极</w:t>
      </w:r>
    </w:p>
    <w:p w:rsidR="00566E50" w:rsidRDefault="00566E50" w:rsidP="00566E50">
      <w:r>
        <w:rPr>
          <w:rFonts w:hint="eastAsia"/>
        </w:rPr>
        <w:t>大日收益率异象</w:t>
      </w:r>
      <w:r>
        <w:t>(MAX)和外部融资异象(XFIN)。那么，如果没有一个量化模型，</w:t>
      </w:r>
    </w:p>
    <w:p w:rsidR="00566E50" w:rsidRDefault="00566E50" w:rsidP="00566E50">
      <w:r>
        <w:rPr>
          <w:rFonts w:hint="eastAsia"/>
        </w:rPr>
        <w:t>就很难判断前景理论是否能解释异象。原因是，标准差、偏度和未实现资本利得</w:t>
      </w:r>
    </w:p>
    <w:p w:rsidR="00566E50" w:rsidRDefault="00566E50" w:rsidP="00566E50">
      <w:r>
        <w:rPr>
          <w:rFonts w:hint="eastAsia"/>
        </w:rPr>
        <w:t>这三个股票特征存在着相互抵消的力量。第</w:t>
      </w:r>
      <w:r>
        <w:t xml:space="preserve">1 </w:t>
      </w:r>
      <w:proofErr w:type="gramStart"/>
      <w:r>
        <w:t>组股票</w:t>
      </w:r>
      <w:proofErr w:type="gramEnd"/>
      <w:r>
        <w:t xml:space="preserve">比第10 </w:t>
      </w:r>
      <w:proofErr w:type="gramStart"/>
      <w:r>
        <w:t>组股票</w:t>
      </w:r>
      <w:proofErr w:type="gramEnd"/>
      <w:r>
        <w:t>有更大的收</w:t>
      </w:r>
    </w:p>
    <w:p w:rsidR="00566E50" w:rsidRDefault="00566E50" w:rsidP="00566E50">
      <w:r>
        <w:rPr>
          <w:rFonts w:hint="eastAsia"/>
        </w:rPr>
        <w:t>益波动率，由于前景理论的投资者是厌恶损失的，这将导致他们在其他条件不变</w:t>
      </w:r>
    </w:p>
    <w:p w:rsidR="00566E50" w:rsidRDefault="00566E50" w:rsidP="00566E50">
      <w:r>
        <w:rPr>
          <w:rFonts w:hint="eastAsia"/>
        </w:rPr>
        <w:t>的情况下，要求第</w:t>
      </w:r>
      <w:r>
        <w:t xml:space="preserve">1 </w:t>
      </w:r>
      <w:proofErr w:type="gramStart"/>
      <w:r>
        <w:t>组股票</w:t>
      </w:r>
      <w:proofErr w:type="gramEnd"/>
      <w:r>
        <w:t xml:space="preserve">的平均回报率高于第10 组股票。然而，第1 </w:t>
      </w:r>
      <w:proofErr w:type="gramStart"/>
      <w:r>
        <w:t>组股票</w:t>
      </w:r>
      <w:proofErr w:type="gramEnd"/>
      <w:r>
        <w:t>的</w:t>
      </w:r>
    </w:p>
    <w:p w:rsidR="00566E50" w:rsidRDefault="00566E50" w:rsidP="00566E50">
      <w:r>
        <w:rPr>
          <w:rFonts w:hint="eastAsia"/>
        </w:rPr>
        <w:t>偏度也比第</w:t>
      </w:r>
      <w:r>
        <w:t xml:space="preserve">10 </w:t>
      </w:r>
      <w:proofErr w:type="gramStart"/>
      <w:r>
        <w:t>组股票</w:t>
      </w:r>
      <w:proofErr w:type="gramEnd"/>
      <w:r>
        <w:t>的收益率偏度更高，由于前景理论投资者表现出概率加权，</w:t>
      </w:r>
    </w:p>
    <w:p w:rsidR="00566E50" w:rsidRDefault="00566E50" w:rsidP="00566E50">
      <w:r>
        <w:rPr>
          <w:rFonts w:hint="eastAsia"/>
        </w:rPr>
        <w:t>这将导致他们在其他条件不变的情况下，对第</w:t>
      </w:r>
      <w:r>
        <w:t xml:space="preserve">1 </w:t>
      </w:r>
      <w:proofErr w:type="gramStart"/>
      <w:r>
        <w:t>组股票</w:t>
      </w:r>
      <w:proofErr w:type="gramEnd"/>
      <w:r>
        <w:t>收取较低的平均回报。最</w:t>
      </w:r>
    </w:p>
    <w:p w:rsidR="00566E50" w:rsidRDefault="00566E50" w:rsidP="00566E50">
      <w:r>
        <w:rPr>
          <w:rFonts w:hint="eastAsia"/>
        </w:rPr>
        <w:t>后，持有第</w:t>
      </w:r>
      <w:r>
        <w:t xml:space="preserve">1 </w:t>
      </w:r>
      <w:proofErr w:type="gramStart"/>
      <w:r>
        <w:t>组股票</w:t>
      </w:r>
      <w:proofErr w:type="gramEnd"/>
      <w:r>
        <w:t xml:space="preserve">比持有第10 </w:t>
      </w:r>
      <w:proofErr w:type="gramStart"/>
      <w:r>
        <w:t>组股票</w:t>
      </w:r>
      <w:proofErr w:type="gramEnd"/>
      <w:r>
        <w:t>的损失更小，由于敏感性递减，这将导致</w:t>
      </w:r>
    </w:p>
    <w:p w:rsidR="00566E50" w:rsidRDefault="00566E50" w:rsidP="00566E50">
      <w:r>
        <w:rPr>
          <w:rFonts w:hint="eastAsia"/>
        </w:rPr>
        <w:t>前景理论投资者，在其他条件相同的情况下，对第</w:t>
      </w:r>
      <w:r>
        <w:t xml:space="preserve">1 </w:t>
      </w:r>
      <w:proofErr w:type="gramStart"/>
      <w:r>
        <w:t>组股票</w:t>
      </w:r>
      <w:proofErr w:type="gramEnd"/>
      <w:r>
        <w:t>的平均回报率要求较</w:t>
      </w:r>
    </w:p>
    <w:p w:rsidR="00566E50" w:rsidRDefault="00566E50" w:rsidP="00566E50">
      <w:r>
        <w:rPr>
          <w:rFonts w:hint="eastAsia"/>
        </w:rPr>
        <w:t>高。由于这三个特征中的两个是朝一个方向作用的，而另一个则是朝相反方向作</w:t>
      </w:r>
    </w:p>
    <w:p w:rsidR="00566E50" w:rsidRDefault="00566E50" w:rsidP="00566E50">
      <w:r>
        <w:rPr>
          <w:rFonts w:hint="eastAsia"/>
        </w:rPr>
        <w:t>用的，因此需要一个定量模型来确定哪一个特征起主导作用。</w:t>
      </w:r>
      <w:r>
        <w:t>4.2 模型参数估计</w:t>
      </w:r>
    </w:p>
    <w:p w:rsidR="00566E50" w:rsidRDefault="00566E50" w:rsidP="00566E50">
      <w:r>
        <w:rPr>
          <w:rFonts w:hint="eastAsia"/>
        </w:rPr>
        <w:t>为了了解模型是否能够捕捉到一个特定的市场异象，做法如下。考虑一个有</w:t>
      </w:r>
    </w:p>
    <w:p w:rsidR="00566E50" w:rsidRDefault="00566E50" w:rsidP="00566E50">
      <w:r>
        <w:rPr>
          <w:rFonts w:ascii="Cambria Math" w:hAnsi="Cambria Math" w:cs="Cambria Math"/>
        </w:rPr>
        <w:t>𝑁</w:t>
      </w:r>
      <w:r>
        <w:t xml:space="preserve"> = 1000只股票的经济体，按照上文做法，对于每一个异象，已将所有股票分为</w:t>
      </w:r>
    </w:p>
    <w:p w:rsidR="00566E50" w:rsidRDefault="00566E50" w:rsidP="00566E50">
      <w:r>
        <w:t>10 组。对于任何给定的十分位组，假设该组中的所有股票都是相同的：它们具有</w:t>
      </w:r>
    </w:p>
    <w:p w:rsidR="00566E50" w:rsidRDefault="00566E50" w:rsidP="00566E50">
      <w:r>
        <w:rPr>
          <w:rFonts w:hint="eastAsia"/>
        </w:rPr>
        <w:t>相同的收益率标准差、偏度、未实现资本利得和</w:t>
      </w:r>
      <w:r>
        <w:rPr>
          <w:rFonts w:ascii="Cambria Math" w:hAnsi="Cambria Math" w:cs="Cambria Math"/>
        </w:rPr>
        <w:t>𝛽</w:t>
      </w:r>
      <w:r>
        <w:t>值，即该组中典型股票的经验标</w:t>
      </w:r>
    </w:p>
    <w:p w:rsidR="00566E50" w:rsidRDefault="00566E50" w:rsidP="00566E50">
      <w:r>
        <w:rPr>
          <w:rFonts w:hint="eastAsia"/>
        </w:rPr>
        <w:t>准差、偏度、未实现资本利得和</w:t>
      </w:r>
      <w:r>
        <w:rPr>
          <w:rFonts w:ascii="Cambria Math" w:hAnsi="Cambria Math" w:cs="Cambria Math"/>
        </w:rPr>
        <w:t>𝛽</w:t>
      </w:r>
      <w:r>
        <w:t>值，可以如上文所述计算得出。然后我们就可以</w:t>
      </w:r>
    </w:p>
    <w:p w:rsidR="00566E50" w:rsidRDefault="00566E50" w:rsidP="00566E50">
      <w:r>
        <w:rPr>
          <w:rFonts w:hint="eastAsia"/>
        </w:rPr>
        <w:lastRenderedPageBreak/>
        <w:t>计算出股票收益率</w:t>
      </w:r>
      <w:proofErr w:type="gramStart"/>
      <w:r>
        <w:rPr>
          <w:rFonts w:hint="eastAsia"/>
        </w:rPr>
        <w:t>广义双</w:t>
      </w:r>
      <w:proofErr w:type="gramEnd"/>
      <w:r>
        <w:rPr>
          <w:rFonts w:hint="eastAsia"/>
        </w:rPr>
        <w:t>曲倾斜</w:t>
      </w:r>
      <w:r>
        <w:t>t 分布的参数</w:t>
      </w:r>
      <w:r>
        <w:rPr>
          <w:rFonts w:ascii="Cambria Math" w:hAnsi="Cambria Math" w:cs="Cambria Math"/>
        </w:rPr>
        <w:t>𝑆𝑖</w:t>
      </w:r>
      <w:r>
        <w:t>和</w:t>
      </w:r>
      <w:r>
        <w:rPr>
          <w:rFonts w:ascii="Cambria Math" w:hAnsi="Cambria Math" w:cs="Cambria Math"/>
        </w:rPr>
        <w:t>𝜁𝑖</w:t>
      </w:r>
      <w:r>
        <w:t>，未实现资本利得</w:t>
      </w:r>
      <w:r>
        <w:rPr>
          <w:rFonts w:ascii="Cambria Math" w:hAnsi="Cambria Math" w:cs="Cambria Math"/>
        </w:rPr>
        <w:t>𝑔𝑖</w:t>
      </w:r>
      <w:r>
        <w:t>和</w:t>
      </w:r>
      <w:r>
        <w:rPr>
          <w:rFonts w:ascii="Cambria Math" w:hAnsi="Cambria Math" w:cs="Cambria Math"/>
        </w:rPr>
        <w:t>𝛽𝑖</w:t>
      </w:r>
      <w:r>
        <w:t>。然</w:t>
      </w:r>
    </w:p>
    <w:p w:rsidR="00566E50" w:rsidRDefault="00566E50" w:rsidP="00566E50">
      <w:r>
        <w:rPr>
          <w:rFonts w:hint="eastAsia"/>
        </w:rPr>
        <w:t>后寻找一个位置参数</w:t>
      </w:r>
      <w:r>
        <w:rPr>
          <w:rFonts w:ascii="Cambria Math" w:hAnsi="Cambria Math" w:cs="Cambria Math"/>
        </w:rPr>
        <w:t>𝜇𝑖</w:t>
      </w:r>
      <w:r>
        <w:t>，满足本文2.2 节中围绕目标函数(2.16)描述的均衡条件。</w:t>
      </w:r>
    </w:p>
    <w:p w:rsidR="00566E50" w:rsidRDefault="00566E50" w:rsidP="00566E50">
      <w:r>
        <w:rPr>
          <w:rFonts w:hint="eastAsia"/>
        </w:rPr>
        <w:t>找到满足均衡条件的</w:t>
      </w:r>
      <w:r>
        <w:rPr>
          <w:rFonts w:ascii="Cambria Math" w:hAnsi="Cambria Math" w:cs="Cambria Math"/>
        </w:rPr>
        <w:t>𝜇𝑖</w:t>
      </w:r>
      <w:r>
        <w:t>后，模型对股票的期望收益的预测值由公式(2.13)可以计算</w:t>
      </w:r>
    </w:p>
    <w:p w:rsidR="00566E50" w:rsidRDefault="00566E50" w:rsidP="00566E50">
      <w:r>
        <w:rPr>
          <w:rFonts w:hint="eastAsia"/>
        </w:rPr>
        <w:t>得出。注意到，由于在一个给定的十分位组中的所有股票将有相同的</w:t>
      </w:r>
      <w:r>
        <w:rPr>
          <w:rFonts w:ascii="Cambria Math" w:hAnsi="Cambria Math" w:cs="Cambria Math"/>
        </w:rPr>
        <w:t>𝜇𝑖</w:t>
      </w:r>
      <w:r>
        <w:t>，因此有</w:t>
      </w:r>
    </w:p>
    <w:p w:rsidR="00566E50" w:rsidRDefault="00566E50" w:rsidP="00566E50">
      <w:r>
        <w:rPr>
          <w:rFonts w:hint="eastAsia"/>
        </w:rPr>
        <w:t>相同的期望收益。</w:t>
      </w:r>
    </w:p>
    <w:p w:rsidR="00566E50" w:rsidRDefault="00566E50" w:rsidP="00566E50">
      <w:r>
        <w:rPr>
          <w:rFonts w:hint="eastAsia"/>
        </w:rPr>
        <w:t>接下来更详细地解释如何计算模型中的参数。资产层面的参数有：</w:t>
      </w:r>
      <w:r>
        <w:rPr>
          <w:rFonts w:ascii="Cambria Math" w:hAnsi="Cambria Math" w:cs="Cambria Math"/>
        </w:rPr>
        <w:t>𝑅𝑓</w:t>
      </w:r>
      <w:r>
        <w:t>，总无</w:t>
      </w:r>
    </w:p>
    <w:p w:rsidR="00566E50" w:rsidRDefault="00566E50" w:rsidP="00566E50">
      <w:r>
        <w:rPr>
          <w:rFonts w:hint="eastAsia"/>
        </w:rPr>
        <w:t>风险利率；</w:t>
      </w:r>
      <w:r>
        <w:rPr>
          <w:rFonts w:ascii="Cambria Math" w:hAnsi="Cambria Math" w:cs="Cambria Math"/>
        </w:rPr>
        <w:t>𝑁</w:t>
      </w:r>
      <w:r>
        <w:t>，股票数量；{</w:t>
      </w:r>
      <w:r>
        <w:rPr>
          <w:rFonts w:ascii="Cambria Math" w:hAnsi="Cambria Math" w:cs="Cambria Math"/>
        </w:rPr>
        <w:t>𝑆𝑖</w:t>
      </w:r>
      <w:r>
        <w:t xml:space="preserve"> }，股票收益率分布的离散度参数；{</w:t>
      </w:r>
      <w:r>
        <w:rPr>
          <w:rFonts w:ascii="Cambria Math" w:hAnsi="Cambria Math" w:cs="Cambria Math"/>
        </w:rPr>
        <w:t>𝜁𝑖</w:t>
      </w:r>
      <w:r>
        <w:t xml:space="preserve"> }，股票收益率</w:t>
      </w:r>
    </w:p>
    <w:p w:rsidR="00566E50" w:rsidRDefault="00566E50" w:rsidP="00566E50">
      <w:r>
        <w:rPr>
          <w:rFonts w:hint="eastAsia"/>
        </w:rPr>
        <w:t>分布的不对称参数；</w:t>
      </w:r>
      <w:r>
        <w:rPr>
          <w:rFonts w:ascii="Cambria Math" w:hAnsi="Cambria Math" w:cs="Cambria Math"/>
        </w:rPr>
        <w:t>𝜈</w:t>
      </w:r>
      <w:r>
        <w:t>，股票收益率分布的自由度参数；{</w:t>
      </w:r>
      <w:r>
        <w:rPr>
          <w:rFonts w:ascii="Cambria Math" w:hAnsi="Cambria Math" w:cs="Cambria Math"/>
        </w:rPr>
        <w:t>𝛽𝑖</w:t>
      </w:r>
      <w:r>
        <w:t xml:space="preserve"> }，股票的</w:t>
      </w:r>
      <w:r>
        <w:rPr>
          <w:rFonts w:ascii="Cambria Math" w:hAnsi="Cambria Math" w:cs="Cambria Math"/>
        </w:rPr>
        <w:t>𝛽</w:t>
      </w:r>
      <w:r>
        <w:t>值；{</w:t>
      </w:r>
      <w:r>
        <w:rPr>
          <w:rFonts w:ascii="Cambria Math" w:hAnsi="Cambria Math" w:cs="Cambria Math"/>
        </w:rPr>
        <w:t>𝑔𝑖</w:t>
      </w:r>
      <w:r>
        <w:t xml:space="preserve"> }，</w:t>
      </w:r>
    </w:p>
    <w:p w:rsidR="00566E50" w:rsidRDefault="00566E50" w:rsidP="00566E50">
      <w:r>
        <w:rPr>
          <w:rFonts w:hint="eastAsia"/>
        </w:rPr>
        <w:t>股票的未实现资本利得；</w:t>
      </w:r>
      <w:r>
        <w:rPr>
          <w:rFonts w:ascii="Cambria Math" w:hAnsi="Cambria Math" w:cs="Cambria Math"/>
        </w:rPr>
        <w:t>𝜎𝑀</w:t>
      </w:r>
      <w:r>
        <w:t>，股票市场组合收益的标准差；{</w:t>
      </w:r>
      <w:r>
        <w:rPr>
          <w:rFonts w:ascii="Cambria Math" w:hAnsi="Cambria Math" w:cs="Cambria Math"/>
        </w:rPr>
        <w:t>𝜃𝑀</w:t>
      </w:r>
      <w:r>
        <w:t>,</w:t>
      </w:r>
      <w:r>
        <w:rPr>
          <w:rFonts w:ascii="Cambria Math" w:hAnsi="Cambria Math" w:cs="Cambria Math"/>
        </w:rPr>
        <w:t>𝑖</w:t>
      </w:r>
      <w:r>
        <w:t xml:space="preserve"> }，</w:t>
      </w:r>
      <w:r>
        <w:rPr>
          <w:rFonts w:ascii="Cambria Math" w:hAnsi="Cambria Math" w:cs="Cambria Math"/>
        </w:rPr>
        <w:t>𝑁</w:t>
      </w:r>
      <w:r>
        <w:t>只股票的市</w:t>
      </w:r>
    </w:p>
    <w:p w:rsidR="00566E50" w:rsidRDefault="00566E50" w:rsidP="00566E50">
      <w:r>
        <w:t>37</w:t>
      </w:r>
    </w:p>
    <w:p w:rsidR="00566E50" w:rsidRDefault="00566E50" w:rsidP="00566E50">
      <w:r>
        <w:rPr>
          <w:rFonts w:hint="eastAsia"/>
        </w:rPr>
        <w:t>场组合权重。投资者层面的参数有：</w:t>
      </w:r>
      <w:r>
        <w:rPr>
          <w:rFonts w:ascii="Cambria Math" w:hAnsi="Cambria Math" w:cs="Cambria Math"/>
        </w:rPr>
        <w:t>𝛾̂</w:t>
      </w:r>
      <w:r>
        <w:t>，投资组合风险厌恶程度参数；</w:t>
      </w:r>
      <w:r>
        <w:rPr>
          <w:rFonts w:ascii="Cambria Math" w:hAnsi="Cambria Math" w:cs="Cambria Math"/>
        </w:rPr>
        <w:t>𝑏</w:t>
      </w:r>
      <w:r>
        <w:t xml:space="preserve"> </w:t>
      </w:r>
      <w:r>
        <w:rPr>
          <w:rFonts w:ascii="MS Gothic" w:eastAsia="MS Gothic" w:hAnsi="MS Gothic" w:cs="MS Gothic" w:hint="eastAsia"/>
        </w:rPr>
        <w:t>̂</w:t>
      </w:r>
    </w:p>
    <w:p w:rsidR="00566E50" w:rsidRDefault="00566E50" w:rsidP="00566E50">
      <w:r>
        <w:t>0，投资者</w:t>
      </w:r>
    </w:p>
    <w:p w:rsidR="00566E50" w:rsidRDefault="00566E50" w:rsidP="00566E50">
      <w:r>
        <w:rPr>
          <w:rFonts w:hint="eastAsia"/>
        </w:rPr>
        <w:t>偏好中前景理论项的重要性；</w:t>
      </w:r>
      <w:r>
        <w:t>(</w:t>
      </w:r>
      <w:r>
        <w:rPr>
          <w:rFonts w:ascii="Cambria Math" w:hAnsi="Cambria Math" w:cs="Cambria Math"/>
        </w:rPr>
        <w:t>𝛼</w:t>
      </w:r>
      <w:r>
        <w:t xml:space="preserve">, </w:t>
      </w:r>
      <w:r>
        <w:rPr>
          <w:rFonts w:ascii="Cambria Math" w:hAnsi="Cambria Math" w:cs="Cambria Math"/>
        </w:rPr>
        <w:t>𝛿</w:t>
      </w:r>
      <w:r>
        <w:t xml:space="preserve">, </w:t>
      </w:r>
      <w:r>
        <w:rPr>
          <w:rFonts w:ascii="Cambria Math" w:hAnsi="Cambria Math" w:cs="Cambria Math"/>
        </w:rPr>
        <w:t>𝜆</w:t>
      </w:r>
      <w:r>
        <w:t>)，前景理论偏好参数；以及{</w:t>
      </w:r>
      <w:r>
        <w:rPr>
          <w:rFonts w:ascii="Cambria Math" w:hAnsi="Cambria Math" w:cs="Cambria Math"/>
        </w:rPr>
        <w:t>𝜃𝑖</w:t>
      </w:r>
      <w:r>
        <w:t>,</w:t>
      </w:r>
      <w:r>
        <w:rPr>
          <w:rFonts w:ascii="微软雅黑" w:eastAsia="微软雅黑" w:hAnsi="微软雅黑" w:cs="微软雅黑" w:hint="eastAsia"/>
        </w:rPr>
        <w:t>−</w:t>
      </w:r>
      <w:r>
        <w:t>1}，投资者</w:t>
      </w:r>
    </w:p>
    <w:p w:rsidR="00566E50" w:rsidRDefault="00566E50" w:rsidP="00566E50">
      <w:r>
        <w:rPr>
          <w:rFonts w:hint="eastAsia"/>
        </w:rPr>
        <w:t>对</w:t>
      </w:r>
      <w:r>
        <w:rPr>
          <w:rFonts w:ascii="Cambria Math" w:hAnsi="Cambria Math" w:cs="Cambria Math"/>
        </w:rPr>
        <w:t>𝑁</w:t>
      </w:r>
      <w:r>
        <w:t>只股票在</w:t>
      </w:r>
      <w:r>
        <w:rPr>
          <w:rFonts w:ascii="微软雅黑" w:eastAsia="微软雅黑" w:hAnsi="微软雅黑" w:cs="微软雅黑" w:hint="eastAsia"/>
        </w:rPr>
        <w:t>−</w:t>
      </w:r>
      <w:r>
        <w:t>1时刻的分配比例。</w:t>
      </w:r>
    </w:p>
    <w:p w:rsidR="00566E50" w:rsidRDefault="00566E50" w:rsidP="00566E50">
      <w:r>
        <w:t>4.2.1 资产层面参数</w:t>
      </w:r>
    </w:p>
    <w:p w:rsidR="00566E50" w:rsidRDefault="00566E50" w:rsidP="00566E50">
      <w:r>
        <w:t>1. 股票收益分布参数</w:t>
      </w:r>
    </w:p>
    <w:p w:rsidR="00566E50" w:rsidRDefault="00566E50" w:rsidP="00566E50">
      <w:r>
        <w:rPr>
          <w:rFonts w:hint="eastAsia"/>
        </w:rPr>
        <w:t>从股票收益分布参数开始，设定</w:t>
      </w:r>
      <w:r>
        <w:rPr>
          <w:rFonts w:ascii="Cambria Math" w:hAnsi="Cambria Math" w:cs="Cambria Math"/>
        </w:rPr>
        <w:t>𝜈</w:t>
      </w:r>
      <w:r>
        <w:t xml:space="preserve"> = 7.5，这代表了股票收益率分布合理的肥</w:t>
      </w:r>
    </w:p>
    <w:p w:rsidR="00566E50" w:rsidRDefault="00566E50" w:rsidP="00566E50">
      <w:r>
        <w:rPr>
          <w:rFonts w:hint="eastAsia"/>
        </w:rPr>
        <w:t>尾程度，</w:t>
      </w:r>
      <w:proofErr w:type="spellStart"/>
      <w:r>
        <w:t>Barberis</w:t>
      </w:r>
      <w:proofErr w:type="spellEnd"/>
      <w:r>
        <w:t>，</w:t>
      </w:r>
      <w:proofErr w:type="spellStart"/>
      <w:r>
        <w:t>Jin</w:t>
      </w:r>
      <w:proofErr w:type="spellEnd"/>
      <w:r>
        <w:t xml:space="preserve"> 和Wang(2021)发现模型结果对</w:t>
      </w:r>
      <w:r>
        <w:rPr>
          <w:rFonts w:ascii="Cambria Math" w:hAnsi="Cambria Math" w:cs="Cambria Math"/>
        </w:rPr>
        <w:t>𝜈</w:t>
      </w:r>
      <w:r>
        <w:t>值不是很敏感。然后设定离</w:t>
      </w:r>
    </w:p>
    <w:p w:rsidR="00566E50" w:rsidRDefault="00566E50" w:rsidP="00566E50">
      <w:r>
        <w:rPr>
          <w:rFonts w:hint="eastAsia"/>
        </w:rPr>
        <w:t>散度参数</w:t>
      </w:r>
      <w:r>
        <w:t>{</w:t>
      </w:r>
      <w:r>
        <w:rPr>
          <w:rFonts w:ascii="Cambria Math" w:hAnsi="Cambria Math" w:cs="Cambria Math"/>
        </w:rPr>
        <w:t>𝑆𝑖</w:t>
      </w:r>
      <w:r>
        <w:t xml:space="preserve"> }和不对称性参数{</w:t>
      </w:r>
      <w:r>
        <w:rPr>
          <w:rFonts w:ascii="Cambria Math" w:hAnsi="Cambria Math" w:cs="Cambria Math"/>
        </w:rPr>
        <w:t>𝜁𝑖</w:t>
      </w:r>
      <w:r>
        <w:t xml:space="preserve"> }。要计算这两个参数，首先回顾一下公式(2.12)</w:t>
      </w:r>
      <w:proofErr w:type="gramStart"/>
      <w:r>
        <w:t>和</w:t>
      </w:r>
      <w:proofErr w:type="gramEnd"/>
    </w:p>
    <w:p w:rsidR="00566E50" w:rsidRDefault="00566E50" w:rsidP="00566E50">
      <w:r>
        <w:t>(2.13)，对于</w:t>
      </w:r>
      <w:proofErr w:type="gramStart"/>
      <w:r>
        <w:t>广义双</w:t>
      </w:r>
      <w:proofErr w:type="gramEnd"/>
      <w:r>
        <w:t>曲倾斜t 分布，标准差和偏度有下面的两个公式可以计算得出：</w:t>
      </w:r>
      <w:r>
        <w:rPr>
          <w:rFonts w:hint="eastAsia"/>
          <w:noProof/>
        </w:rPr>
        <w:drawing>
          <wp:inline distT="0" distB="0" distL="0" distR="0">
            <wp:extent cx="2127508" cy="382525"/>
            <wp:effectExtent l="0" t="0" r="6350" b="0"/>
            <wp:docPr id="1134966813" name="图片 15" descr="%FontSize=10.5&#10;%TeXFontSize=10.5&#10;\documentclass{article}&#10;\pagestyle{empty}&#10;\begin{document}&#10;\[&#10;Std\bigl(\tilde{R}_i\bigr)=\sqrt{\frac{v}{v-2}S_i+\frac{2v^2}{(\nu-2)^2(\nu-4)}\zeta_i^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66813" name="图片 15" descr="%FontSize=10.5&#10;%TeXFontSize=10.5&#10;\documentclass{article}&#10;\pagestyle{empty}&#10;\begin{document}&#10;\[&#10;Std\bigl(\tilde{R}_i\bigr)=\sqrt{\frac{v}{v-2}S_i+\frac{2v^2}{(\nu-2)^2(\nu-4)}\zeta_i^2},&#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2127508" cy="382525"/>
                    </a:xfrm>
                    <a:prstGeom prst="rect">
                      <a:avLst/>
                    </a:prstGeom>
                  </pic:spPr>
                </pic:pic>
              </a:graphicData>
            </a:graphic>
          </wp:inline>
        </w:drawing>
      </w:r>
    </w:p>
    <w:p w:rsidR="00566E50" w:rsidRDefault="00566E50" w:rsidP="00566E50">
      <w:r>
        <w:rPr>
          <w:rFonts w:hint="eastAsia"/>
          <w:noProof/>
        </w:rPr>
        <w:drawing>
          <wp:inline distT="0" distB="0" distL="0" distR="0">
            <wp:extent cx="3238507" cy="502921"/>
            <wp:effectExtent l="0" t="0" r="0" b="0"/>
            <wp:docPr id="621718707" name="图片 16" descr="%FontSize=10.5&#10;%TeXFontSize=10.5&#10;\documentclass{article}&#10;\pagestyle{empty}&#10;\begin{document}&#10;\[&#10;\begin{aligned}&#10;Skew(\tilde{R}_i)&amp; =\frac{2\zeta_{i}\sqrt{\nu(\nu-4)}}{\sqrt{S_{i}}\left(\frac{2\nu\zeta_{i}^{2}}{\mathrm{S}}+(\nu-2)(\nu-4)\right)^{\frac{3}{2}}}\left[3(\nu-2)+\frac{8\nu\zeta_{i}^{2}}{S_{i}(\nu-6)}\right]  \\&#10;&amp;&#10;\end{align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18707" name="图片 16" descr="%FontSize=10.5&#10;%TeXFontSize=10.5&#10;\documentclass{article}&#10;\pagestyle{empty}&#10;\begin{document}&#10;\[&#10;\begin{aligned}&#10;Skew(\tilde{R}_i)&amp; =\frac{2\zeta_{i}\sqrt{\nu(\nu-4)}}{\sqrt{S_{i}}\left(\frac{2\nu\zeta_{i}^{2}}{\mathrm{S}}+(\nu-2)(\nu-4)\right)^{\frac{3}{2}}}\left[3(\nu-2)+\frac{8\nu\zeta_{i}^{2}}{S_{i}(\nu-6)}\right]  \\&#10;&amp;&#10;\end{aligned}&#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3238507" cy="502921"/>
                    </a:xfrm>
                    <a:prstGeom prst="rect">
                      <a:avLst/>
                    </a:prstGeom>
                  </pic:spPr>
                </pic:pic>
              </a:graphicData>
            </a:graphic>
          </wp:inline>
        </w:drawing>
      </w:r>
    </w:p>
    <w:p w:rsidR="00566E50" w:rsidRDefault="00566E50" w:rsidP="00566E50">
      <w:r>
        <w:rPr>
          <w:rFonts w:hint="eastAsia"/>
        </w:rPr>
        <w:t>为了计算属于某个特定异象</w:t>
      </w:r>
      <w:proofErr w:type="gramStart"/>
      <w:r>
        <w:rPr>
          <w:rFonts w:hint="eastAsia"/>
        </w:rPr>
        <w:t>十分位组股票</w:t>
      </w:r>
      <w:proofErr w:type="gramEnd"/>
      <w:r>
        <w:rPr>
          <w:rFonts w:ascii="Cambria Math" w:hAnsi="Cambria Math" w:cs="Cambria Math"/>
        </w:rPr>
        <w:t>𝑖</w:t>
      </w:r>
      <w:r>
        <w:t>的</w:t>
      </w:r>
      <w:r>
        <w:rPr>
          <w:rFonts w:ascii="Cambria Math" w:hAnsi="Cambria Math" w:cs="Cambria Math"/>
        </w:rPr>
        <w:t>𝑆𝑖</w:t>
      </w:r>
      <w:r>
        <w:t>和</w:t>
      </w:r>
      <w:r>
        <w:rPr>
          <w:rFonts w:ascii="Cambria Math" w:hAnsi="Cambria Math" w:cs="Cambria Math"/>
        </w:rPr>
        <w:t>𝜁𝑖</w:t>
      </w:r>
      <w:r>
        <w:t>，取该异象十分位组中典</w:t>
      </w:r>
    </w:p>
    <w:p w:rsidR="00566E50" w:rsidRDefault="00566E50" w:rsidP="00566E50">
      <w:r>
        <w:rPr>
          <w:rFonts w:hint="eastAsia"/>
        </w:rPr>
        <w:t>型股票的经验标准差和偏度，并将其代入公式</w:t>
      </w:r>
      <w:r>
        <w:t>(4.1)和(4.2)的左侧，可以解出这两</w:t>
      </w:r>
    </w:p>
    <w:p w:rsidR="00566E50" w:rsidRDefault="00566E50" w:rsidP="00566E50">
      <w:proofErr w:type="gramStart"/>
      <w:r>
        <w:rPr>
          <w:rFonts w:hint="eastAsia"/>
        </w:rPr>
        <w:t>个</w:t>
      </w:r>
      <w:proofErr w:type="gramEnd"/>
      <w:r>
        <w:rPr>
          <w:rFonts w:hint="eastAsia"/>
        </w:rPr>
        <w:t>参数</w:t>
      </w:r>
      <w:r>
        <w:rPr>
          <w:rFonts w:ascii="Cambria Math" w:hAnsi="Cambria Math" w:cs="Cambria Math"/>
        </w:rPr>
        <w:t>𝑆𝑖</w:t>
      </w:r>
      <w:r>
        <w:t>和</w:t>
      </w:r>
      <w:r>
        <w:rPr>
          <w:rFonts w:ascii="Cambria Math" w:hAnsi="Cambria Math" w:cs="Cambria Math"/>
        </w:rPr>
        <w:t>𝜁𝑖</w:t>
      </w:r>
      <w:r>
        <w:t>。例如，在规模异象中，排序第1 到第100 只的股票属于市值最低的</w:t>
      </w:r>
    </w:p>
    <w:p w:rsidR="00566E50" w:rsidRDefault="00566E50" w:rsidP="00566E50">
      <w:r>
        <w:rPr>
          <w:rFonts w:hint="eastAsia"/>
        </w:rPr>
        <w:t>一组。从表</w:t>
      </w:r>
      <w:r>
        <w:t>4.1 中，我们看到这个十分位组中典型股票的经验标准差和偏度分别</w:t>
      </w:r>
    </w:p>
    <w:p w:rsidR="00566E50" w:rsidRDefault="00566E50" w:rsidP="00566E50">
      <w:r>
        <w:rPr>
          <w:rFonts w:hint="eastAsia"/>
        </w:rPr>
        <w:t>为</w:t>
      </w:r>
      <w:r>
        <w:t>0.0413 和1.4778。因此，对于这一个异象十分位组，为了求出</w:t>
      </w:r>
      <w:r>
        <w:rPr>
          <w:rFonts w:ascii="Cambria Math" w:hAnsi="Cambria Math" w:cs="Cambria Math"/>
        </w:rPr>
        <w:t>𝑖</w:t>
      </w:r>
      <w:r>
        <w:t xml:space="preserve"> ∈ {1, … ,100}的</w:t>
      </w:r>
    </w:p>
    <w:p w:rsidR="00566E50" w:rsidRDefault="00566E50" w:rsidP="00566E50">
      <w:r>
        <w:rPr>
          <w:rFonts w:ascii="Cambria Math" w:hAnsi="Cambria Math" w:cs="Cambria Math"/>
        </w:rPr>
        <w:t>𝑆𝑖</w:t>
      </w:r>
      <w:r>
        <w:t>和</w:t>
      </w:r>
      <w:r>
        <w:rPr>
          <w:rFonts w:ascii="Cambria Math" w:hAnsi="Cambria Math" w:cs="Cambria Math"/>
        </w:rPr>
        <w:t>𝜁𝑖</w:t>
      </w:r>
      <w:r>
        <w:t>的值，可以求解下面方程：</w:t>
      </w:r>
    </w:p>
    <w:p w:rsidR="00566E50" w:rsidRDefault="00B4308E" w:rsidP="00566E50">
      <w:r>
        <w:rPr>
          <w:rFonts w:hint="eastAsia"/>
          <w:noProof/>
        </w:rPr>
        <w:drawing>
          <wp:inline distT="0" distB="0" distL="0" distR="0">
            <wp:extent cx="3791720" cy="850394"/>
            <wp:effectExtent l="0" t="0" r="0" b="6985"/>
            <wp:docPr id="733365801" name="图片 17" descr="%FontSize=10.5&#10;%TeXFontSize=10.5&#10;\documentclass{article}&#10;\pagestyle{empty}&#10;\begin{document}&#10;\[&#10;\begin{gathered}&#10;0.0413=\left(\frac{7.5}{7.5-2}S_i+\frac{2(7.5)^2}{(7.5-2)^2(7.5-4)}\zeta_{i}^{2}\right)^{0.5}, \\&#10;1.477\text{g} \xi=\frac{2\zeta_{i}\sqrt{7.5(7.5-4)}}{\sqrt{S_{i}(2(7.5)\zeta_{i}^{2}/S_{i}+(7.5-2)(7.5-4))^{\frac{3}{2}}}\left[3(7.5-2)+\frac{8(7.5)\zeta_{i}^{2}}{S_{i}(7.5-6)}\right]}. &#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65801" name="图片 17" descr="%FontSize=10.5&#10;%TeXFontSize=10.5&#10;\documentclass{article}&#10;\pagestyle{empty}&#10;\begin{document}&#10;\[&#10;\begin{gathered}&#10;0.0413=\left(\frac{7.5}{7.5-2}S_i+\frac{2(7.5)^2}{(7.5-2)^2(7.5-4)}\zeta_{i}^{2}\right)^{0.5}, \\&#10;1.477\text{g} \xi=\frac{2\zeta_{i}\sqrt{7.5(7.5-4)}}{\sqrt{S_{i}(2(7.5)\zeta_{i}^{2}/S_{i}+(7.5-2)(7.5-4))^{\frac{3}{2}}}\left[3(7.5-2)+\frac{8(7.5)\zeta_{i}^{2}}{S_{i}(7.5-6)}\right]}. &#10;\end{gathered}&#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3791720" cy="850394"/>
                    </a:xfrm>
                    <a:prstGeom prst="rect">
                      <a:avLst/>
                    </a:prstGeom>
                  </pic:spPr>
                </pic:pic>
              </a:graphicData>
            </a:graphic>
          </wp:inline>
        </w:drawing>
      </w:r>
    </w:p>
    <w:p w:rsidR="00B4308E" w:rsidRDefault="00B4308E" w:rsidP="00B4308E">
      <w:r>
        <w:t>2. 未实现资本利得CGO</w:t>
      </w:r>
    </w:p>
    <w:p w:rsidR="00B4308E" w:rsidRDefault="00B4308E" w:rsidP="00B4308E">
      <w:r>
        <w:rPr>
          <w:rFonts w:hint="eastAsia"/>
        </w:rPr>
        <w:t>对于属于某个异象</w:t>
      </w:r>
      <w:proofErr w:type="gramStart"/>
      <w:r>
        <w:rPr>
          <w:rFonts w:hint="eastAsia"/>
        </w:rPr>
        <w:t>十分位组的</w:t>
      </w:r>
      <w:proofErr w:type="gramEnd"/>
      <w:r>
        <w:rPr>
          <w:rFonts w:hint="eastAsia"/>
        </w:rPr>
        <w:t>特定股票</w:t>
      </w:r>
      <w:r>
        <w:rPr>
          <w:rFonts w:ascii="Cambria Math" w:hAnsi="Cambria Math" w:cs="Cambria Math"/>
        </w:rPr>
        <w:t>𝑖</w:t>
      </w:r>
      <w:r>
        <w:t>，将</w:t>
      </w:r>
      <w:r>
        <w:rPr>
          <w:rFonts w:ascii="Cambria Math" w:hAnsi="Cambria Math" w:cs="Cambria Math"/>
        </w:rPr>
        <w:t>𝑔𝑖</w:t>
      </w:r>
      <w:r>
        <w:t>设定为该组中典型股票的未实</w:t>
      </w:r>
    </w:p>
    <w:p w:rsidR="00B4308E" w:rsidRDefault="00B4308E" w:rsidP="00B4308E">
      <w:proofErr w:type="gramStart"/>
      <w:r>
        <w:rPr>
          <w:rFonts w:hint="eastAsia"/>
        </w:rPr>
        <w:t>现资本</w:t>
      </w:r>
      <w:proofErr w:type="gramEnd"/>
      <w:r>
        <w:rPr>
          <w:rFonts w:hint="eastAsia"/>
        </w:rPr>
        <w:t>利得</w:t>
      </w:r>
      <w:r>
        <w:t>CGO，具体计算方式如本章4.1 节中所述。</w:t>
      </w:r>
    </w:p>
    <w:p w:rsidR="00B4308E" w:rsidRDefault="00B4308E" w:rsidP="00B4308E">
      <w:r>
        <w:t>38</w:t>
      </w:r>
    </w:p>
    <w:p w:rsidR="00B4308E" w:rsidRDefault="00B4308E" w:rsidP="00B4308E">
      <w:r>
        <w:t>3. 其他资产层面参数</w:t>
      </w:r>
    </w:p>
    <w:p w:rsidR="00B4308E" w:rsidRDefault="00B4308E" w:rsidP="00B4308E">
      <w:r>
        <w:rPr>
          <w:rFonts w:hint="eastAsia"/>
        </w:rPr>
        <w:t>对于属于某个异象</w:t>
      </w:r>
      <w:proofErr w:type="gramStart"/>
      <w:r>
        <w:rPr>
          <w:rFonts w:hint="eastAsia"/>
        </w:rPr>
        <w:t>十分位组的</w:t>
      </w:r>
      <w:proofErr w:type="gramEnd"/>
      <w:r>
        <w:rPr>
          <w:rFonts w:hint="eastAsia"/>
        </w:rPr>
        <w:t>特定股票</w:t>
      </w:r>
      <w:r>
        <w:rPr>
          <w:rFonts w:ascii="Cambria Math" w:hAnsi="Cambria Math" w:cs="Cambria Math"/>
        </w:rPr>
        <w:t>𝑖</w:t>
      </w:r>
      <w:r>
        <w:t>，将其</w:t>
      </w:r>
      <w:r>
        <w:rPr>
          <w:rFonts w:ascii="Cambria Math" w:hAnsi="Cambria Math" w:cs="Cambria Math"/>
        </w:rPr>
        <w:t>𝛽</w:t>
      </w:r>
      <w:r>
        <w:t>值设定为该组中典型股票的</w:t>
      </w:r>
    </w:p>
    <w:p w:rsidR="00B4308E" w:rsidRDefault="00B4308E" w:rsidP="00B4308E">
      <w:r>
        <w:rPr>
          <w:rFonts w:hint="eastAsia"/>
        </w:rPr>
        <w:lastRenderedPageBreak/>
        <w:t>经验</w:t>
      </w:r>
      <w:r>
        <w:rPr>
          <w:rFonts w:ascii="Cambria Math" w:hAnsi="Cambria Math" w:cs="Cambria Math"/>
        </w:rPr>
        <w:t>𝛽</w:t>
      </w:r>
      <w:r>
        <w:t>值。设定{</w:t>
      </w:r>
      <w:r>
        <w:rPr>
          <w:rFonts w:ascii="Cambria Math" w:hAnsi="Cambria Math" w:cs="Cambria Math"/>
        </w:rPr>
        <w:t>𝜃𝑀</w:t>
      </w:r>
      <w:r>
        <w:t>,</w:t>
      </w:r>
      <w:r>
        <w:rPr>
          <w:rFonts w:ascii="Cambria Math" w:hAnsi="Cambria Math" w:cs="Cambria Math"/>
        </w:rPr>
        <w:t>𝑖</w:t>
      </w:r>
      <w:r>
        <w:t xml:space="preserve"> }为股票的市场权重，以匹配经验市场权重。在样本的每个月，</w:t>
      </w:r>
    </w:p>
    <w:p w:rsidR="00B4308E" w:rsidRDefault="00B4308E" w:rsidP="00B4308E">
      <w:r>
        <w:rPr>
          <w:rFonts w:hint="eastAsia"/>
        </w:rPr>
        <w:t>计算当月每一个异象十分位组中的股票总市值占样本中所有股票的总市值的比例，</w:t>
      </w:r>
    </w:p>
    <w:p w:rsidR="00B4308E" w:rsidRDefault="00B4308E" w:rsidP="00B4308E">
      <w:r>
        <w:rPr>
          <w:rFonts w:hint="eastAsia"/>
        </w:rPr>
        <w:t>然后再计算这些比例的时间序列平均值，即得到每一个异象</w:t>
      </w:r>
      <w:proofErr w:type="gramStart"/>
      <w:r>
        <w:rPr>
          <w:rFonts w:hint="eastAsia"/>
        </w:rPr>
        <w:t>十分位组的</w:t>
      </w:r>
      <w:proofErr w:type="gramEnd"/>
      <w:r>
        <w:rPr>
          <w:rFonts w:hint="eastAsia"/>
        </w:rPr>
        <w:t>市场权重。</w:t>
      </w:r>
    </w:p>
    <w:p w:rsidR="00B4308E" w:rsidRDefault="00B4308E" w:rsidP="00B4308E">
      <w:r>
        <w:rPr>
          <w:rFonts w:hint="eastAsia"/>
        </w:rPr>
        <w:t>例如，计算得到，平均而言，盈余公告后价格漂移异象中第</w:t>
      </w:r>
      <w:r>
        <w:t xml:space="preserve">1 </w:t>
      </w:r>
      <w:proofErr w:type="gramStart"/>
      <w:r>
        <w:t>个十分位组占</w:t>
      </w:r>
      <w:proofErr w:type="gramEnd"/>
      <w:r>
        <w:t>股票</w:t>
      </w:r>
    </w:p>
    <w:p w:rsidR="00B4308E" w:rsidRDefault="00B4308E" w:rsidP="00B4308E">
      <w:r>
        <w:rPr>
          <w:rFonts w:hint="eastAsia"/>
        </w:rPr>
        <w:t>市场总市值的</w:t>
      </w:r>
      <w:r>
        <w:t xml:space="preserve">3.09%。由于在模型中假设，第1 组有100 </w:t>
      </w:r>
      <w:proofErr w:type="gramStart"/>
      <w:r>
        <w:t>只相同</w:t>
      </w:r>
      <w:proofErr w:type="gramEnd"/>
      <w:r>
        <w:t>的股票，因此第</w:t>
      </w:r>
    </w:p>
    <w:p w:rsidR="00B4308E" w:rsidRDefault="00B4308E" w:rsidP="00B4308E">
      <w:r>
        <w:t>1 组中的所有股票市场权重设定为</w:t>
      </w:r>
      <w:r>
        <w:rPr>
          <w:rFonts w:ascii="Cambria Math" w:hAnsi="Cambria Math" w:cs="Cambria Math"/>
        </w:rPr>
        <w:t>𝜃𝑀</w:t>
      </w:r>
      <w:r>
        <w:t>,</w:t>
      </w:r>
      <w:r>
        <w:rPr>
          <w:rFonts w:ascii="Cambria Math" w:hAnsi="Cambria Math" w:cs="Cambria Math"/>
        </w:rPr>
        <w:t>𝑖</w:t>
      </w:r>
      <w:r>
        <w:t xml:space="preserve"> = 0.0309/100, </w:t>
      </w:r>
      <w:r>
        <w:rPr>
          <w:rFonts w:ascii="Cambria Math" w:hAnsi="Cambria Math" w:cs="Cambria Math"/>
        </w:rPr>
        <w:t>𝑖</w:t>
      </w:r>
      <w:r>
        <w:t xml:space="preserve"> = 1, . . . ,100，对其他十分</w:t>
      </w:r>
    </w:p>
    <w:p w:rsidR="00B4308E" w:rsidRDefault="00B4308E" w:rsidP="00B4308E">
      <w:r>
        <w:rPr>
          <w:rFonts w:hint="eastAsia"/>
        </w:rPr>
        <w:t>位组中的股票进行类似的处理。设置</w:t>
      </w:r>
      <w:r>
        <w:rPr>
          <w:rFonts w:ascii="Cambria Math" w:hAnsi="Cambria Math" w:cs="Cambria Math"/>
        </w:rPr>
        <w:t>𝜎𝑀</w:t>
      </w:r>
      <w:r>
        <w:t>为季度股票市场收益率的标准差，</w:t>
      </w:r>
      <w:proofErr w:type="spellStart"/>
      <w:r>
        <w:t>Barberis</w:t>
      </w:r>
      <w:proofErr w:type="spellEnd"/>
      <w:r>
        <w:t>，</w:t>
      </w:r>
    </w:p>
    <w:p w:rsidR="00B4308E" w:rsidRDefault="00B4308E" w:rsidP="00B4308E">
      <w:proofErr w:type="spellStart"/>
      <w:r>
        <w:t>Jin</w:t>
      </w:r>
      <w:proofErr w:type="spellEnd"/>
      <w:r>
        <w:t xml:space="preserve"> 和Wang(2021)设定年度股票市场收益率的标准差为0.25，这里要将其转化为</w:t>
      </w:r>
    </w:p>
    <w:p w:rsidR="00B4308E" w:rsidRDefault="00B4308E" w:rsidP="00B4308E">
      <w:r>
        <w:rPr>
          <w:rFonts w:hint="eastAsia"/>
        </w:rPr>
        <w:t>季度收益率的标准差，</w:t>
      </w:r>
    </w:p>
    <w:p w:rsidR="00B4308E" w:rsidRDefault="00B4308E" w:rsidP="00B4308E">
      <w:pPr>
        <w:ind w:left="420" w:firstLine="420"/>
      </w:pPr>
      <w:r>
        <w:rPr>
          <w:rFonts w:hint="eastAsia"/>
        </w:rPr>
        <w:t>年标准差</w:t>
      </w:r>
      <w:r>
        <w:t>=</w:t>
      </w:r>
      <m:oMath>
        <m:r>
          <w:rPr>
            <w:rFonts w:ascii="Cambria Math" w:hAnsi="Cambria Math"/>
          </w:rPr>
          <m:t>√4</m:t>
        </m:r>
      </m:oMath>
      <w:r>
        <w:t>× 季标准差,</w:t>
      </w:r>
    </w:p>
    <w:p w:rsidR="00B4308E" w:rsidRDefault="00B4308E" w:rsidP="00B4308E">
      <w:r>
        <w:rPr>
          <w:rFonts w:hint="eastAsia"/>
        </w:rPr>
        <w:t>因此</w:t>
      </w:r>
      <w:r>
        <w:rPr>
          <w:rFonts w:ascii="Cambria Math" w:hAnsi="Cambria Math" w:cs="Cambria Math"/>
        </w:rPr>
        <w:t>𝜎𝑀</w:t>
      </w:r>
      <w:r>
        <w:t xml:space="preserve"> = 0.125。最后，</w:t>
      </w:r>
      <w:r>
        <w:rPr>
          <w:rFonts w:ascii="Cambria Math" w:hAnsi="Cambria Math" w:cs="Cambria Math"/>
        </w:rPr>
        <w:t>𝑅𝑓</w:t>
      </w:r>
      <w:r>
        <w:t>为总无风险利率，这里将其设定为1。</w:t>
      </w:r>
    </w:p>
    <w:p w:rsidR="00B4308E" w:rsidRDefault="00B4308E" w:rsidP="00B4308E">
      <w:r>
        <w:t>4.2.2 投资者层面参数</w:t>
      </w:r>
    </w:p>
    <w:p w:rsidR="00B4308E" w:rsidRDefault="00B4308E" w:rsidP="00B4308E">
      <w:r>
        <w:rPr>
          <w:rFonts w:hint="eastAsia"/>
        </w:rPr>
        <w:t>接下来设定投资者层面的参数。</w:t>
      </w:r>
      <w:proofErr w:type="spellStart"/>
      <w:r>
        <w:t>Barberis</w:t>
      </w:r>
      <w:proofErr w:type="spellEnd"/>
      <w:r>
        <w:t>，</w:t>
      </w:r>
      <w:proofErr w:type="spellStart"/>
      <w:r>
        <w:t>Jin</w:t>
      </w:r>
      <w:proofErr w:type="spellEnd"/>
      <w:r>
        <w:t xml:space="preserve"> 和Wang(2021)设定</w:t>
      </w:r>
      <w:r>
        <w:rPr>
          <w:rFonts w:ascii="Cambria Math" w:hAnsi="Cambria Math" w:cs="Cambria Math"/>
        </w:rPr>
        <w:t>𝛾̂</w:t>
      </w:r>
      <w:r>
        <w:t>，即投资组</w:t>
      </w:r>
    </w:p>
    <w:p w:rsidR="00B4308E" w:rsidRDefault="00B4308E" w:rsidP="00B4308E">
      <w:r>
        <w:rPr>
          <w:rFonts w:hint="eastAsia"/>
        </w:rPr>
        <w:t>合的风险厌恶程度参数，以及</w:t>
      </w:r>
      <w:r>
        <w:rPr>
          <w:rFonts w:ascii="Cambria Math" w:hAnsi="Cambria Math" w:cs="Cambria Math"/>
        </w:rPr>
        <w:t>𝑏</w:t>
      </w:r>
      <w:r>
        <w:t xml:space="preserve"> </w:t>
      </w:r>
      <w:r>
        <w:rPr>
          <w:rFonts w:ascii="MS Gothic" w:eastAsia="MS Gothic" w:hAnsi="MS Gothic" w:cs="MS Gothic" w:hint="eastAsia"/>
        </w:rPr>
        <w:t>̂</w:t>
      </w:r>
    </w:p>
    <w:p w:rsidR="00B4308E" w:rsidRDefault="00B4308E" w:rsidP="00B4308E">
      <w:r>
        <w:t>0</w:t>
      </w:r>
      <w:proofErr w:type="gramStart"/>
      <w:r>
        <w:t>即前景</w:t>
      </w:r>
      <w:proofErr w:type="gramEnd"/>
      <w:r>
        <w:t>理论价值函数项的权重，以产生6%的总股</w:t>
      </w:r>
    </w:p>
    <w:p w:rsidR="00B4308E" w:rsidRDefault="00B4308E" w:rsidP="00B4308E">
      <w:r>
        <w:rPr>
          <w:rFonts w:hint="eastAsia"/>
        </w:rPr>
        <w:t>票溢价。这里有许多对</w:t>
      </w:r>
      <w:r>
        <w:t>(</w:t>
      </w:r>
      <w:r>
        <w:rPr>
          <w:rFonts w:ascii="Cambria Math" w:hAnsi="Cambria Math" w:cs="Cambria Math"/>
        </w:rPr>
        <w:t>𝛾̂</w:t>
      </w:r>
      <w:r>
        <w:t>,</w:t>
      </w:r>
      <w:r>
        <w:rPr>
          <w:rFonts w:ascii="Cambria Math" w:hAnsi="Cambria Math" w:cs="Cambria Math"/>
        </w:rPr>
        <w:t>𝑏</w:t>
      </w:r>
      <w:r>
        <w:t xml:space="preserve"> </w:t>
      </w:r>
      <w:r>
        <w:rPr>
          <w:rFonts w:ascii="MS Gothic" w:eastAsia="MS Gothic" w:hAnsi="MS Gothic" w:cs="MS Gothic" w:hint="eastAsia"/>
        </w:rPr>
        <w:t>̂</w:t>
      </w:r>
      <w:r>
        <w:t xml:space="preserve"> 0)可以产生6%的股权溢价，为了</w:t>
      </w:r>
      <w:proofErr w:type="gramStart"/>
      <w:r>
        <w:t>给前景</w:t>
      </w:r>
      <w:proofErr w:type="gramEnd"/>
      <w:r>
        <w:t>理论投资者可</w:t>
      </w:r>
    </w:p>
    <w:p w:rsidR="00B4308E" w:rsidRDefault="00B4308E" w:rsidP="00B4308E">
      <w:r>
        <w:rPr>
          <w:rFonts w:hint="eastAsia"/>
        </w:rPr>
        <w:t>能产生的错误定价水平设定一个近似的上限，</w:t>
      </w:r>
      <w:proofErr w:type="spellStart"/>
      <w:r>
        <w:t>Barberis</w:t>
      </w:r>
      <w:proofErr w:type="spellEnd"/>
      <w:r>
        <w:t>，</w:t>
      </w:r>
      <w:proofErr w:type="spellStart"/>
      <w:r>
        <w:t>Jin</w:t>
      </w:r>
      <w:proofErr w:type="spellEnd"/>
      <w:r>
        <w:t xml:space="preserve"> 和Wang(2021)从产生</w:t>
      </w:r>
    </w:p>
    <w:p w:rsidR="00B4308E" w:rsidRDefault="00B4308E" w:rsidP="00B4308E">
      <w:r>
        <w:t>6%股权溢价的(</w:t>
      </w:r>
      <w:r>
        <w:rPr>
          <w:rFonts w:ascii="Cambria Math" w:hAnsi="Cambria Math" w:cs="Cambria Math"/>
        </w:rPr>
        <w:t>𝛾̂</w:t>
      </w:r>
      <w:r>
        <w:t>,</w:t>
      </w:r>
      <w:r>
        <w:rPr>
          <w:rFonts w:ascii="Cambria Math" w:hAnsi="Cambria Math" w:cs="Cambria Math"/>
        </w:rPr>
        <w:t>𝑏</w:t>
      </w:r>
      <w:r>
        <w:t xml:space="preserve"> </w:t>
      </w:r>
      <w:r>
        <w:rPr>
          <w:rFonts w:ascii="MS Gothic" w:eastAsia="MS Gothic" w:hAnsi="MS Gothic" w:cs="MS Gothic" w:hint="eastAsia"/>
        </w:rPr>
        <w:t>̂</w:t>
      </w:r>
      <w:r>
        <w:t xml:space="preserve"> 0)中选择一个</w:t>
      </w:r>
      <w:r>
        <w:rPr>
          <w:rFonts w:ascii="Cambria Math" w:hAnsi="Cambria Math" w:cs="Cambria Math"/>
        </w:rPr>
        <w:t>𝑏</w:t>
      </w:r>
      <w:r>
        <w:t xml:space="preserve"> </w:t>
      </w:r>
      <w:r>
        <w:rPr>
          <w:rFonts w:ascii="MS Gothic" w:eastAsia="MS Gothic" w:hAnsi="MS Gothic" w:cs="MS Gothic" w:hint="eastAsia"/>
        </w:rPr>
        <w:t>̂</w:t>
      </w:r>
    </w:p>
    <w:p w:rsidR="00B4308E" w:rsidRDefault="00B4308E" w:rsidP="00B4308E">
      <w:r>
        <w:t>0最高的，但仍能产生合理的分散化不足水平的</w:t>
      </w:r>
    </w:p>
    <w:p w:rsidR="00B4308E" w:rsidRDefault="00B4308E" w:rsidP="00B4308E">
      <w:r>
        <w:t>(</w:t>
      </w:r>
      <w:r>
        <w:rPr>
          <w:rFonts w:ascii="Cambria Math" w:hAnsi="Cambria Math" w:cs="Cambria Math"/>
        </w:rPr>
        <w:t>𝛾̂</w:t>
      </w:r>
      <w:r>
        <w:t>,</w:t>
      </w:r>
      <w:r>
        <w:rPr>
          <w:rFonts w:ascii="Cambria Math" w:hAnsi="Cambria Math" w:cs="Cambria Math"/>
        </w:rPr>
        <w:t>𝑏</w:t>
      </w:r>
      <w:r>
        <w:t xml:space="preserve"> </w:t>
      </w:r>
      <w:r>
        <w:rPr>
          <w:rFonts w:ascii="MS Gothic" w:eastAsia="MS Gothic" w:hAnsi="MS Gothic" w:cs="MS Gothic" w:hint="eastAsia"/>
        </w:rPr>
        <w:t>̂</w:t>
      </w:r>
      <w:r>
        <w:t xml:space="preserve"> 0) = (0.6,0.6)，本文也选择设置(</w:t>
      </w:r>
      <w:r>
        <w:rPr>
          <w:rFonts w:ascii="Cambria Math" w:hAnsi="Cambria Math" w:cs="Cambria Math"/>
        </w:rPr>
        <w:t>𝛾̂</w:t>
      </w:r>
      <w:r>
        <w:t>,</w:t>
      </w:r>
      <w:r>
        <w:rPr>
          <w:rFonts w:ascii="Cambria Math" w:hAnsi="Cambria Math" w:cs="Cambria Math"/>
        </w:rPr>
        <w:t>𝑏</w:t>
      </w:r>
      <w:r>
        <w:t xml:space="preserve"> </w:t>
      </w:r>
      <w:r>
        <w:rPr>
          <w:rFonts w:ascii="MS Gothic" w:eastAsia="MS Gothic" w:hAnsi="MS Gothic" w:cs="MS Gothic" w:hint="eastAsia"/>
        </w:rPr>
        <w:t>̂</w:t>
      </w:r>
      <w:r>
        <w:t xml:space="preserve"> 0) = (0.6,0.6)。接下来设定前景理论偏好</w:t>
      </w:r>
    </w:p>
    <w:p w:rsidR="00B4308E" w:rsidRDefault="00B4308E" w:rsidP="00B4308E">
      <w:r>
        <w:rPr>
          <w:rFonts w:hint="eastAsia"/>
        </w:rPr>
        <w:t>参数</w:t>
      </w:r>
      <w:r>
        <w:rPr>
          <w:rFonts w:ascii="Cambria Math" w:hAnsi="Cambria Math" w:cs="Cambria Math"/>
        </w:rPr>
        <w:t>𝛼</w:t>
      </w:r>
      <w:r>
        <w:t>、</w:t>
      </w:r>
      <w:r>
        <w:rPr>
          <w:rFonts w:ascii="Cambria Math" w:hAnsi="Cambria Math" w:cs="Cambria Math"/>
        </w:rPr>
        <w:t>𝛿</w:t>
      </w:r>
      <w:r>
        <w:t>和</w:t>
      </w:r>
      <w:r>
        <w:rPr>
          <w:rFonts w:ascii="Cambria Math" w:hAnsi="Cambria Math" w:cs="Cambria Math"/>
        </w:rPr>
        <w:t>𝜆</w:t>
      </w:r>
      <w:r>
        <w:t>。一组著名的参数值(</w:t>
      </w:r>
      <w:r>
        <w:rPr>
          <w:rFonts w:ascii="Cambria Math" w:hAnsi="Cambria Math" w:cs="Cambria Math"/>
        </w:rPr>
        <w:t>𝛼</w:t>
      </w:r>
      <w:r>
        <w:t xml:space="preserve">, </w:t>
      </w:r>
      <w:r>
        <w:rPr>
          <w:rFonts w:ascii="Cambria Math" w:hAnsi="Cambria Math" w:cs="Cambria Math"/>
        </w:rPr>
        <w:t>𝛿</w:t>
      </w:r>
      <w:r>
        <w:t xml:space="preserve">, </w:t>
      </w:r>
      <w:r>
        <w:rPr>
          <w:rFonts w:ascii="Cambria Math" w:hAnsi="Cambria Math" w:cs="Cambria Math"/>
        </w:rPr>
        <w:t>𝜆</w:t>
      </w:r>
      <w:r>
        <w:t>)来自Tversky 和Kahneman(1992)，他们</w:t>
      </w:r>
    </w:p>
    <w:p w:rsidR="00B4308E" w:rsidRDefault="00B4308E" w:rsidP="00B4308E">
      <w:r>
        <w:rPr>
          <w:rFonts w:hint="eastAsia"/>
        </w:rPr>
        <w:t>通过实验得到前景理论偏好参数</w:t>
      </w:r>
      <w:r>
        <w:t>(</w:t>
      </w:r>
      <w:r>
        <w:rPr>
          <w:rFonts w:ascii="Cambria Math" w:hAnsi="Cambria Math" w:cs="Cambria Math"/>
        </w:rPr>
        <w:t>𝛼</w:t>
      </w:r>
      <w:r>
        <w:t xml:space="preserve">, </w:t>
      </w:r>
      <w:r>
        <w:rPr>
          <w:rFonts w:ascii="Cambria Math" w:hAnsi="Cambria Math" w:cs="Cambria Math"/>
        </w:rPr>
        <w:t>𝛿</w:t>
      </w:r>
      <w:r>
        <w:t xml:space="preserve">, </w:t>
      </w:r>
      <w:r>
        <w:rPr>
          <w:rFonts w:ascii="Cambria Math" w:hAnsi="Cambria Math" w:cs="Cambria Math"/>
        </w:rPr>
        <w:t>𝜆</w:t>
      </w:r>
      <w:r>
        <w:t>) = (0.88,0.65,2.25)。然而这些估计是近</w:t>
      </w:r>
    </w:p>
    <w:p w:rsidR="00B4308E" w:rsidRDefault="00B4308E" w:rsidP="00B4308E">
      <w:r>
        <w:t>30 年前的事了，而且实验参与者的数量较少。鉴于这些参数的赋值对结果的影响</w:t>
      </w:r>
    </w:p>
    <w:p w:rsidR="00B4308E" w:rsidRDefault="00B4308E" w:rsidP="00B4308E">
      <w:r>
        <w:rPr>
          <w:rFonts w:hint="eastAsia"/>
        </w:rPr>
        <w:t>较大，</w:t>
      </w:r>
      <w:proofErr w:type="spellStart"/>
      <w:r>
        <w:t>Barberis</w:t>
      </w:r>
      <w:proofErr w:type="spellEnd"/>
      <w:r>
        <w:t>，</w:t>
      </w:r>
      <w:proofErr w:type="spellStart"/>
      <w:r>
        <w:t>Jin</w:t>
      </w:r>
      <w:proofErr w:type="spellEnd"/>
      <w:r>
        <w:t xml:space="preserve"> 和Wang(2021)研究了许多文件，最终将其设定为(</w:t>
      </w:r>
      <w:r>
        <w:rPr>
          <w:rFonts w:ascii="Cambria Math" w:hAnsi="Cambria Math" w:cs="Cambria Math"/>
        </w:rPr>
        <w:t>𝛼</w:t>
      </w:r>
      <w:r>
        <w:t xml:space="preserve">, </w:t>
      </w:r>
      <w:r>
        <w:rPr>
          <w:rFonts w:ascii="Cambria Math" w:hAnsi="Cambria Math" w:cs="Cambria Math"/>
        </w:rPr>
        <w:t>𝛿</w:t>
      </w:r>
      <w:r>
        <w:t xml:space="preserve">, </w:t>
      </w:r>
      <w:r>
        <w:rPr>
          <w:rFonts w:ascii="Cambria Math" w:hAnsi="Cambria Math" w:cs="Cambria Math"/>
        </w:rPr>
        <w:t>𝜆</w:t>
      </w:r>
      <w:r>
        <w:t>) =</w:t>
      </w:r>
    </w:p>
    <w:p w:rsidR="00B4308E" w:rsidRDefault="00B4308E" w:rsidP="00B4308E">
      <w:r>
        <w:t>(0.7, 0.65, 1.5)，本文同样选择(</w:t>
      </w:r>
      <w:r>
        <w:rPr>
          <w:rFonts w:ascii="Cambria Math" w:hAnsi="Cambria Math" w:cs="Cambria Math"/>
        </w:rPr>
        <w:t>𝛼</w:t>
      </w:r>
      <w:r>
        <w:t xml:space="preserve">, </w:t>
      </w:r>
      <w:r>
        <w:rPr>
          <w:rFonts w:ascii="Cambria Math" w:hAnsi="Cambria Math" w:cs="Cambria Math"/>
        </w:rPr>
        <w:t>𝛿</w:t>
      </w:r>
      <w:r>
        <w:t xml:space="preserve">, </w:t>
      </w:r>
      <w:r>
        <w:rPr>
          <w:rFonts w:ascii="Cambria Math" w:hAnsi="Cambria Math" w:cs="Cambria Math"/>
        </w:rPr>
        <w:t>𝜆</w:t>
      </w:r>
      <w:r>
        <w:t>) = (0.7, 0.65, 1.5)。最后将</w:t>
      </w:r>
      <w:r>
        <w:rPr>
          <w:rFonts w:ascii="Cambria Math" w:hAnsi="Cambria Math" w:cs="Cambria Math"/>
        </w:rPr>
        <w:t>𝜃𝑖</w:t>
      </w:r>
      <w:r>
        <w:t>,</w:t>
      </w:r>
      <w:r>
        <w:rPr>
          <w:rFonts w:ascii="微软雅黑" w:eastAsia="微软雅黑" w:hAnsi="微软雅黑" w:cs="微软雅黑" w:hint="eastAsia"/>
        </w:rPr>
        <w:t>−</w:t>
      </w:r>
      <w:r>
        <w:t>1即投资者在</w:t>
      </w:r>
      <w:r>
        <w:rPr>
          <w:rFonts w:ascii="微软雅黑" w:eastAsia="微软雅黑" w:hAnsi="微软雅黑" w:cs="微软雅黑" w:hint="eastAsia"/>
        </w:rPr>
        <w:t>−</w:t>
      </w:r>
      <w:r>
        <w:t>1</w:t>
      </w:r>
    </w:p>
    <w:p w:rsidR="00B4308E" w:rsidRDefault="00B4308E" w:rsidP="00B4308E">
      <w:r>
        <w:rPr>
          <w:rFonts w:hint="eastAsia"/>
        </w:rPr>
        <w:t>时刻对股票</w:t>
      </w:r>
      <w:r>
        <w:rPr>
          <w:rFonts w:ascii="Cambria Math" w:hAnsi="Cambria Math" w:cs="Cambria Math"/>
        </w:rPr>
        <w:t>𝑖</w:t>
      </w:r>
      <w:r>
        <w:t>的分配设定为中性值，即</w:t>
      </w:r>
      <w:r>
        <w:rPr>
          <w:rFonts w:ascii="Cambria Math" w:hAnsi="Cambria Math" w:cs="Cambria Math"/>
        </w:rPr>
        <w:t>𝜃𝑀</w:t>
      </w:r>
      <w:r>
        <w:t>,</w:t>
      </w:r>
      <w:r>
        <w:rPr>
          <w:rFonts w:ascii="Cambria Math" w:hAnsi="Cambria Math" w:cs="Cambria Math"/>
        </w:rPr>
        <w:t>𝑖</w:t>
      </w:r>
      <w:r>
        <w:t xml:space="preserve"> ,股票</w:t>
      </w:r>
      <w:r>
        <w:rPr>
          <w:rFonts w:ascii="Cambria Math" w:hAnsi="Cambria Math" w:cs="Cambria Math"/>
        </w:rPr>
        <w:t>𝑖</w:t>
      </w:r>
      <w:r>
        <w:t>在市场风险资产组合中的权重。</w:t>
      </w:r>
    </w:p>
    <w:p w:rsidR="00916292" w:rsidRDefault="00916292" w:rsidP="00B4308E">
      <w:pPr>
        <w:rPr>
          <w:rFonts w:hint="eastAsia"/>
        </w:rPr>
      </w:pPr>
    </w:p>
    <w:p w:rsidR="00B4308E" w:rsidRDefault="00B4308E" w:rsidP="00B4308E">
      <w:r>
        <w:t>4.3 A 股市场实证结果</w:t>
      </w:r>
    </w:p>
    <w:p w:rsidR="00B4308E" w:rsidRDefault="00B4308E" w:rsidP="00B4308E">
      <w:r>
        <w:rPr>
          <w:rFonts w:hint="eastAsia"/>
        </w:rPr>
        <w:t>为了确定模型是否能解释某特定市场异象，重点观察市场异象的</w:t>
      </w:r>
      <w:r>
        <w:rPr>
          <w:rFonts w:ascii="Cambria Math" w:hAnsi="Cambria Math" w:cs="Cambria Math"/>
        </w:rPr>
        <w:t>𝛼</w:t>
      </w:r>
      <w:r>
        <w:t>值。对于某</w:t>
      </w:r>
    </w:p>
    <w:p w:rsidR="00B4308E" w:rsidRDefault="00B4308E" w:rsidP="00B4308E">
      <w:r>
        <w:t>39</w:t>
      </w:r>
    </w:p>
    <w:p w:rsidR="00B4308E" w:rsidRDefault="00B4308E" w:rsidP="00B4308E">
      <w:proofErr w:type="gramStart"/>
      <w:r>
        <w:rPr>
          <w:rFonts w:hint="eastAsia"/>
        </w:rPr>
        <w:t>个</w:t>
      </w:r>
      <w:proofErr w:type="gramEnd"/>
      <w:r>
        <w:rPr>
          <w:rFonts w:hint="eastAsia"/>
        </w:rPr>
        <w:t>特定的市场异象，计算</w:t>
      </w:r>
      <w:r>
        <w:t>1997 年1 月至202</w:t>
      </w:r>
      <w:r w:rsidR="00916292">
        <w:t>3</w:t>
      </w:r>
      <w:r>
        <w:t xml:space="preserve"> 年</w:t>
      </w:r>
      <w:r w:rsidR="00916292">
        <w:t>3</w:t>
      </w:r>
      <w:r>
        <w:t xml:space="preserve">月股票样本中10 </w:t>
      </w:r>
      <w:proofErr w:type="gramStart"/>
      <w:r>
        <w:t>个</w:t>
      </w:r>
      <w:proofErr w:type="gramEnd"/>
      <w:r>
        <w:t>异象十分</w:t>
      </w:r>
    </w:p>
    <w:p w:rsidR="00B4308E" w:rsidRDefault="00B4308E" w:rsidP="00B4308E">
      <w:proofErr w:type="gramStart"/>
      <w:r>
        <w:rPr>
          <w:rFonts w:hint="eastAsia"/>
        </w:rPr>
        <w:t>位组的</w:t>
      </w:r>
      <w:proofErr w:type="gramEnd"/>
      <w:r>
        <w:rPr>
          <w:rFonts w:hint="eastAsia"/>
        </w:rPr>
        <w:t>经验</w:t>
      </w:r>
      <w:r>
        <w:rPr>
          <w:rFonts w:ascii="Cambria Math" w:hAnsi="Cambria Math" w:cs="Cambria Math"/>
        </w:rPr>
        <w:t>𝛼</w:t>
      </w:r>
      <w:r>
        <w:t>值，具体来说，就是利用每一组股票的月度收益率，通过回归计算加</w:t>
      </w:r>
    </w:p>
    <w:p w:rsidR="00B4308E" w:rsidRDefault="00B4308E" w:rsidP="00B4308E">
      <w:proofErr w:type="gramStart"/>
      <w:r>
        <w:rPr>
          <w:rFonts w:hint="eastAsia"/>
        </w:rPr>
        <w:t>权平均</w:t>
      </w:r>
      <w:proofErr w:type="gramEnd"/>
      <w:r>
        <w:rPr>
          <w:rFonts w:hint="eastAsia"/>
        </w:rPr>
        <w:t>的</w:t>
      </w:r>
      <w:r>
        <w:t>CAPM 模型的</w:t>
      </w:r>
      <w:r>
        <w:rPr>
          <w:rFonts w:ascii="Cambria Math" w:hAnsi="Cambria Math" w:cs="Cambria Math"/>
        </w:rPr>
        <w:t>𝛼</w:t>
      </w:r>
      <w:r>
        <w:t>值3，再将其年化，并以</w:t>
      </w:r>
      <w:r>
        <w:rPr>
          <w:rFonts w:ascii="Cambria Math" w:hAnsi="Cambria Math" w:cs="Cambria Math"/>
        </w:rPr>
        <w:t>𝛼𝑑</w:t>
      </w:r>
      <w:r>
        <w:t xml:space="preserve">(1), … , </w:t>
      </w:r>
      <w:r>
        <w:rPr>
          <w:rFonts w:ascii="Cambria Math" w:hAnsi="Cambria Math" w:cs="Cambria Math"/>
        </w:rPr>
        <w:t>𝛼𝑑</w:t>
      </w:r>
      <w:r>
        <w:t xml:space="preserve"> (10)表示，其中的</w:t>
      </w:r>
    </w:p>
    <w:p w:rsidR="00B4308E" w:rsidRDefault="00B4308E" w:rsidP="00B4308E">
      <w:r>
        <w:rPr>
          <w:rFonts w:hint="eastAsia"/>
        </w:rPr>
        <w:t>“</w:t>
      </w:r>
      <w:r>
        <w:rPr>
          <w:rFonts w:ascii="Cambria Math" w:hAnsi="Cambria Math" w:cs="Cambria Math"/>
        </w:rPr>
        <w:t>𝑑</w:t>
      </w:r>
      <w:r>
        <w:t xml:space="preserve">”上标代表“数据”。然后计算模型对10 </w:t>
      </w:r>
      <w:proofErr w:type="gramStart"/>
      <w:r>
        <w:t>个十分位组预测</w:t>
      </w:r>
      <w:proofErr w:type="gramEnd"/>
      <w:r>
        <w:t>出来的期望收益的</w:t>
      </w:r>
      <w:r>
        <w:rPr>
          <w:rFonts w:ascii="Cambria Math" w:hAnsi="Cambria Math" w:cs="Cambria Math"/>
        </w:rPr>
        <w:t>𝛼</w:t>
      </w:r>
    </w:p>
    <w:p w:rsidR="00B4308E" w:rsidRDefault="00B4308E" w:rsidP="00B4308E">
      <w:r>
        <w:rPr>
          <w:rFonts w:hint="eastAsia"/>
        </w:rPr>
        <w:t>值，并以</w:t>
      </w:r>
      <w:r>
        <w:rPr>
          <w:rFonts w:ascii="Cambria Math" w:hAnsi="Cambria Math" w:cs="Cambria Math"/>
        </w:rPr>
        <w:t>𝛼𝑚</w:t>
      </w:r>
      <w:r>
        <w:t xml:space="preserve">(1), … , </w:t>
      </w:r>
      <w:r>
        <w:rPr>
          <w:rFonts w:ascii="Cambria Math" w:hAnsi="Cambria Math" w:cs="Cambria Math"/>
        </w:rPr>
        <w:t>𝛼𝑚</w:t>
      </w:r>
      <w:r>
        <w:t>(10)表示，其中“</w:t>
      </w:r>
      <w:r>
        <w:rPr>
          <w:rFonts w:ascii="Cambria Math" w:hAnsi="Cambria Math" w:cs="Cambria Math"/>
        </w:rPr>
        <w:t>𝑚</w:t>
      </w:r>
      <w:r>
        <w:t>”代表“模型”。由于在每个十分位组</w:t>
      </w:r>
    </w:p>
    <w:p w:rsidR="00B4308E" w:rsidRDefault="00B4308E" w:rsidP="00B4308E">
      <w:r>
        <w:rPr>
          <w:rFonts w:hint="eastAsia"/>
        </w:rPr>
        <w:t>内，所有股票都是相同的，因此具有相同的期望收益和</w:t>
      </w:r>
      <w:r>
        <w:rPr>
          <w:rFonts w:ascii="Cambria Math" w:hAnsi="Cambria Math" w:cs="Cambria Math"/>
        </w:rPr>
        <w:t>𝛼</w:t>
      </w:r>
      <w:r>
        <w:t>值，可以使用某一特定组</w:t>
      </w:r>
    </w:p>
    <w:p w:rsidR="00B4308E" w:rsidRDefault="00B4308E" w:rsidP="00B4308E">
      <w:r>
        <w:rPr>
          <w:rFonts w:hint="eastAsia"/>
        </w:rPr>
        <w:t>中任意一只股票</w:t>
      </w:r>
      <w:r>
        <w:rPr>
          <w:rFonts w:ascii="Cambria Math" w:hAnsi="Cambria Math" w:cs="Cambria Math"/>
        </w:rPr>
        <w:t>𝛼</w:t>
      </w:r>
      <w:r>
        <w:t>值，作为</w:t>
      </w:r>
      <w:proofErr w:type="gramStart"/>
      <w:r>
        <w:t>该十分位组股票</w:t>
      </w:r>
      <w:proofErr w:type="gramEnd"/>
      <w:r>
        <w:t>的</w:t>
      </w:r>
      <w:r>
        <w:rPr>
          <w:rFonts w:ascii="Cambria Math" w:hAnsi="Cambria Math" w:cs="Cambria Math"/>
        </w:rPr>
        <w:t>𝛼</w:t>
      </w:r>
      <w:r>
        <w:t>值，例如，第1 组中股票的</w:t>
      </w:r>
      <w:r>
        <w:rPr>
          <w:rFonts w:ascii="Cambria Math" w:hAnsi="Cambria Math" w:cs="Cambria Math"/>
        </w:rPr>
        <w:t>𝛼</w:t>
      </w:r>
      <w:r>
        <w:t>值可</w:t>
      </w:r>
    </w:p>
    <w:p w:rsidR="00B4308E" w:rsidRDefault="00B4308E" w:rsidP="00B4308E">
      <w:r>
        <w:rPr>
          <w:rFonts w:hint="eastAsia"/>
        </w:rPr>
        <w:t>以使用排序为第</w:t>
      </w:r>
      <w:r>
        <w:t>100l 的股票的</w:t>
      </w:r>
      <w:r>
        <w:rPr>
          <w:rFonts w:ascii="Cambria Math" w:hAnsi="Cambria Math" w:cs="Cambria Math"/>
        </w:rPr>
        <w:t>𝛼</w:t>
      </w:r>
      <w:r>
        <w:t>值：</w:t>
      </w:r>
    </w:p>
    <w:p w:rsidR="00F32046" w:rsidRDefault="00F32046" w:rsidP="00B4308E">
      <w:r>
        <w:rPr>
          <w:rFonts w:hint="eastAsia"/>
          <w:noProof/>
        </w:rPr>
        <w:drawing>
          <wp:inline distT="0" distB="0" distL="0" distR="0">
            <wp:extent cx="2583185" cy="213360"/>
            <wp:effectExtent l="0" t="0" r="7620" b="0"/>
            <wp:docPr id="1773872550" name="图片 18" descr="%FontSize=10.5&#10;%TeXFontSize=10.5&#10;\documentclass{article}&#10;\pagestyle{empty}&#10;\begin{document}&#10;\[&#10;\alpha^m(l)=\left(\bar{R}_{100l}-\left(R_f+\beta_{100l}\left(\bar{R}_M-R_f\right)\right)+1\right)^4-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72550" name="图片 18" descr="%FontSize=10.5&#10;%TeXFontSize=10.5&#10;\documentclass{article}&#10;\pagestyle{empty}&#10;\begin{document}&#10;\[&#10;\alpha^m(l)=\left(\bar{R}_{100l}-\left(R_f+\beta_{100l}\left(\bar{R}_M-R_f\right)\right)+1\right)^4-1,&#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2583185" cy="213360"/>
                    </a:xfrm>
                    <a:prstGeom prst="rect">
                      <a:avLst/>
                    </a:prstGeom>
                  </pic:spPr>
                </pic:pic>
              </a:graphicData>
            </a:graphic>
          </wp:inline>
        </w:drawing>
      </w:r>
    </w:p>
    <w:p w:rsidR="00F32046" w:rsidRDefault="00F32046" w:rsidP="00F32046">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其</w:t>
      </w:r>
      <w:r>
        <w:rPr>
          <w:rFonts w:ascii="宋体" w:eastAsia="宋体" w:cs="宋体" w:hint="eastAsia"/>
          <w:kern w:val="0"/>
          <w:sz w:val="24"/>
          <w:szCs w:val="24"/>
        </w:rPr>
        <w:t>中</w:t>
      </w:r>
      <w:r w:rsidRPr="00F32046">
        <w:rPr>
          <w:rFonts w:ascii="宋体" w:eastAsia="宋体" w:cs="宋体"/>
          <w:noProof/>
          <w:kern w:val="0"/>
          <w:position w:val="-24"/>
          <w:sz w:val="24"/>
          <w:szCs w:val="24"/>
        </w:rPr>
        <w:drawing>
          <wp:inline distT="0" distB="0" distL="0" distR="0">
            <wp:extent cx="969266" cy="441961"/>
            <wp:effectExtent l="0" t="0" r="2540" b="0"/>
            <wp:docPr id="1430314337" name="图片 19" descr="%FontSize=12&#10;%TeXFontSize=12&#10;\documentclass{article}&#10;\pagestyle{empty}&#10;\begin{document}&#10;\[&#10;\bar{R}_M=\sum_{i=1}^N\theta_{M,i}\bar{R}_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14337" name="图片 19" descr="%FontSize=12&#10;%TeXFontSize=12&#10;\documentclass{article}&#10;\pagestyle{empty}&#10;\begin{document}&#10;\[&#10;\bar{R}_M=\sum_{i=1}^N\theta_{M,i}\bar{R}_i&#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69266" cy="441961"/>
                    </a:xfrm>
                    <a:prstGeom prst="rect">
                      <a:avLst/>
                    </a:prstGeom>
                  </pic:spPr>
                </pic:pic>
              </a:graphicData>
            </a:graphic>
          </wp:inline>
        </w:drawing>
      </w:r>
      <w:r>
        <w:rPr>
          <w:rFonts w:ascii="宋体" w:eastAsia="宋体" w:cs="宋体" w:hint="eastAsia"/>
          <w:kern w:val="0"/>
          <w:sz w:val="24"/>
          <w:szCs w:val="24"/>
        </w:rPr>
        <w:t>.</w:t>
      </w:r>
      <w:r>
        <w:rPr>
          <w:rFonts w:ascii="宋体" w:eastAsia="宋体" w:cs="宋体" w:hint="eastAsia"/>
          <w:kern w:val="0"/>
          <w:sz w:val="24"/>
          <w:szCs w:val="24"/>
        </w:rPr>
        <w:t>因为模型中预测出来的期望收益率是季度收益率，</w:t>
      </w:r>
      <w:r w:rsidRPr="00F32046">
        <w:rPr>
          <w:rFonts w:ascii="宋体" w:eastAsia="宋体" w:cs="宋体"/>
          <w:noProof/>
          <w:kern w:val="0"/>
          <w:position w:val="-10"/>
          <w:sz w:val="24"/>
          <w:szCs w:val="24"/>
        </w:rPr>
        <w:lastRenderedPageBreak/>
        <w:drawing>
          <wp:inline distT="0" distB="0" distL="0" distR="0">
            <wp:extent cx="1950724" cy="222504"/>
            <wp:effectExtent l="0" t="0" r="0" b="6350"/>
            <wp:docPr id="1030732019" name="图片 20" descr="%FontSize=12&#10;%TeXFontSize=12&#10;\documentclass{article}&#10;\pagestyle{empty}&#10;\begin{document}&#10;\[&#10;\left(\bar{R}_{100l}-\left(R_f+\beta_{100l}\left(\bar{R}_M-R_f\right)\right)\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32019" name="图片 20" descr="%FontSize=12&#10;%TeXFontSize=12&#10;\documentclass{article}&#10;\pagestyle{empty}&#10;\begin{document}&#10;\[&#10;\left(\bar{R}_{100l}-\left(R_f+\beta_{100l}\left(\bar{R}_M-R_f\right)\right)\right)&#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1950724" cy="222504"/>
                    </a:xfrm>
                    <a:prstGeom prst="rect">
                      <a:avLst/>
                    </a:prstGeom>
                  </pic:spPr>
                </pic:pic>
              </a:graphicData>
            </a:graphic>
          </wp:inline>
        </w:drawing>
      </w:r>
      <w:r>
        <w:rPr>
          <w:rFonts w:ascii="宋体" w:eastAsia="宋体" w:cs="宋体" w:hint="eastAsia"/>
          <w:kern w:val="0"/>
          <w:sz w:val="24"/>
          <w:szCs w:val="24"/>
        </w:rPr>
        <w:t>为季度的</w:t>
      </w:r>
      <w:r>
        <w:rPr>
          <w:rFonts w:ascii="Cambria Math" w:eastAsia="CambriaMath" w:hAnsi="Cambria Math" w:cs="Cambria Math"/>
          <w:kern w:val="0"/>
          <w:sz w:val="24"/>
          <w:szCs w:val="24"/>
        </w:rPr>
        <w:t>𝛼</w:t>
      </w:r>
      <w:r>
        <w:rPr>
          <w:rFonts w:ascii="宋体" w:eastAsia="宋体" w:cs="宋体" w:hint="eastAsia"/>
          <w:kern w:val="0"/>
          <w:sz w:val="24"/>
          <w:szCs w:val="24"/>
        </w:rPr>
        <w:t>值，为了方便比较，将其年化。</w:t>
      </w:r>
      <w:r w:rsidR="00B67400" w:rsidRPr="00B67400">
        <w:rPr>
          <w:rFonts w:ascii="宋体" w:eastAsia="宋体" w:cs="宋体" w:hint="eastAsia"/>
          <w:kern w:val="0"/>
          <w:sz w:val="24"/>
          <w:szCs w:val="24"/>
        </w:rPr>
        <w:t>定义模型能够解释市场异象，如果</w:t>
      </w:r>
      <w:r w:rsidR="00B67400">
        <w:rPr>
          <w:rFonts w:ascii="宋体" w:eastAsia="宋体" w:cs="宋体" w:hint="eastAsia"/>
          <w:kern w:val="0"/>
          <w:sz w:val="24"/>
          <w:szCs w:val="24"/>
        </w:rPr>
        <w:t>:</w:t>
      </w:r>
    </w:p>
    <w:p w:rsidR="00B67400" w:rsidRDefault="00B67400" w:rsidP="00F32046">
      <w:pPr>
        <w:autoSpaceDE w:val="0"/>
        <w:autoSpaceDN w:val="0"/>
        <w:adjustRightInd w:val="0"/>
        <w:jc w:val="left"/>
        <w:rPr>
          <w:rFonts w:ascii="宋体" w:eastAsia="宋体" w:cs="宋体"/>
          <w:kern w:val="0"/>
          <w:sz w:val="24"/>
          <w:szCs w:val="24"/>
        </w:rPr>
      </w:pPr>
      <w:r>
        <w:rPr>
          <w:rFonts w:ascii="宋体" w:eastAsia="宋体" w:cs="宋体" w:hint="eastAsia"/>
          <w:noProof/>
          <w:kern w:val="0"/>
          <w:sz w:val="24"/>
          <w:szCs w:val="24"/>
        </w:rPr>
        <w:drawing>
          <wp:inline distT="0" distB="0" distL="0" distR="0">
            <wp:extent cx="2807214" cy="413005"/>
            <wp:effectExtent l="0" t="0" r="0" b="6350"/>
            <wp:docPr id="49813901" name="图片 21" descr="%FontSize=12&#10;%TeXFontSize=12&#10;\documentclass{article}&#10;\pagestyle{empty}&#10;\begin{document}&#10;\[&#10;\begin{gathered}&#10;sign\left(\alpha^d(10)-\alpha^d(1)\right)=sign\left(\alpha^m(10)-\alpha^m(1)\right) \\&#10;\text{H}|\alpha^m(10)-\alpha^m(1)|&gt;1.5\% &#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3901" name="图片 21" descr="%FontSize=12&#10;%TeXFontSize=12&#10;\documentclass{article}&#10;\pagestyle{empty}&#10;\begin{document}&#10;\[&#10;\begin{gathered}&#10;sign\left(\alpha^d(10)-\alpha^d(1)\right)=sign\left(\alpha^m(10)-\alpha^m(1)\right) \\&#10;\text{H}|\alpha^m(10)-\alpha^m(1)|&gt;1.5\% &#10;\end{gathered}&#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2807214" cy="413005"/>
                    </a:xfrm>
                    <a:prstGeom prst="rect">
                      <a:avLst/>
                    </a:prstGeom>
                  </pic:spPr>
                </pic:pic>
              </a:graphicData>
            </a:graphic>
          </wp:inline>
        </w:drawing>
      </w:r>
    </w:p>
    <w:p w:rsidR="00B67400" w:rsidRPr="00B67400" w:rsidRDefault="00B67400" w:rsidP="00B67400">
      <w:pPr>
        <w:autoSpaceDE w:val="0"/>
        <w:autoSpaceDN w:val="0"/>
        <w:adjustRightInd w:val="0"/>
        <w:jc w:val="left"/>
        <w:rPr>
          <w:rFonts w:ascii="宋体" w:eastAsia="宋体" w:cs="宋体"/>
          <w:kern w:val="0"/>
          <w:sz w:val="24"/>
          <w:szCs w:val="24"/>
        </w:rPr>
      </w:pPr>
      <w:r w:rsidRPr="00B67400">
        <w:rPr>
          <w:rFonts w:ascii="宋体" w:eastAsia="宋体" w:cs="宋体" w:hint="eastAsia"/>
          <w:kern w:val="0"/>
          <w:sz w:val="24"/>
          <w:szCs w:val="24"/>
        </w:rPr>
        <w:t>上式</w:t>
      </w:r>
      <w:r w:rsidRPr="00B67400">
        <w:rPr>
          <w:rFonts w:ascii="宋体" w:eastAsia="宋体" w:cs="宋体"/>
          <w:kern w:val="0"/>
          <w:sz w:val="24"/>
          <w:szCs w:val="24"/>
        </w:rPr>
        <w:t>(4.6)中的第一个条件是说明，模型正确地预测了</w:t>
      </w:r>
      <w:r w:rsidRPr="00B67400">
        <w:rPr>
          <w:rFonts w:ascii="Cambria Math" w:eastAsia="宋体" w:hAnsi="Cambria Math" w:cs="Cambria Math"/>
          <w:kern w:val="0"/>
          <w:sz w:val="24"/>
          <w:szCs w:val="24"/>
        </w:rPr>
        <w:t>𝛼𝑑</w:t>
      </w:r>
      <w:r w:rsidRPr="00B67400">
        <w:rPr>
          <w:rFonts w:ascii="宋体" w:eastAsia="宋体" w:cs="宋体"/>
          <w:kern w:val="0"/>
          <w:sz w:val="24"/>
          <w:szCs w:val="24"/>
        </w:rPr>
        <w:t>(10)和</w:t>
      </w:r>
      <w:r w:rsidRPr="00B67400">
        <w:rPr>
          <w:rFonts w:ascii="Cambria Math" w:eastAsia="宋体" w:hAnsi="Cambria Math" w:cs="Cambria Math"/>
          <w:kern w:val="0"/>
          <w:sz w:val="24"/>
          <w:szCs w:val="24"/>
        </w:rPr>
        <w:t>𝛼𝑑</w:t>
      </w:r>
      <w:r w:rsidRPr="00B67400">
        <w:rPr>
          <w:rFonts w:ascii="宋体" w:eastAsia="宋体" w:cs="宋体"/>
          <w:kern w:val="0"/>
          <w:sz w:val="24"/>
          <w:szCs w:val="24"/>
        </w:rPr>
        <w:t xml:space="preserve"> (1)之间的大小</w:t>
      </w:r>
    </w:p>
    <w:p w:rsidR="00B67400" w:rsidRPr="00B67400" w:rsidRDefault="00B67400" w:rsidP="00B67400">
      <w:pPr>
        <w:autoSpaceDE w:val="0"/>
        <w:autoSpaceDN w:val="0"/>
        <w:adjustRightInd w:val="0"/>
        <w:jc w:val="left"/>
        <w:rPr>
          <w:rFonts w:ascii="宋体" w:eastAsia="宋体" w:cs="宋体"/>
          <w:kern w:val="0"/>
          <w:sz w:val="24"/>
          <w:szCs w:val="24"/>
        </w:rPr>
      </w:pPr>
      <w:r w:rsidRPr="00B67400">
        <w:rPr>
          <w:rFonts w:ascii="宋体" w:eastAsia="宋体" w:cs="宋体" w:hint="eastAsia"/>
          <w:kern w:val="0"/>
          <w:sz w:val="24"/>
          <w:szCs w:val="24"/>
        </w:rPr>
        <w:t>关系，换句话说，如果经验上是</w:t>
      </w:r>
      <w:r w:rsidRPr="00B67400">
        <w:rPr>
          <w:rFonts w:ascii="Cambria Math" w:eastAsia="宋体" w:hAnsi="Cambria Math" w:cs="Cambria Math"/>
          <w:kern w:val="0"/>
          <w:sz w:val="24"/>
          <w:szCs w:val="24"/>
        </w:rPr>
        <w:t>𝛼</w:t>
      </w:r>
      <w:r w:rsidRPr="00B67400">
        <w:rPr>
          <w:rFonts w:ascii="宋体" w:eastAsia="宋体" w:cs="宋体"/>
          <w:kern w:val="0"/>
          <w:sz w:val="24"/>
          <w:szCs w:val="24"/>
        </w:rPr>
        <w:t xml:space="preserve">(10) &lt; </w:t>
      </w:r>
      <w:r w:rsidRPr="00B67400">
        <w:rPr>
          <w:rFonts w:ascii="Cambria Math" w:eastAsia="宋体" w:hAnsi="Cambria Math" w:cs="Cambria Math"/>
          <w:kern w:val="0"/>
          <w:sz w:val="24"/>
          <w:szCs w:val="24"/>
        </w:rPr>
        <w:t>𝛼</w:t>
      </w:r>
      <w:r w:rsidRPr="00B67400">
        <w:rPr>
          <w:rFonts w:ascii="宋体" w:eastAsia="宋体" w:cs="宋体"/>
          <w:kern w:val="0"/>
          <w:sz w:val="24"/>
          <w:szCs w:val="24"/>
        </w:rPr>
        <w:t>(1)，则预测出来应该也是</w:t>
      </w:r>
      <w:r w:rsidRPr="00B67400">
        <w:rPr>
          <w:rFonts w:ascii="Cambria Math" w:eastAsia="宋体" w:hAnsi="Cambria Math" w:cs="Cambria Math"/>
          <w:kern w:val="0"/>
          <w:sz w:val="24"/>
          <w:szCs w:val="24"/>
        </w:rPr>
        <w:t>𝛼</w:t>
      </w:r>
      <w:r w:rsidRPr="00B67400">
        <w:rPr>
          <w:rFonts w:ascii="宋体" w:eastAsia="宋体" w:cs="宋体"/>
          <w:kern w:val="0"/>
          <w:sz w:val="24"/>
          <w:szCs w:val="24"/>
        </w:rPr>
        <w:t xml:space="preserve">(10) &lt; </w:t>
      </w:r>
      <w:r w:rsidRPr="00B67400">
        <w:rPr>
          <w:rFonts w:ascii="Cambria Math" w:eastAsia="宋体" w:hAnsi="Cambria Math" w:cs="Cambria Math"/>
          <w:kern w:val="0"/>
          <w:sz w:val="24"/>
          <w:szCs w:val="24"/>
        </w:rPr>
        <w:t>𝛼</w:t>
      </w:r>
      <w:r w:rsidRPr="00B67400">
        <w:rPr>
          <w:rFonts w:ascii="宋体" w:eastAsia="宋体" w:cs="宋体"/>
          <w:kern w:val="0"/>
          <w:sz w:val="24"/>
          <w:szCs w:val="24"/>
        </w:rPr>
        <w:t>(1)，</w:t>
      </w:r>
    </w:p>
    <w:p w:rsidR="00B67400" w:rsidRPr="00B67400" w:rsidRDefault="00B67400" w:rsidP="00B67400">
      <w:pPr>
        <w:autoSpaceDE w:val="0"/>
        <w:autoSpaceDN w:val="0"/>
        <w:adjustRightInd w:val="0"/>
        <w:jc w:val="left"/>
        <w:rPr>
          <w:rFonts w:ascii="宋体" w:eastAsia="宋体" w:cs="宋体"/>
          <w:kern w:val="0"/>
          <w:sz w:val="24"/>
          <w:szCs w:val="24"/>
        </w:rPr>
      </w:pPr>
      <w:r w:rsidRPr="00B67400">
        <w:rPr>
          <w:rFonts w:ascii="宋体" w:eastAsia="宋体" w:cs="宋体" w:hint="eastAsia"/>
          <w:kern w:val="0"/>
          <w:sz w:val="24"/>
          <w:szCs w:val="24"/>
        </w:rPr>
        <w:t>如果经验上是</w:t>
      </w:r>
      <w:r w:rsidRPr="00B67400">
        <w:rPr>
          <w:rFonts w:ascii="Cambria Math" w:eastAsia="宋体" w:hAnsi="Cambria Math" w:cs="Cambria Math"/>
          <w:kern w:val="0"/>
          <w:sz w:val="24"/>
          <w:szCs w:val="24"/>
        </w:rPr>
        <w:t>𝛼</w:t>
      </w:r>
      <w:r w:rsidRPr="00B67400">
        <w:rPr>
          <w:rFonts w:ascii="宋体" w:eastAsia="宋体" w:cs="宋体"/>
          <w:kern w:val="0"/>
          <w:sz w:val="24"/>
          <w:szCs w:val="24"/>
        </w:rPr>
        <w:t xml:space="preserve">(10) &gt; </w:t>
      </w:r>
      <w:r w:rsidRPr="00B67400">
        <w:rPr>
          <w:rFonts w:ascii="Cambria Math" w:eastAsia="宋体" w:hAnsi="Cambria Math" w:cs="Cambria Math"/>
          <w:kern w:val="0"/>
          <w:sz w:val="24"/>
          <w:szCs w:val="24"/>
        </w:rPr>
        <w:t>𝛼</w:t>
      </w:r>
      <w:r w:rsidRPr="00B67400">
        <w:rPr>
          <w:rFonts w:ascii="宋体" w:eastAsia="宋体" w:cs="宋体"/>
          <w:kern w:val="0"/>
          <w:sz w:val="24"/>
          <w:szCs w:val="24"/>
        </w:rPr>
        <w:t>(1)，则预测出来应该也是</w:t>
      </w:r>
      <w:r w:rsidRPr="00B67400">
        <w:rPr>
          <w:rFonts w:ascii="Cambria Math" w:eastAsia="宋体" w:hAnsi="Cambria Math" w:cs="Cambria Math"/>
          <w:kern w:val="0"/>
          <w:sz w:val="24"/>
          <w:szCs w:val="24"/>
        </w:rPr>
        <w:t>𝛼</w:t>
      </w:r>
      <w:r w:rsidRPr="00B67400">
        <w:rPr>
          <w:rFonts w:ascii="宋体" w:eastAsia="宋体" w:cs="宋体"/>
          <w:kern w:val="0"/>
          <w:sz w:val="24"/>
          <w:szCs w:val="24"/>
        </w:rPr>
        <w:t xml:space="preserve">(10) &gt; </w:t>
      </w:r>
      <w:r w:rsidRPr="00B67400">
        <w:rPr>
          <w:rFonts w:ascii="Cambria Math" w:eastAsia="宋体" w:hAnsi="Cambria Math" w:cs="Cambria Math"/>
          <w:kern w:val="0"/>
          <w:sz w:val="24"/>
          <w:szCs w:val="24"/>
        </w:rPr>
        <w:t>𝛼</w:t>
      </w:r>
      <w:r w:rsidRPr="00B67400">
        <w:rPr>
          <w:rFonts w:ascii="宋体" w:eastAsia="宋体" w:cs="宋体"/>
          <w:kern w:val="0"/>
          <w:sz w:val="24"/>
          <w:szCs w:val="24"/>
        </w:rPr>
        <w:t>(1)。上式(28)中的第</w:t>
      </w:r>
    </w:p>
    <w:p w:rsidR="00B67400" w:rsidRPr="00B67400" w:rsidRDefault="00B67400" w:rsidP="00B67400">
      <w:pPr>
        <w:autoSpaceDE w:val="0"/>
        <w:autoSpaceDN w:val="0"/>
        <w:adjustRightInd w:val="0"/>
        <w:jc w:val="left"/>
        <w:rPr>
          <w:rFonts w:ascii="宋体" w:eastAsia="宋体" w:cs="宋体"/>
          <w:kern w:val="0"/>
          <w:sz w:val="24"/>
          <w:szCs w:val="24"/>
        </w:rPr>
      </w:pPr>
      <w:r w:rsidRPr="00B67400">
        <w:rPr>
          <w:rFonts w:ascii="宋体" w:eastAsia="宋体" w:cs="宋体" w:hint="eastAsia"/>
          <w:kern w:val="0"/>
          <w:sz w:val="24"/>
          <w:szCs w:val="24"/>
        </w:rPr>
        <w:t>二个条件说明模型做出了“强”预测，换句话说，市场异象是的存在是说两个极</w:t>
      </w:r>
    </w:p>
    <w:p w:rsidR="00B67400" w:rsidRPr="00B67400" w:rsidRDefault="00B67400" w:rsidP="00B67400">
      <w:pPr>
        <w:autoSpaceDE w:val="0"/>
        <w:autoSpaceDN w:val="0"/>
        <w:adjustRightInd w:val="0"/>
        <w:jc w:val="left"/>
        <w:rPr>
          <w:rFonts w:ascii="宋体" w:eastAsia="宋体" w:cs="宋体"/>
          <w:kern w:val="0"/>
          <w:sz w:val="24"/>
          <w:szCs w:val="24"/>
        </w:rPr>
      </w:pPr>
      <w:proofErr w:type="gramStart"/>
      <w:r w:rsidRPr="00B67400">
        <w:rPr>
          <w:rFonts w:ascii="宋体" w:eastAsia="宋体" w:cs="宋体" w:hint="eastAsia"/>
          <w:kern w:val="0"/>
          <w:sz w:val="24"/>
          <w:szCs w:val="24"/>
        </w:rPr>
        <w:t>端十分位组</w:t>
      </w:r>
      <w:proofErr w:type="gramEnd"/>
      <w:r w:rsidRPr="00B67400">
        <w:rPr>
          <w:rFonts w:ascii="宋体" w:eastAsia="宋体" w:cs="宋体" w:hint="eastAsia"/>
          <w:kern w:val="0"/>
          <w:sz w:val="24"/>
          <w:szCs w:val="24"/>
        </w:rPr>
        <w:t>之间的</w:t>
      </w:r>
      <w:r w:rsidRPr="00B67400">
        <w:rPr>
          <w:rFonts w:ascii="Cambria Math" w:eastAsia="宋体" w:hAnsi="Cambria Math" w:cs="Cambria Math"/>
          <w:kern w:val="0"/>
          <w:sz w:val="24"/>
          <w:szCs w:val="24"/>
        </w:rPr>
        <w:t>𝛼</w:t>
      </w:r>
      <w:r w:rsidRPr="00B67400">
        <w:rPr>
          <w:rFonts w:ascii="宋体" w:eastAsia="宋体" w:cs="宋体"/>
          <w:kern w:val="0"/>
          <w:sz w:val="24"/>
          <w:szCs w:val="24"/>
        </w:rPr>
        <w:t>值存在显著差异，而预测出来的两个极端</w:t>
      </w:r>
      <w:proofErr w:type="gramStart"/>
      <w:r w:rsidRPr="00B67400">
        <w:rPr>
          <w:rFonts w:ascii="宋体" w:eastAsia="宋体" w:cs="宋体"/>
          <w:kern w:val="0"/>
          <w:sz w:val="24"/>
          <w:szCs w:val="24"/>
        </w:rPr>
        <w:t>十分位组的</w:t>
      </w:r>
      <w:proofErr w:type="gramEnd"/>
      <w:r w:rsidRPr="00B67400">
        <w:rPr>
          <w:rFonts w:ascii="Cambria Math" w:eastAsia="宋体" w:hAnsi="Cambria Math" w:cs="Cambria Math"/>
          <w:kern w:val="0"/>
          <w:sz w:val="24"/>
          <w:szCs w:val="24"/>
        </w:rPr>
        <w:t>𝛼</w:t>
      </w:r>
      <w:r w:rsidRPr="00B67400">
        <w:rPr>
          <w:rFonts w:ascii="宋体" w:eastAsia="宋体" w:cs="宋体"/>
          <w:kern w:val="0"/>
          <w:sz w:val="24"/>
          <w:szCs w:val="24"/>
        </w:rPr>
        <w:t>值也确</w:t>
      </w:r>
    </w:p>
    <w:p w:rsidR="00B67400" w:rsidRDefault="00B67400" w:rsidP="00B67400">
      <w:pPr>
        <w:autoSpaceDE w:val="0"/>
        <w:autoSpaceDN w:val="0"/>
        <w:adjustRightInd w:val="0"/>
        <w:jc w:val="left"/>
        <w:rPr>
          <w:rFonts w:ascii="宋体" w:eastAsia="宋体" w:cs="宋体"/>
          <w:kern w:val="0"/>
          <w:sz w:val="24"/>
          <w:szCs w:val="24"/>
        </w:rPr>
      </w:pPr>
      <w:r w:rsidRPr="00B67400">
        <w:rPr>
          <w:rFonts w:ascii="宋体" w:eastAsia="宋体" w:cs="宋体" w:hint="eastAsia"/>
          <w:kern w:val="0"/>
          <w:sz w:val="24"/>
          <w:szCs w:val="24"/>
        </w:rPr>
        <w:t>实存在着巨大差异。同样地，定义模型不能解释市场异象，如果：</w:t>
      </w:r>
    </w:p>
    <w:p w:rsidR="00B67400" w:rsidRDefault="00B67400" w:rsidP="00B67400">
      <w:pPr>
        <w:autoSpaceDE w:val="0"/>
        <w:autoSpaceDN w:val="0"/>
        <w:adjustRightInd w:val="0"/>
        <w:jc w:val="left"/>
        <w:rPr>
          <w:rFonts w:ascii="宋体" w:eastAsia="宋体" w:cs="宋体"/>
          <w:kern w:val="0"/>
          <w:sz w:val="24"/>
          <w:szCs w:val="24"/>
        </w:rPr>
      </w:pPr>
      <w:r>
        <w:rPr>
          <w:rFonts w:ascii="宋体" w:eastAsia="宋体" w:cs="宋体" w:hint="eastAsia"/>
          <w:noProof/>
          <w:kern w:val="0"/>
          <w:sz w:val="24"/>
          <w:szCs w:val="24"/>
        </w:rPr>
        <w:drawing>
          <wp:inline distT="0" distB="0" distL="0" distR="0">
            <wp:extent cx="2852934" cy="419101"/>
            <wp:effectExtent l="0" t="0" r="5080" b="0"/>
            <wp:docPr id="1121641741" name="图片 22" descr="%FontSize=12&#10;%TeXFontSize=12&#10;\documentclass{article}&#10;\pagestyle{empty}&#10;\begin{document}&#10;\[&#10;\begin{gathered}&#10; \\&#10;sign\Big(\alpha^d(10)-\alpha^d(1)\Big)=-sign\big(\alpha^m(10)-\alpha^m(1)\big) \\&#10;\mathbb{H}|\alpha^m(10)-\alpha^m(1)|&gt;1.5\% &#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41741" name="图片 22" descr="%FontSize=12&#10;%TeXFontSize=12&#10;\documentclass{article}&#10;\pagestyle{empty}&#10;\begin{document}&#10;\[&#10;\begin{gathered}&#10; \\&#10;sign\Big(\alpha^d(10)-\alpha^d(1)\Big)=-sign\big(\alpha^m(10)-\alpha^m(1)\big) \\&#10;\mathbb{H}|\alpha^m(10)-\alpha^m(1)|&gt;1.5\% &#10;\end{gathered}&#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2852934" cy="419101"/>
                    </a:xfrm>
                    <a:prstGeom prst="rect">
                      <a:avLst/>
                    </a:prstGeom>
                  </pic:spPr>
                </pic:pic>
              </a:graphicData>
            </a:graphic>
          </wp:inline>
        </w:drawing>
      </w:r>
    </w:p>
    <w:p w:rsidR="00B67400" w:rsidRPr="00B67400" w:rsidRDefault="00B67400" w:rsidP="00B67400">
      <w:pPr>
        <w:autoSpaceDE w:val="0"/>
        <w:autoSpaceDN w:val="0"/>
        <w:adjustRightInd w:val="0"/>
        <w:jc w:val="left"/>
        <w:rPr>
          <w:rFonts w:ascii="宋体" w:eastAsia="宋体" w:cs="宋体"/>
          <w:kern w:val="0"/>
          <w:sz w:val="24"/>
          <w:szCs w:val="24"/>
        </w:rPr>
      </w:pPr>
      <w:r w:rsidRPr="00B67400">
        <w:rPr>
          <w:rFonts w:ascii="宋体" w:eastAsia="宋体" w:cs="宋体" w:hint="eastAsia"/>
          <w:kern w:val="0"/>
          <w:sz w:val="24"/>
          <w:szCs w:val="24"/>
        </w:rPr>
        <w:t>换句话说，如果模型做了一个强有力的预测，但这个预测是不正确的，例如预测</w:t>
      </w:r>
    </w:p>
    <w:p w:rsidR="00B67400" w:rsidRPr="00B67400" w:rsidRDefault="00B67400" w:rsidP="00B67400">
      <w:pPr>
        <w:autoSpaceDE w:val="0"/>
        <w:autoSpaceDN w:val="0"/>
        <w:adjustRightInd w:val="0"/>
        <w:jc w:val="left"/>
        <w:rPr>
          <w:rFonts w:ascii="宋体" w:eastAsia="宋体" w:cs="宋体"/>
          <w:kern w:val="0"/>
          <w:sz w:val="24"/>
          <w:szCs w:val="24"/>
        </w:rPr>
      </w:pPr>
      <w:r w:rsidRPr="00B67400">
        <w:rPr>
          <w:rFonts w:ascii="Cambria Math" w:eastAsia="宋体" w:hAnsi="Cambria Math" w:cs="Cambria Math"/>
          <w:kern w:val="0"/>
          <w:sz w:val="24"/>
          <w:szCs w:val="24"/>
        </w:rPr>
        <w:t>𝛼</w:t>
      </w:r>
      <w:r w:rsidRPr="00B67400">
        <w:rPr>
          <w:rFonts w:ascii="宋体" w:eastAsia="宋体" w:cs="宋体"/>
          <w:kern w:val="0"/>
          <w:sz w:val="24"/>
          <w:szCs w:val="24"/>
        </w:rPr>
        <w:t xml:space="preserve">(10) &gt; </w:t>
      </w:r>
      <w:r w:rsidRPr="00B67400">
        <w:rPr>
          <w:rFonts w:ascii="Cambria Math" w:eastAsia="宋体" w:hAnsi="Cambria Math" w:cs="Cambria Math"/>
          <w:kern w:val="0"/>
          <w:sz w:val="24"/>
          <w:szCs w:val="24"/>
        </w:rPr>
        <w:t>𝛼</w:t>
      </w:r>
      <w:r w:rsidRPr="00B67400">
        <w:rPr>
          <w:rFonts w:ascii="宋体" w:eastAsia="宋体" w:cs="宋体"/>
          <w:kern w:val="0"/>
          <w:sz w:val="24"/>
          <w:szCs w:val="24"/>
        </w:rPr>
        <w:t>(1)，而实际数据中的情况恰恰相反。最后，我们说模型没有对一个市</w:t>
      </w:r>
    </w:p>
    <w:p w:rsidR="00B67400" w:rsidRDefault="00B67400" w:rsidP="00B67400">
      <w:pPr>
        <w:autoSpaceDE w:val="0"/>
        <w:autoSpaceDN w:val="0"/>
        <w:adjustRightInd w:val="0"/>
        <w:jc w:val="left"/>
        <w:rPr>
          <w:rFonts w:ascii="宋体" w:eastAsia="宋体" w:cs="宋体"/>
          <w:kern w:val="0"/>
          <w:sz w:val="24"/>
          <w:szCs w:val="24"/>
        </w:rPr>
      </w:pPr>
      <w:r w:rsidRPr="00B67400">
        <w:rPr>
          <w:rFonts w:ascii="宋体" w:eastAsia="宋体" w:cs="宋体" w:hint="eastAsia"/>
          <w:kern w:val="0"/>
          <w:sz w:val="24"/>
          <w:szCs w:val="24"/>
        </w:rPr>
        <w:t>场异象做出强有力的预测，也就是模型预测不显著，如果：</w:t>
      </w:r>
    </w:p>
    <w:p w:rsidR="00B67400" w:rsidRDefault="00590940" w:rsidP="00B67400">
      <w:pPr>
        <w:autoSpaceDE w:val="0"/>
        <w:autoSpaceDN w:val="0"/>
        <w:adjustRightInd w:val="0"/>
        <w:jc w:val="left"/>
        <w:rPr>
          <w:rFonts w:ascii="宋体" w:eastAsia="宋体" w:cs="宋体"/>
          <w:kern w:val="0"/>
          <w:sz w:val="24"/>
          <w:szCs w:val="24"/>
        </w:rPr>
      </w:pPr>
      <w:r>
        <w:rPr>
          <w:rFonts w:ascii="宋体" w:eastAsia="宋体" w:cs="宋体" w:hint="eastAsia"/>
          <w:noProof/>
          <w:kern w:val="0"/>
          <w:sz w:val="24"/>
          <w:szCs w:val="24"/>
        </w:rPr>
        <w:drawing>
          <wp:inline distT="0" distB="0" distL="0" distR="0">
            <wp:extent cx="1490475" cy="140208"/>
            <wp:effectExtent l="0" t="0" r="0" b="0"/>
            <wp:docPr id="974966365" name="图片 23" descr="%FontSize=12&#10;%TeXFontSize=12&#10;\documentclass{article}&#10;\pagestyle{empty}&#10;\begin{document}&#10;\[&#10;|\alpha^m(10)-\alpha^m(1)|&lt;1.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66365" name="图片 23" descr="%FontSize=12&#10;%TeXFontSize=12&#10;\documentclass{article}&#10;\pagestyle{empty}&#10;\begin{document}&#10;\[&#10;|\alpha^m(10)-\alpha^m(1)|&lt;1.5\%&#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1490475" cy="140208"/>
                    </a:xfrm>
                    <a:prstGeom prst="rect">
                      <a:avLst/>
                    </a:prstGeom>
                  </pic:spPr>
                </pic:pic>
              </a:graphicData>
            </a:graphic>
          </wp:inline>
        </w:drawing>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实证研究发现，</w:t>
      </w:r>
      <w:r w:rsidRPr="00590940">
        <w:rPr>
          <w:rFonts w:ascii="宋体" w:eastAsia="宋体" w:cs="宋体"/>
          <w:kern w:val="0"/>
          <w:sz w:val="24"/>
          <w:szCs w:val="24"/>
        </w:rPr>
        <w:t xml:space="preserve">BJW 模型有助于解释A 股市场上存在的19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市场异象中的</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 xml:space="preserve">4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w:t>
      </w:r>
      <w:r w:rsidRPr="00590940">
        <w:rPr>
          <w:rFonts w:ascii="宋体" w:eastAsia="宋体" w:cs="宋体"/>
          <w:kern w:val="0"/>
          <w:sz w:val="24"/>
          <w:szCs w:val="24"/>
        </w:rPr>
        <w:t>综合股权发行异象(CEI)，特质波动率异象(IVOL)，动量异象(MOM)和</w:t>
      </w:r>
      <w:proofErr w:type="gramStart"/>
      <w:r w:rsidRPr="00590940">
        <w:rPr>
          <w:rFonts w:ascii="宋体" w:eastAsia="宋体" w:cs="宋体"/>
          <w:kern w:val="0"/>
          <w:sz w:val="24"/>
          <w:szCs w:val="24"/>
        </w:rPr>
        <w:t>盈</w:t>
      </w:r>
      <w:proofErr w:type="gramEnd"/>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余公告后的价格漂移异象</w:t>
      </w:r>
      <w:r w:rsidRPr="00590940">
        <w:rPr>
          <w:rFonts w:ascii="宋体" w:eastAsia="宋体" w:cs="宋体"/>
          <w:kern w:val="0"/>
          <w:sz w:val="24"/>
          <w:szCs w:val="24"/>
        </w:rPr>
        <w:t>(PEAD)。在接下来的三节中，分别展示模型能够解释的</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异象、模型不能解释的异象以及模型预测结果不显著的异象。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4.3.1 模型能解释的异象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实证研究发现，</w:t>
      </w:r>
      <w:r w:rsidRPr="00590940">
        <w:rPr>
          <w:rFonts w:ascii="宋体" w:eastAsia="宋体" w:cs="宋体"/>
          <w:kern w:val="0"/>
          <w:sz w:val="24"/>
          <w:szCs w:val="24"/>
        </w:rPr>
        <w:t xml:space="preserve">BJW 模型有助于解释A 股市场上存在的19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 xml:space="preserve">异象中的4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分别是综合股权发行异象</w:t>
      </w:r>
      <w:r w:rsidRPr="00590940">
        <w:rPr>
          <w:rFonts w:ascii="宋体" w:eastAsia="宋体" w:cs="宋体"/>
          <w:kern w:val="0"/>
          <w:sz w:val="24"/>
          <w:szCs w:val="24"/>
        </w:rPr>
        <w:t>(CEI)，特质波动率异象(IVOL)，动量异象(MOM)和盈余</w:t>
      </w:r>
    </w:p>
    <w:p w:rsid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公告后价格漂移异象</w:t>
      </w:r>
      <w:r w:rsidRPr="00590940">
        <w:rPr>
          <w:rFonts w:ascii="宋体" w:eastAsia="宋体" w:cs="宋体"/>
          <w:kern w:val="0"/>
          <w:sz w:val="24"/>
          <w:szCs w:val="24"/>
        </w:rPr>
        <w:t xml:space="preserve">(PEAD)。图4.3-图4.76 展示模型对这4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异象的预测结果。</w:t>
      </w:r>
      <w:r w:rsidRPr="00590940">
        <w:rPr>
          <w:rFonts w:ascii="宋体" w:eastAsia="宋体" w:cs="宋体"/>
          <w:kern w:val="0"/>
          <w:sz w:val="24"/>
          <w:szCs w:val="24"/>
        </w:rPr>
        <w:lastRenderedPageBreak/>
        <w:drawing>
          <wp:inline distT="0" distB="0" distL="0" distR="0" wp14:anchorId="45DF8AAE" wp14:editId="3D07C313">
            <wp:extent cx="5274310" cy="3516630"/>
            <wp:effectExtent l="0" t="0" r="2540" b="7620"/>
            <wp:docPr id="134506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64099" name=""/>
                    <pic:cNvPicPr/>
                  </pic:nvPicPr>
                  <pic:blipFill>
                    <a:blip r:embed="rId28"/>
                    <a:stretch>
                      <a:fillRect/>
                    </a:stretch>
                  </pic:blipFill>
                  <pic:spPr>
                    <a:xfrm>
                      <a:off x="0" y="0"/>
                      <a:ext cx="5274310" cy="3516630"/>
                    </a:xfrm>
                    <a:prstGeom prst="rect">
                      <a:avLst/>
                    </a:prstGeom>
                  </pic:spPr>
                </pic:pic>
              </a:graphicData>
            </a:graphic>
          </wp:inline>
        </w:drawing>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图</w:t>
      </w:r>
      <w:r w:rsidRPr="00590940">
        <w:rPr>
          <w:rFonts w:ascii="宋体" w:eastAsia="宋体" w:cs="宋体"/>
          <w:kern w:val="0"/>
          <w:sz w:val="24"/>
          <w:szCs w:val="24"/>
        </w:rPr>
        <w:t xml:space="preserve">4.3-图4.7 的横轴对应的是10 </w:t>
      </w:r>
      <w:proofErr w:type="gramStart"/>
      <w:r w:rsidRPr="00590940">
        <w:rPr>
          <w:rFonts w:ascii="宋体" w:eastAsia="宋体" w:cs="宋体"/>
          <w:kern w:val="0"/>
          <w:sz w:val="24"/>
          <w:szCs w:val="24"/>
        </w:rPr>
        <w:t>个十分位组的</w:t>
      </w:r>
      <w:proofErr w:type="gramEnd"/>
      <w:r w:rsidRPr="00590940">
        <w:rPr>
          <w:rFonts w:ascii="宋体" w:eastAsia="宋体" w:cs="宋体"/>
          <w:kern w:val="0"/>
          <w:sz w:val="24"/>
          <w:szCs w:val="24"/>
        </w:rPr>
        <w:t>投资组合，即组1 到组10，而</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纵轴衡量的是每一组的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值。图中虚线对应了每一组的经验</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值，实线对应了模型</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预测出来的每一组的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值。对于动量异象和盈余公告后价格漂移异象，模型预测第</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 xml:space="preserve">1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极端</w:t>
      </w:r>
      <w:proofErr w:type="gramStart"/>
      <w:r w:rsidRPr="00590940">
        <w:rPr>
          <w:rFonts w:ascii="宋体" w:eastAsia="宋体" w:cs="宋体"/>
          <w:kern w:val="0"/>
          <w:sz w:val="24"/>
          <w:szCs w:val="24"/>
        </w:rPr>
        <w:t>十分位组的</w:t>
      </w:r>
      <w:proofErr w:type="gramEnd"/>
      <w:r w:rsidRPr="00590940">
        <w:rPr>
          <w:rFonts w:ascii="Cambria Math" w:eastAsia="宋体" w:hAnsi="Cambria Math" w:cs="Cambria Math"/>
          <w:kern w:val="0"/>
          <w:sz w:val="24"/>
          <w:szCs w:val="24"/>
        </w:rPr>
        <w:t>𝛼</w:t>
      </w:r>
      <w:r w:rsidRPr="00590940">
        <w:rPr>
          <w:rFonts w:ascii="宋体" w:eastAsia="宋体" w:cs="宋体"/>
          <w:kern w:val="0"/>
          <w:sz w:val="24"/>
          <w:szCs w:val="24"/>
        </w:rPr>
        <w:t>值都较低，而经验表明，</w:t>
      </w:r>
      <w:proofErr w:type="gramStart"/>
      <w:r w:rsidRPr="00590940">
        <w:rPr>
          <w:rFonts w:ascii="宋体" w:eastAsia="宋体" w:cs="宋体"/>
          <w:kern w:val="0"/>
          <w:sz w:val="24"/>
          <w:szCs w:val="24"/>
        </w:rPr>
        <w:t>该十分位组</w:t>
      </w:r>
      <w:proofErr w:type="gramEnd"/>
      <w:r w:rsidRPr="00590940">
        <w:rPr>
          <w:rFonts w:ascii="宋体" w:eastAsia="宋体" w:cs="宋体"/>
          <w:kern w:val="0"/>
          <w:sz w:val="24"/>
          <w:szCs w:val="24"/>
        </w:rPr>
        <w:t>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值也低，且两个极</w:t>
      </w:r>
    </w:p>
    <w:p w:rsidR="00590940" w:rsidRPr="00590940" w:rsidRDefault="00590940" w:rsidP="00590940">
      <w:pPr>
        <w:autoSpaceDE w:val="0"/>
        <w:autoSpaceDN w:val="0"/>
        <w:adjustRightInd w:val="0"/>
        <w:jc w:val="left"/>
        <w:rPr>
          <w:rFonts w:ascii="宋体" w:eastAsia="宋体" w:cs="宋体"/>
          <w:kern w:val="0"/>
          <w:sz w:val="24"/>
          <w:szCs w:val="24"/>
        </w:rPr>
      </w:pPr>
      <w:proofErr w:type="gramStart"/>
      <w:r w:rsidRPr="00590940">
        <w:rPr>
          <w:rFonts w:ascii="宋体" w:eastAsia="宋体" w:cs="宋体" w:hint="eastAsia"/>
          <w:kern w:val="0"/>
          <w:sz w:val="24"/>
          <w:szCs w:val="24"/>
        </w:rPr>
        <w:t>端十分位组</w:t>
      </w:r>
      <w:proofErr w:type="gramEnd"/>
      <w:r w:rsidRPr="00590940">
        <w:rPr>
          <w:rFonts w:ascii="宋体" w:eastAsia="宋体" w:cs="宋体" w:hint="eastAsia"/>
          <w:kern w:val="0"/>
          <w:sz w:val="24"/>
          <w:szCs w:val="24"/>
        </w:rPr>
        <w:t>预测出来的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值之间有较大差异，因此模型能够解释这两个异象。同样</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的，对于综合股权发行异象和特质波动率异象，模型预测第</w:t>
      </w:r>
      <w:r w:rsidRPr="00590940">
        <w:rPr>
          <w:rFonts w:ascii="宋体" w:eastAsia="宋体" w:cs="宋体"/>
          <w:kern w:val="0"/>
          <w:sz w:val="24"/>
          <w:szCs w:val="24"/>
        </w:rPr>
        <w:t xml:space="preserve">1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极端</w:t>
      </w:r>
      <w:proofErr w:type="gramStart"/>
      <w:r w:rsidRPr="00590940">
        <w:rPr>
          <w:rFonts w:ascii="宋体" w:eastAsia="宋体" w:cs="宋体"/>
          <w:kern w:val="0"/>
          <w:sz w:val="24"/>
          <w:szCs w:val="24"/>
        </w:rPr>
        <w:t>十分位组的</w:t>
      </w:r>
      <w:proofErr w:type="gramEnd"/>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Cambria Math" w:eastAsia="宋体" w:hAnsi="Cambria Math" w:cs="Cambria Math"/>
          <w:kern w:val="0"/>
          <w:sz w:val="24"/>
          <w:szCs w:val="24"/>
        </w:rPr>
        <w:t>𝛼</w:t>
      </w:r>
      <w:r w:rsidRPr="00590940">
        <w:rPr>
          <w:rFonts w:ascii="宋体" w:eastAsia="宋体" w:cs="宋体"/>
          <w:kern w:val="0"/>
          <w:sz w:val="24"/>
          <w:szCs w:val="24"/>
        </w:rPr>
        <w:t>值较高，而经验表明，</w:t>
      </w:r>
      <w:proofErr w:type="gramStart"/>
      <w:r w:rsidRPr="00590940">
        <w:rPr>
          <w:rFonts w:ascii="宋体" w:eastAsia="宋体" w:cs="宋体"/>
          <w:kern w:val="0"/>
          <w:sz w:val="24"/>
          <w:szCs w:val="24"/>
        </w:rPr>
        <w:t>该十分位组</w:t>
      </w:r>
      <w:proofErr w:type="gramEnd"/>
      <w:r w:rsidRPr="00590940">
        <w:rPr>
          <w:rFonts w:ascii="宋体" w:eastAsia="宋体" w:cs="宋体"/>
          <w:kern w:val="0"/>
          <w:sz w:val="24"/>
          <w:szCs w:val="24"/>
        </w:rPr>
        <w:t>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值也较高，且两个极端</w:t>
      </w:r>
      <w:proofErr w:type="gramStart"/>
      <w:r w:rsidRPr="00590940">
        <w:rPr>
          <w:rFonts w:ascii="宋体" w:eastAsia="宋体" w:cs="宋体"/>
          <w:kern w:val="0"/>
          <w:sz w:val="24"/>
          <w:szCs w:val="24"/>
        </w:rPr>
        <w:t>十分位组预测</w:t>
      </w:r>
      <w:proofErr w:type="gramEnd"/>
      <w:r w:rsidRPr="00590940">
        <w:rPr>
          <w:rFonts w:ascii="宋体" w:eastAsia="宋体" w:cs="宋体"/>
          <w:kern w:val="0"/>
          <w:sz w:val="24"/>
          <w:szCs w:val="24"/>
        </w:rPr>
        <w:t>出来</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41</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 xml:space="preserve">值之间有较大差异，模型同样能够解释这2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接下来具体解释为什么模型能够解释这</w:t>
      </w:r>
      <w:r w:rsidRPr="00590940">
        <w:rPr>
          <w:rFonts w:ascii="宋体" w:eastAsia="宋体" w:cs="宋体"/>
          <w:kern w:val="0"/>
          <w:sz w:val="24"/>
          <w:szCs w:val="24"/>
        </w:rPr>
        <w:t xml:space="preserve">4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市场异象。比如说动量异象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(MOM)，经验</w:t>
      </w:r>
      <w:r w:rsidRPr="00590940">
        <w:rPr>
          <w:rFonts w:ascii="Cambria Math" w:eastAsia="宋体" w:hAnsi="Cambria Math" w:cs="Cambria Math"/>
          <w:kern w:val="0"/>
          <w:sz w:val="24"/>
          <w:szCs w:val="24"/>
        </w:rPr>
        <w:t>𝛼</w:t>
      </w:r>
      <w:r w:rsidRPr="00590940">
        <w:rPr>
          <w:rFonts w:ascii="宋体" w:eastAsia="宋体" w:cs="宋体"/>
          <w:kern w:val="0"/>
          <w:sz w:val="24"/>
          <w:szCs w:val="24"/>
        </w:rPr>
        <w:t>向上倾斜表明，从实际数据上看，在控制了</w:t>
      </w:r>
      <w:r w:rsidRPr="00590940">
        <w:rPr>
          <w:rFonts w:ascii="Cambria Math" w:eastAsia="宋体" w:hAnsi="Cambria Math" w:cs="Cambria Math"/>
          <w:kern w:val="0"/>
          <w:sz w:val="24"/>
          <w:szCs w:val="24"/>
        </w:rPr>
        <w:t>𝛽</w:t>
      </w:r>
      <w:r w:rsidRPr="00590940">
        <w:rPr>
          <w:rFonts w:ascii="宋体" w:eastAsia="宋体" w:cs="宋体"/>
          <w:kern w:val="0"/>
          <w:sz w:val="24"/>
          <w:szCs w:val="24"/>
        </w:rPr>
        <w:t>值的情况下，过去中</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期回报高的股票比过去中期回报低的股票，获得了更高的平均回报；而经验</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值较</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大的极端</w:t>
      </w:r>
      <w:proofErr w:type="gramStart"/>
      <w:r w:rsidRPr="00590940">
        <w:rPr>
          <w:rFonts w:ascii="宋体" w:eastAsia="宋体" w:cs="宋体" w:hint="eastAsia"/>
          <w:kern w:val="0"/>
          <w:sz w:val="24"/>
          <w:szCs w:val="24"/>
        </w:rPr>
        <w:t>十分位组</w:t>
      </w:r>
      <w:proofErr w:type="gramEnd"/>
      <w:r w:rsidRPr="00590940">
        <w:rPr>
          <w:rFonts w:ascii="宋体" w:eastAsia="宋体" w:cs="宋体" w:hint="eastAsia"/>
          <w:kern w:val="0"/>
          <w:sz w:val="24"/>
          <w:szCs w:val="24"/>
        </w:rPr>
        <w:t>——即动量异象的第</w:t>
      </w:r>
      <w:r w:rsidRPr="00590940">
        <w:rPr>
          <w:rFonts w:ascii="宋体" w:eastAsia="宋体" w:cs="宋体"/>
          <w:kern w:val="0"/>
          <w:sz w:val="24"/>
          <w:szCs w:val="24"/>
        </w:rPr>
        <w:t>1 组，包含了收益率波动更小、收益率更</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加正偏、未实现资本利得更小的股票。这些股票较低的收益波动性导致投资者对</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其收取较低的平均回报，</w:t>
      </w:r>
      <w:proofErr w:type="gramStart"/>
      <w:r w:rsidRPr="00590940">
        <w:rPr>
          <w:rFonts w:ascii="宋体" w:eastAsia="宋体" w:cs="宋体" w:hint="eastAsia"/>
          <w:kern w:val="0"/>
          <w:sz w:val="24"/>
          <w:szCs w:val="24"/>
        </w:rPr>
        <w:t>更加正偏的</w:t>
      </w:r>
      <w:proofErr w:type="gramEnd"/>
      <w:r w:rsidRPr="00590940">
        <w:rPr>
          <w:rFonts w:ascii="宋体" w:eastAsia="宋体" w:cs="宋体" w:hint="eastAsia"/>
          <w:kern w:val="0"/>
          <w:sz w:val="24"/>
          <w:szCs w:val="24"/>
        </w:rPr>
        <w:t>收益率分布和较大的负的未实现资本利得也</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lastRenderedPageBreak/>
        <w:t>导致投资者对其收取较低的平均回报。</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4.3.2 模型不能解释的异象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对于</w:t>
      </w:r>
      <w:r w:rsidRPr="00590940">
        <w:rPr>
          <w:rFonts w:ascii="宋体" w:eastAsia="宋体" w:cs="宋体"/>
          <w:kern w:val="0"/>
          <w:sz w:val="24"/>
          <w:szCs w:val="24"/>
        </w:rPr>
        <w:t xml:space="preserve">19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 xml:space="preserve">市场异象中的7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w:t>
      </w:r>
      <w:r w:rsidRPr="00590940">
        <w:rPr>
          <w:rFonts w:ascii="宋体" w:eastAsia="宋体" w:cs="宋体"/>
          <w:kern w:val="0"/>
          <w:sz w:val="24"/>
          <w:szCs w:val="24"/>
        </w:rPr>
        <w:t>长期反转异象(LTREV)，</w:t>
      </w:r>
      <w:proofErr w:type="gramStart"/>
      <w:r w:rsidRPr="00590940">
        <w:rPr>
          <w:rFonts w:ascii="宋体" w:eastAsia="宋体" w:cs="宋体"/>
          <w:kern w:val="0"/>
          <w:sz w:val="24"/>
          <w:szCs w:val="24"/>
        </w:rPr>
        <w:t>净经营</w:t>
      </w:r>
      <w:proofErr w:type="gramEnd"/>
      <w:r w:rsidRPr="00590940">
        <w:rPr>
          <w:rFonts w:ascii="宋体" w:eastAsia="宋体" w:cs="宋体"/>
          <w:kern w:val="0"/>
          <w:sz w:val="24"/>
          <w:szCs w:val="24"/>
        </w:rPr>
        <w:t>资产异象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(NOA)，组织资本异象(ORGCAP)，资产回报率异象(ROA)，规模异象(SIZE)，短</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期反转异象</w:t>
      </w:r>
      <w:r w:rsidRPr="00590940">
        <w:rPr>
          <w:rFonts w:ascii="宋体" w:eastAsia="宋体" w:cs="宋体"/>
          <w:kern w:val="0"/>
          <w:sz w:val="24"/>
          <w:szCs w:val="24"/>
        </w:rPr>
        <w:t>(STREV)和价值异象(VAL)，模型的表现很差，正如公式(4.7)中条件所</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规定的那样，虽然它预测了第</w:t>
      </w:r>
      <w:r w:rsidRPr="00590940">
        <w:rPr>
          <w:rFonts w:ascii="宋体" w:eastAsia="宋体" w:cs="宋体"/>
          <w:kern w:val="0"/>
          <w:sz w:val="24"/>
          <w:szCs w:val="24"/>
        </w:rPr>
        <w:t>1 组和第10 组的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值之间的巨大差异，但大小关系</w:t>
      </w:r>
    </w:p>
    <w:p w:rsid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是错误的。在图</w:t>
      </w:r>
      <w:r w:rsidRPr="00590940">
        <w:rPr>
          <w:rFonts w:ascii="宋体" w:eastAsia="宋体" w:cs="宋体"/>
          <w:kern w:val="0"/>
          <w:sz w:val="24"/>
          <w:szCs w:val="24"/>
        </w:rPr>
        <w:t>4.7-图4.13 中展示了模型对这些市场异象的预测结果。</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drawing>
          <wp:inline distT="0" distB="0" distL="0" distR="0" wp14:anchorId="5AA7DFDE" wp14:editId="1C3A2E40">
            <wp:extent cx="5274310" cy="3574415"/>
            <wp:effectExtent l="0" t="0" r="2540" b="6985"/>
            <wp:docPr id="2016626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26983" name=""/>
                    <pic:cNvPicPr/>
                  </pic:nvPicPr>
                  <pic:blipFill>
                    <a:blip r:embed="rId29"/>
                    <a:stretch>
                      <a:fillRect/>
                    </a:stretch>
                  </pic:blipFill>
                  <pic:spPr>
                    <a:xfrm>
                      <a:off x="0" y="0"/>
                      <a:ext cx="5274310" cy="3574415"/>
                    </a:xfrm>
                    <a:prstGeom prst="rect">
                      <a:avLst/>
                    </a:prstGeom>
                  </pic:spPr>
                </pic:pic>
              </a:graphicData>
            </a:graphic>
          </wp:inline>
        </w:drawing>
      </w:r>
      <w:r w:rsidRPr="00590940">
        <w:rPr>
          <w:rFonts w:ascii="宋体" w:eastAsia="宋体" w:cs="宋体"/>
          <w:kern w:val="0"/>
          <w:sz w:val="24"/>
          <w:szCs w:val="24"/>
        </w:rPr>
        <w:lastRenderedPageBreak/>
        <w:drawing>
          <wp:inline distT="0" distB="0" distL="0" distR="0" wp14:anchorId="0CF321B5" wp14:editId="2202C11B">
            <wp:extent cx="5274310" cy="3944620"/>
            <wp:effectExtent l="0" t="0" r="2540" b="0"/>
            <wp:docPr id="1397874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74725" name=""/>
                    <pic:cNvPicPr/>
                  </pic:nvPicPr>
                  <pic:blipFill>
                    <a:blip r:embed="rId30"/>
                    <a:stretch>
                      <a:fillRect/>
                    </a:stretch>
                  </pic:blipFill>
                  <pic:spPr>
                    <a:xfrm>
                      <a:off x="0" y="0"/>
                      <a:ext cx="5274310" cy="3944620"/>
                    </a:xfrm>
                    <a:prstGeom prst="rect">
                      <a:avLst/>
                    </a:prstGeom>
                  </pic:spPr>
                </pic:pic>
              </a:graphicData>
            </a:graphic>
          </wp:inline>
        </w:drawing>
      </w:r>
      <w:r w:rsidRPr="00590940">
        <w:rPr>
          <w:rFonts w:ascii="宋体" w:eastAsia="宋体" w:cs="宋体" w:hint="eastAsia"/>
          <w:kern w:val="0"/>
          <w:sz w:val="24"/>
          <w:szCs w:val="24"/>
        </w:rPr>
        <w:t>图</w:t>
      </w:r>
      <w:r w:rsidRPr="00590940">
        <w:rPr>
          <w:rFonts w:ascii="宋体" w:eastAsia="宋体" w:cs="宋体"/>
          <w:kern w:val="0"/>
          <w:sz w:val="24"/>
          <w:szCs w:val="24"/>
        </w:rPr>
        <w:t xml:space="preserve">4.7-图4.13 中横轴对应的是10 </w:t>
      </w:r>
      <w:proofErr w:type="gramStart"/>
      <w:r w:rsidRPr="00590940">
        <w:rPr>
          <w:rFonts w:ascii="宋体" w:eastAsia="宋体" w:cs="宋体"/>
          <w:kern w:val="0"/>
          <w:sz w:val="24"/>
          <w:szCs w:val="24"/>
        </w:rPr>
        <w:t>个十分位组的</w:t>
      </w:r>
      <w:proofErr w:type="gramEnd"/>
      <w:r w:rsidRPr="00590940">
        <w:rPr>
          <w:rFonts w:ascii="宋体" w:eastAsia="宋体" w:cs="宋体"/>
          <w:kern w:val="0"/>
          <w:sz w:val="24"/>
          <w:szCs w:val="24"/>
        </w:rPr>
        <w:t>投资组合，即组1 到组10，</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而纵轴衡量的是每一组的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值。图中虚线对应了每个</w:t>
      </w:r>
      <w:proofErr w:type="gramStart"/>
      <w:r w:rsidRPr="00590940">
        <w:rPr>
          <w:rFonts w:ascii="宋体" w:eastAsia="宋体" w:cs="宋体"/>
          <w:kern w:val="0"/>
          <w:sz w:val="24"/>
          <w:szCs w:val="24"/>
        </w:rPr>
        <w:t>十分位组的</w:t>
      </w:r>
      <w:proofErr w:type="gramEnd"/>
      <w:r w:rsidRPr="00590940">
        <w:rPr>
          <w:rFonts w:ascii="宋体" w:eastAsia="宋体" w:cs="宋体"/>
          <w:kern w:val="0"/>
          <w:sz w:val="24"/>
          <w:szCs w:val="24"/>
        </w:rPr>
        <w:t>经验</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值，实线对</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应了模型预测出来的每一组的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 xml:space="preserve">值。对于这7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 xml:space="preserve">市场异象，其中6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异象的第1 组</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到第</w:t>
      </w:r>
      <w:r w:rsidRPr="00590940">
        <w:rPr>
          <w:rFonts w:ascii="宋体" w:eastAsia="宋体" w:cs="宋体"/>
          <w:kern w:val="0"/>
          <w:sz w:val="24"/>
          <w:szCs w:val="24"/>
        </w:rPr>
        <w:t>9 组，模型</w:t>
      </w:r>
      <w:r w:rsidRPr="00590940">
        <w:rPr>
          <w:rFonts w:ascii="Cambria Math" w:eastAsia="宋体" w:hAnsi="Cambria Math" w:cs="Cambria Math"/>
          <w:kern w:val="0"/>
          <w:sz w:val="24"/>
          <w:szCs w:val="24"/>
        </w:rPr>
        <w:t>𝛼</w:t>
      </w:r>
      <w:proofErr w:type="gramStart"/>
      <w:r w:rsidRPr="00590940">
        <w:rPr>
          <w:rFonts w:ascii="宋体" w:eastAsia="宋体" w:cs="宋体"/>
          <w:kern w:val="0"/>
          <w:sz w:val="24"/>
          <w:szCs w:val="24"/>
        </w:rPr>
        <w:t>值几乎</w:t>
      </w:r>
      <w:proofErr w:type="gramEnd"/>
      <w:r w:rsidRPr="00590940">
        <w:rPr>
          <w:rFonts w:ascii="宋体" w:eastAsia="宋体" w:cs="宋体"/>
          <w:kern w:val="0"/>
          <w:sz w:val="24"/>
          <w:szCs w:val="24"/>
        </w:rPr>
        <w:t>不变，第10 组模型预测出来的</w:t>
      </w:r>
      <w:r w:rsidRPr="00590940">
        <w:rPr>
          <w:rFonts w:ascii="Cambria Math" w:eastAsia="宋体" w:hAnsi="Cambria Math" w:cs="Cambria Math"/>
          <w:kern w:val="0"/>
          <w:sz w:val="24"/>
          <w:szCs w:val="24"/>
        </w:rPr>
        <w:t>𝛼</w:t>
      </w:r>
      <w:proofErr w:type="gramStart"/>
      <w:r w:rsidRPr="00590940">
        <w:rPr>
          <w:rFonts w:ascii="宋体" w:eastAsia="宋体" w:cs="宋体"/>
          <w:kern w:val="0"/>
          <w:sz w:val="24"/>
          <w:szCs w:val="24"/>
        </w:rPr>
        <w:t>值快速</w:t>
      </w:r>
      <w:proofErr w:type="gramEnd"/>
      <w:r w:rsidRPr="00590940">
        <w:rPr>
          <w:rFonts w:ascii="宋体" w:eastAsia="宋体" w:cs="宋体"/>
          <w:kern w:val="0"/>
          <w:sz w:val="24"/>
          <w:szCs w:val="24"/>
        </w:rPr>
        <w:t>增大，导致模型</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预测出来的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值符号与经验</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值相反。</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这里具体举一个例子说明模型不能解释异象的原因。如长期反转异象，经验</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Cambria Math" w:eastAsia="宋体" w:hAnsi="Cambria Math" w:cs="Cambria Math"/>
          <w:kern w:val="0"/>
          <w:sz w:val="24"/>
          <w:szCs w:val="24"/>
        </w:rPr>
        <w:t>𝛼</w:t>
      </w:r>
      <w:r w:rsidRPr="00590940">
        <w:rPr>
          <w:rFonts w:ascii="宋体" w:eastAsia="宋体" w:cs="宋体"/>
          <w:kern w:val="0"/>
          <w:sz w:val="24"/>
          <w:szCs w:val="24"/>
        </w:rPr>
        <w:t>值较小的极端</w:t>
      </w:r>
      <w:proofErr w:type="gramStart"/>
      <w:r w:rsidRPr="00590940">
        <w:rPr>
          <w:rFonts w:ascii="宋体" w:eastAsia="宋体" w:cs="宋体"/>
          <w:kern w:val="0"/>
          <w:sz w:val="24"/>
          <w:szCs w:val="24"/>
        </w:rPr>
        <w:t>十分位组</w:t>
      </w:r>
      <w:proofErr w:type="gramEnd"/>
      <w:r w:rsidRPr="00590940">
        <w:rPr>
          <w:rFonts w:ascii="宋体" w:eastAsia="宋体" w:cs="宋体"/>
          <w:kern w:val="0"/>
          <w:sz w:val="24"/>
          <w:szCs w:val="24"/>
        </w:rPr>
        <w:t>——</w:t>
      </w:r>
      <w:r w:rsidRPr="00590940">
        <w:rPr>
          <w:rFonts w:ascii="宋体" w:eastAsia="宋体" w:cs="宋体"/>
          <w:kern w:val="0"/>
          <w:sz w:val="24"/>
          <w:szCs w:val="24"/>
        </w:rPr>
        <w:t>即长期反转异象的第10 组，包含了收益率波动更小、</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收益率偏度更小、未实现资本利得更小的股票。这些股票较小的收益率偏度导致</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投资者对其收取较高的平均收益。但是事实上，较低的收益波动性以及较小的未</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实现资本利得又导致投资者对其收取较低的平均回报。然而通从图中得到的结论</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是，第一种效应占主导，压倒第二种效应，因此模型不能解释这个市场异象。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4.3.3 模型预测不显著的异象</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对于</w:t>
      </w:r>
      <w:r w:rsidRPr="00590940">
        <w:rPr>
          <w:rFonts w:ascii="宋体" w:eastAsia="宋体" w:cs="宋体"/>
          <w:kern w:val="0"/>
          <w:sz w:val="24"/>
          <w:szCs w:val="24"/>
        </w:rPr>
        <w:t xml:space="preserve">19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 xml:space="preserve">市场异象中剩下8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w:t>
      </w:r>
      <w:r w:rsidRPr="00590940">
        <w:rPr>
          <w:rFonts w:ascii="宋体" w:eastAsia="宋体" w:cs="宋体"/>
          <w:kern w:val="0"/>
          <w:sz w:val="24"/>
          <w:szCs w:val="24"/>
        </w:rPr>
        <w:t>应计异象(ACC)，资产增长异象(AG)，失</w:t>
      </w:r>
    </w:p>
    <w:p w:rsidR="00590940" w:rsidRPr="00590940" w:rsidRDefault="00590940" w:rsidP="00590940">
      <w:pPr>
        <w:autoSpaceDE w:val="0"/>
        <w:autoSpaceDN w:val="0"/>
        <w:adjustRightInd w:val="0"/>
        <w:jc w:val="left"/>
        <w:rPr>
          <w:rFonts w:ascii="宋体" w:eastAsia="宋体" w:cs="宋体"/>
          <w:kern w:val="0"/>
          <w:sz w:val="24"/>
          <w:szCs w:val="24"/>
        </w:rPr>
      </w:pPr>
      <w:proofErr w:type="gramStart"/>
      <w:r w:rsidRPr="00590940">
        <w:rPr>
          <w:rFonts w:ascii="宋体" w:eastAsia="宋体" w:cs="宋体" w:hint="eastAsia"/>
          <w:kern w:val="0"/>
          <w:sz w:val="24"/>
          <w:szCs w:val="24"/>
        </w:rPr>
        <w:t>败</w:t>
      </w:r>
      <w:proofErr w:type="gramEnd"/>
      <w:r w:rsidRPr="00590940">
        <w:rPr>
          <w:rFonts w:ascii="宋体" w:eastAsia="宋体" w:cs="宋体" w:hint="eastAsia"/>
          <w:kern w:val="0"/>
          <w:sz w:val="24"/>
          <w:szCs w:val="24"/>
        </w:rPr>
        <w:t>概率异象</w:t>
      </w:r>
      <w:r w:rsidRPr="00590940">
        <w:rPr>
          <w:rFonts w:ascii="宋体" w:eastAsia="宋体" w:cs="宋体"/>
          <w:kern w:val="0"/>
          <w:sz w:val="24"/>
          <w:szCs w:val="24"/>
        </w:rPr>
        <w:t>(FPROB)，投资支出异象(INV)，极大日收益率异象(MAX)，</w:t>
      </w:r>
      <w:proofErr w:type="gramStart"/>
      <w:r w:rsidRPr="00590940">
        <w:rPr>
          <w:rFonts w:ascii="宋体" w:eastAsia="宋体" w:cs="宋体"/>
          <w:kern w:val="0"/>
          <w:sz w:val="24"/>
          <w:szCs w:val="24"/>
        </w:rPr>
        <w:t>净股票</w:t>
      </w:r>
      <w:proofErr w:type="gramEnd"/>
      <w:r w:rsidRPr="00590940">
        <w:rPr>
          <w:rFonts w:ascii="宋体" w:eastAsia="宋体" w:cs="宋体"/>
          <w:kern w:val="0"/>
          <w:sz w:val="24"/>
          <w:szCs w:val="24"/>
        </w:rPr>
        <w:t>发</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行异象</w:t>
      </w:r>
      <w:r w:rsidRPr="00590940">
        <w:rPr>
          <w:rFonts w:ascii="宋体" w:eastAsia="宋体" w:cs="宋体"/>
          <w:kern w:val="0"/>
          <w:sz w:val="24"/>
          <w:szCs w:val="24"/>
        </w:rPr>
        <w:t>(NSI)，O-Score 异象(OSC)和外部融资异象(XFIN)，前景理论没有做出</w:t>
      </w:r>
      <w:r w:rsidRPr="00590940">
        <w:rPr>
          <w:rFonts w:ascii="宋体" w:eastAsia="宋体" w:cs="宋体"/>
          <w:kern w:val="0"/>
          <w:sz w:val="24"/>
          <w:szCs w:val="24"/>
        </w:rPr>
        <w:lastRenderedPageBreak/>
        <w:t>强预</w:t>
      </w:r>
      <w:r w:rsidRPr="00590940">
        <w:rPr>
          <w:rFonts w:ascii="宋体" w:eastAsia="宋体" w:cs="宋体" w:hint="eastAsia"/>
          <w:kern w:val="0"/>
          <w:sz w:val="24"/>
          <w:szCs w:val="24"/>
        </w:rPr>
        <w:t>测。正如公式</w:t>
      </w:r>
      <w:r w:rsidRPr="00590940">
        <w:rPr>
          <w:rFonts w:ascii="宋体" w:eastAsia="宋体" w:cs="宋体"/>
          <w:kern w:val="0"/>
          <w:sz w:val="24"/>
          <w:szCs w:val="24"/>
        </w:rPr>
        <w:t>(4.8)中所规定的，它所预测的两个极端十分位组</w:t>
      </w:r>
      <w:r w:rsidRPr="00590940">
        <w:rPr>
          <w:rFonts w:ascii="Cambria Math" w:eastAsia="宋体" w:hAnsi="Cambria Math" w:cs="Cambria Math"/>
          <w:kern w:val="0"/>
          <w:sz w:val="24"/>
          <w:szCs w:val="24"/>
        </w:rPr>
        <w:t>𝛼</w:t>
      </w:r>
      <w:r w:rsidRPr="00590940">
        <w:rPr>
          <w:rFonts w:ascii="宋体" w:eastAsia="宋体" w:cs="宋体"/>
          <w:kern w:val="0"/>
          <w:sz w:val="24"/>
          <w:szCs w:val="24"/>
        </w:rPr>
        <w:t>值之差的绝对值小</w:t>
      </w:r>
    </w:p>
    <w:p w:rsid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于</w:t>
      </w:r>
      <w:r w:rsidRPr="00590940">
        <w:rPr>
          <w:rFonts w:ascii="宋体" w:eastAsia="宋体" w:cs="宋体"/>
          <w:kern w:val="0"/>
          <w:sz w:val="24"/>
          <w:szCs w:val="24"/>
        </w:rPr>
        <w:t>1.5%。图4.14-图4.21 展示了这些市场异象的预测结果</w:t>
      </w:r>
      <w:r w:rsidRPr="00590940">
        <w:rPr>
          <w:rFonts w:ascii="宋体" w:eastAsia="宋体" w:cs="宋体"/>
          <w:kern w:val="0"/>
          <w:sz w:val="24"/>
          <w:szCs w:val="24"/>
        </w:rPr>
        <w:drawing>
          <wp:inline distT="0" distB="0" distL="0" distR="0" wp14:anchorId="6A8716F7" wp14:editId="4B1A228A">
            <wp:extent cx="5274310" cy="3176905"/>
            <wp:effectExtent l="0" t="0" r="2540" b="4445"/>
            <wp:docPr id="197769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228" name=""/>
                    <pic:cNvPicPr/>
                  </pic:nvPicPr>
                  <pic:blipFill>
                    <a:blip r:embed="rId31"/>
                    <a:stretch>
                      <a:fillRect/>
                    </a:stretch>
                  </pic:blipFill>
                  <pic:spPr>
                    <a:xfrm>
                      <a:off x="0" y="0"/>
                      <a:ext cx="5274310" cy="3176905"/>
                    </a:xfrm>
                    <a:prstGeom prst="rect">
                      <a:avLst/>
                    </a:prstGeom>
                  </pic:spPr>
                </pic:pic>
              </a:graphicData>
            </a:graphic>
          </wp:inline>
        </w:drawing>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drawing>
          <wp:inline distT="0" distB="0" distL="0" distR="0" wp14:anchorId="01DDA704" wp14:editId="596F2270">
            <wp:extent cx="5274310" cy="4285615"/>
            <wp:effectExtent l="0" t="0" r="2540" b="635"/>
            <wp:docPr id="1493565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65229" name=""/>
                    <pic:cNvPicPr/>
                  </pic:nvPicPr>
                  <pic:blipFill>
                    <a:blip r:embed="rId32"/>
                    <a:stretch>
                      <a:fillRect/>
                    </a:stretch>
                  </pic:blipFill>
                  <pic:spPr>
                    <a:xfrm>
                      <a:off x="0" y="0"/>
                      <a:ext cx="5274310" cy="4285615"/>
                    </a:xfrm>
                    <a:prstGeom prst="rect">
                      <a:avLst/>
                    </a:prstGeom>
                  </pic:spPr>
                </pic:pic>
              </a:graphicData>
            </a:graphic>
          </wp:inline>
        </w:drawing>
      </w:r>
      <w:r w:rsidRPr="00590940">
        <w:rPr>
          <w:rFonts w:ascii="宋体" w:eastAsia="宋体" w:cs="宋体"/>
          <w:kern w:val="0"/>
          <w:sz w:val="24"/>
          <w:szCs w:val="24"/>
        </w:rPr>
        <w:t>4.4 A 股市场与美股市场模型差异比较</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t>本文最后选用了同时存在于</w:t>
      </w:r>
      <w:r w:rsidRPr="00590940">
        <w:rPr>
          <w:rFonts w:ascii="宋体" w:eastAsia="宋体" w:cs="宋体"/>
          <w:kern w:val="0"/>
          <w:sz w:val="24"/>
          <w:szCs w:val="24"/>
        </w:rPr>
        <w:t xml:space="preserve">A 股市场和美股市场的19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市场异象，下表4.4</w:t>
      </w:r>
    </w:p>
    <w:p w:rsidR="00590940" w:rsidRPr="00590940" w:rsidRDefault="00590940" w:rsidP="00590940">
      <w:pPr>
        <w:autoSpaceDE w:val="0"/>
        <w:autoSpaceDN w:val="0"/>
        <w:adjustRightInd w:val="0"/>
        <w:jc w:val="left"/>
        <w:rPr>
          <w:rFonts w:ascii="宋体" w:eastAsia="宋体" w:cs="宋体"/>
          <w:kern w:val="0"/>
          <w:sz w:val="24"/>
          <w:szCs w:val="24"/>
        </w:rPr>
      </w:pPr>
      <w:r w:rsidRPr="00590940">
        <w:rPr>
          <w:rFonts w:ascii="宋体" w:eastAsia="宋体" w:cs="宋体" w:hint="eastAsia"/>
          <w:kern w:val="0"/>
          <w:sz w:val="24"/>
          <w:szCs w:val="24"/>
        </w:rPr>
        <w:lastRenderedPageBreak/>
        <w:t>展示了对于这</w:t>
      </w:r>
      <w:r w:rsidRPr="00590940">
        <w:rPr>
          <w:rFonts w:ascii="宋体" w:eastAsia="宋体" w:cs="宋体"/>
          <w:kern w:val="0"/>
          <w:sz w:val="24"/>
          <w:szCs w:val="24"/>
        </w:rPr>
        <w:t xml:space="preserve">19 </w:t>
      </w:r>
      <w:proofErr w:type="gramStart"/>
      <w:r w:rsidRPr="00590940">
        <w:rPr>
          <w:rFonts w:ascii="宋体" w:eastAsia="宋体" w:cs="宋体"/>
          <w:kern w:val="0"/>
          <w:sz w:val="24"/>
          <w:szCs w:val="24"/>
        </w:rPr>
        <w:t>个</w:t>
      </w:r>
      <w:proofErr w:type="gramEnd"/>
      <w:r w:rsidRPr="00590940">
        <w:rPr>
          <w:rFonts w:ascii="宋体" w:eastAsia="宋体" w:cs="宋体"/>
          <w:kern w:val="0"/>
          <w:sz w:val="24"/>
          <w:szCs w:val="24"/>
        </w:rPr>
        <w:t>异象，</w:t>
      </w:r>
      <w:proofErr w:type="spellStart"/>
      <w:r w:rsidRPr="00590940">
        <w:rPr>
          <w:rFonts w:ascii="宋体" w:eastAsia="宋体" w:cs="宋体"/>
          <w:kern w:val="0"/>
          <w:sz w:val="24"/>
          <w:szCs w:val="24"/>
        </w:rPr>
        <w:t>Barberis</w:t>
      </w:r>
      <w:proofErr w:type="spellEnd"/>
      <w:r w:rsidRPr="00590940">
        <w:rPr>
          <w:rFonts w:ascii="宋体" w:eastAsia="宋体" w:cs="宋体"/>
          <w:kern w:val="0"/>
          <w:sz w:val="24"/>
          <w:szCs w:val="24"/>
        </w:rPr>
        <w:t>，</w:t>
      </w:r>
      <w:proofErr w:type="spellStart"/>
      <w:r w:rsidRPr="00590940">
        <w:rPr>
          <w:rFonts w:ascii="宋体" w:eastAsia="宋体" w:cs="宋体"/>
          <w:kern w:val="0"/>
          <w:sz w:val="24"/>
          <w:szCs w:val="24"/>
        </w:rPr>
        <w:t>Jin</w:t>
      </w:r>
      <w:proofErr w:type="spellEnd"/>
      <w:r w:rsidRPr="00590940">
        <w:rPr>
          <w:rFonts w:ascii="宋体" w:eastAsia="宋体" w:cs="宋体"/>
          <w:kern w:val="0"/>
          <w:sz w:val="24"/>
          <w:szCs w:val="24"/>
        </w:rPr>
        <w:t xml:space="preserve"> 和Wang(2021)利用美</w:t>
      </w:r>
      <w:proofErr w:type="gramStart"/>
      <w:r w:rsidRPr="00590940">
        <w:rPr>
          <w:rFonts w:ascii="宋体" w:eastAsia="宋体" w:cs="宋体"/>
          <w:kern w:val="0"/>
          <w:sz w:val="24"/>
          <w:szCs w:val="24"/>
        </w:rPr>
        <w:t>股数据</w:t>
      </w:r>
      <w:proofErr w:type="gramEnd"/>
      <w:r w:rsidRPr="00590940">
        <w:rPr>
          <w:rFonts w:ascii="宋体" w:eastAsia="宋体" w:cs="宋体"/>
          <w:kern w:val="0"/>
          <w:sz w:val="24"/>
          <w:szCs w:val="24"/>
        </w:rPr>
        <w:t>及本文利用</w:t>
      </w:r>
    </w:p>
    <w:p w:rsidR="0079159D" w:rsidRPr="0079159D" w:rsidRDefault="00590940" w:rsidP="0079159D">
      <w:pPr>
        <w:autoSpaceDE w:val="0"/>
        <w:autoSpaceDN w:val="0"/>
        <w:adjustRightInd w:val="0"/>
        <w:jc w:val="left"/>
        <w:rPr>
          <w:rFonts w:ascii="宋体" w:eastAsia="宋体" w:cs="宋体"/>
          <w:kern w:val="0"/>
          <w:sz w:val="24"/>
          <w:szCs w:val="24"/>
        </w:rPr>
      </w:pPr>
      <w:r w:rsidRPr="00590940">
        <w:rPr>
          <w:rFonts w:ascii="宋体" w:eastAsia="宋体" w:cs="宋体"/>
          <w:kern w:val="0"/>
          <w:sz w:val="24"/>
          <w:szCs w:val="24"/>
        </w:rPr>
        <w:t xml:space="preserve">A </w:t>
      </w:r>
      <w:proofErr w:type="gramStart"/>
      <w:r w:rsidRPr="00590940">
        <w:rPr>
          <w:rFonts w:ascii="宋体" w:eastAsia="宋体" w:cs="宋体"/>
          <w:kern w:val="0"/>
          <w:sz w:val="24"/>
          <w:szCs w:val="24"/>
        </w:rPr>
        <w:t>股数据</w:t>
      </w:r>
      <w:proofErr w:type="gramEnd"/>
      <w:r w:rsidRPr="00590940">
        <w:rPr>
          <w:rFonts w:ascii="宋体" w:eastAsia="宋体" w:cs="宋体"/>
          <w:kern w:val="0"/>
          <w:sz w:val="24"/>
          <w:szCs w:val="24"/>
        </w:rPr>
        <w:t>的模型表现。</w:t>
      </w:r>
      <w:r w:rsidR="0079159D" w:rsidRPr="0079159D">
        <w:rPr>
          <w:rFonts w:ascii="宋体" w:eastAsia="宋体" w:cs="宋体"/>
          <w:kern w:val="0"/>
          <w:sz w:val="24"/>
          <w:szCs w:val="24"/>
        </w:rPr>
        <w:drawing>
          <wp:inline distT="0" distB="0" distL="0" distR="0" wp14:anchorId="1BEBE090" wp14:editId="105D3303">
            <wp:extent cx="5274310" cy="1837690"/>
            <wp:effectExtent l="0" t="0" r="2540" b="0"/>
            <wp:docPr id="1537767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67544" name=""/>
                    <pic:cNvPicPr/>
                  </pic:nvPicPr>
                  <pic:blipFill>
                    <a:blip r:embed="rId33"/>
                    <a:stretch>
                      <a:fillRect/>
                    </a:stretch>
                  </pic:blipFill>
                  <pic:spPr>
                    <a:xfrm>
                      <a:off x="0" y="0"/>
                      <a:ext cx="5274310" cy="1837690"/>
                    </a:xfrm>
                    <a:prstGeom prst="rect">
                      <a:avLst/>
                    </a:prstGeom>
                  </pic:spPr>
                </pic:pic>
              </a:graphicData>
            </a:graphic>
          </wp:inline>
        </w:drawing>
      </w:r>
      <w:r w:rsidR="0079159D" w:rsidRPr="0079159D">
        <w:rPr>
          <w:rFonts w:ascii="宋体" w:eastAsia="宋体" w:cs="宋体" w:hint="eastAsia"/>
          <w:kern w:val="0"/>
          <w:sz w:val="24"/>
          <w:szCs w:val="24"/>
        </w:rPr>
        <w:t>通过比较发现，该模型在美股市场上能够解释</w:t>
      </w:r>
      <w:r w:rsidR="0079159D" w:rsidRPr="0079159D">
        <w:rPr>
          <w:rFonts w:ascii="宋体" w:eastAsia="宋体" w:cs="宋体"/>
          <w:kern w:val="0"/>
          <w:sz w:val="24"/>
          <w:szCs w:val="24"/>
        </w:rPr>
        <w:t xml:space="preserve">19 </w:t>
      </w:r>
      <w:proofErr w:type="gramStart"/>
      <w:r w:rsidR="0079159D" w:rsidRPr="0079159D">
        <w:rPr>
          <w:rFonts w:ascii="宋体" w:eastAsia="宋体" w:cs="宋体"/>
          <w:kern w:val="0"/>
          <w:sz w:val="24"/>
          <w:szCs w:val="24"/>
        </w:rPr>
        <w:t>个</w:t>
      </w:r>
      <w:proofErr w:type="gramEnd"/>
      <w:r w:rsidR="0079159D" w:rsidRPr="0079159D">
        <w:rPr>
          <w:rFonts w:ascii="宋体" w:eastAsia="宋体" w:cs="宋体"/>
          <w:kern w:val="0"/>
          <w:sz w:val="24"/>
          <w:szCs w:val="24"/>
        </w:rPr>
        <w:t xml:space="preserve">异象中的10 </w:t>
      </w:r>
      <w:proofErr w:type="gramStart"/>
      <w:r w:rsidR="0079159D" w:rsidRPr="0079159D">
        <w:rPr>
          <w:rFonts w:ascii="宋体" w:eastAsia="宋体" w:cs="宋体"/>
          <w:kern w:val="0"/>
          <w:sz w:val="24"/>
          <w:szCs w:val="24"/>
        </w:rPr>
        <w:t>个</w:t>
      </w:r>
      <w:proofErr w:type="gramEnd"/>
      <w:r w:rsidR="0079159D" w:rsidRPr="0079159D">
        <w:rPr>
          <w:rFonts w:ascii="宋体" w:eastAsia="宋体" w:cs="宋体"/>
          <w:kern w:val="0"/>
          <w:sz w:val="24"/>
          <w:szCs w:val="24"/>
        </w:rPr>
        <w:t>——</w:t>
      </w:r>
      <w:r w:rsidR="0079159D" w:rsidRPr="0079159D">
        <w:rPr>
          <w:rFonts w:ascii="宋体" w:eastAsia="宋体" w:cs="宋体"/>
          <w:kern w:val="0"/>
          <w:sz w:val="24"/>
          <w:szCs w:val="24"/>
        </w:rPr>
        <w:t>复合</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股权发行异象</w:t>
      </w:r>
      <w:r w:rsidRPr="0079159D">
        <w:rPr>
          <w:rFonts w:ascii="宋体" w:eastAsia="宋体" w:cs="宋体"/>
          <w:kern w:val="0"/>
          <w:sz w:val="24"/>
          <w:szCs w:val="24"/>
        </w:rPr>
        <w:t>(CEI)，特质波动率异象(IVOL)，失败概率异象(FPROB)，极大日收</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益率异象</w:t>
      </w:r>
      <w:r w:rsidRPr="0079159D">
        <w:rPr>
          <w:rFonts w:ascii="宋体" w:eastAsia="宋体" w:cs="宋体"/>
          <w:kern w:val="0"/>
          <w:sz w:val="24"/>
          <w:szCs w:val="24"/>
        </w:rPr>
        <w:t>(MAX)，动量异象(MOM)，</w:t>
      </w:r>
      <w:proofErr w:type="gramStart"/>
      <w:r w:rsidRPr="0079159D">
        <w:rPr>
          <w:rFonts w:ascii="宋体" w:eastAsia="宋体" w:cs="宋体"/>
          <w:kern w:val="0"/>
          <w:sz w:val="24"/>
          <w:szCs w:val="24"/>
        </w:rPr>
        <w:t>净股票</w:t>
      </w:r>
      <w:proofErr w:type="gramEnd"/>
      <w:r w:rsidRPr="0079159D">
        <w:rPr>
          <w:rFonts w:ascii="宋体" w:eastAsia="宋体" w:cs="宋体"/>
          <w:kern w:val="0"/>
          <w:sz w:val="24"/>
          <w:szCs w:val="24"/>
        </w:rPr>
        <w:t>异象(NSI)，O-Score 异象(OSC)，盈余</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公告后的价格漂移异象</w:t>
      </w:r>
      <w:r w:rsidRPr="0079159D">
        <w:rPr>
          <w:rFonts w:ascii="宋体" w:eastAsia="宋体" w:cs="宋体"/>
          <w:kern w:val="0"/>
          <w:sz w:val="24"/>
          <w:szCs w:val="24"/>
        </w:rPr>
        <w:t>(PEAD)，资产回报率异象(ROA)和外部融资异象(XFIN)，</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而在</w:t>
      </w:r>
      <w:r w:rsidRPr="0079159D">
        <w:rPr>
          <w:rFonts w:ascii="宋体" w:eastAsia="宋体" w:cs="宋体"/>
          <w:kern w:val="0"/>
          <w:sz w:val="24"/>
          <w:szCs w:val="24"/>
        </w:rPr>
        <w:t xml:space="preserve">A 股市场上只能解释4 </w:t>
      </w:r>
      <w:proofErr w:type="gramStart"/>
      <w:r w:rsidRPr="0079159D">
        <w:rPr>
          <w:rFonts w:ascii="宋体" w:eastAsia="宋体" w:cs="宋体"/>
          <w:kern w:val="0"/>
          <w:sz w:val="24"/>
          <w:szCs w:val="24"/>
        </w:rPr>
        <w:t>个</w:t>
      </w:r>
      <w:proofErr w:type="gramEnd"/>
      <w:r w:rsidRPr="0079159D">
        <w:rPr>
          <w:rFonts w:ascii="宋体" w:eastAsia="宋体" w:cs="宋体"/>
          <w:kern w:val="0"/>
          <w:sz w:val="24"/>
          <w:szCs w:val="24"/>
        </w:rPr>
        <w:t>市场异象</w:t>
      </w:r>
      <w:r w:rsidRPr="0079159D">
        <w:rPr>
          <w:rFonts w:ascii="宋体" w:eastAsia="宋体" w:cs="宋体"/>
          <w:kern w:val="0"/>
          <w:sz w:val="24"/>
          <w:szCs w:val="24"/>
        </w:rPr>
        <w:t>——</w:t>
      </w:r>
      <w:r w:rsidRPr="0079159D">
        <w:rPr>
          <w:rFonts w:ascii="宋体" w:eastAsia="宋体" w:cs="宋体"/>
          <w:kern w:val="0"/>
          <w:sz w:val="24"/>
          <w:szCs w:val="24"/>
        </w:rPr>
        <w:t>综合股权发行异象(CEI)，特质波动</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率异象</w:t>
      </w:r>
      <w:r w:rsidRPr="0079159D">
        <w:rPr>
          <w:rFonts w:ascii="宋体" w:eastAsia="宋体" w:cs="宋体"/>
          <w:kern w:val="0"/>
          <w:sz w:val="24"/>
          <w:szCs w:val="24"/>
        </w:rPr>
        <w:t>(IVOL)，动量异象(MOM)和盈余公告后的价格漂移异象(PEAD)。其中在解</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释综合</w:t>
      </w:r>
      <w:proofErr w:type="gramEnd"/>
      <w:r w:rsidRPr="0079159D">
        <w:rPr>
          <w:rFonts w:ascii="宋体" w:eastAsia="宋体" w:cs="宋体" w:hint="eastAsia"/>
          <w:kern w:val="0"/>
          <w:sz w:val="24"/>
          <w:szCs w:val="24"/>
        </w:rPr>
        <w:t>股权发行异象</w:t>
      </w:r>
      <w:r w:rsidRPr="0079159D">
        <w:rPr>
          <w:rFonts w:ascii="宋体" w:eastAsia="宋体" w:cs="宋体"/>
          <w:kern w:val="0"/>
          <w:sz w:val="24"/>
          <w:szCs w:val="24"/>
        </w:rPr>
        <w:t>(CEI)，特质波动率异象(IVOL)，动量异象(MOM)和盈余公告</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后的价格漂移异象</w:t>
      </w:r>
      <w:r w:rsidRPr="0079159D">
        <w:rPr>
          <w:rFonts w:ascii="宋体" w:eastAsia="宋体" w:cs="宋体"/>
          <w:kern w:val="0"/>
          <w:sz w:val="24"/>
          <w:szCs w:val="24"/>
        </w:rPr>
        <w:t>(PEAD)方面，无论是在美股市场还是在A 股市场，模型都表现</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良好。</w:t>
      </w:r>
    </w:p>
    <w:p w:rsidR="0079159D" w:rsidRPr="0079159D" w:rsidRDefault="0079159D" w:rsidP="0079159D">
      <w:pPr>
        <w:autoSpaceDE w:val="0"/>
        <w:autoSpaceDN w:val="0"/>
        <w:adjustRightInd w:val="0"/>
        <w:jc w:val="left"/>
        <w:rPr>
          <w:rFonts w:ascii="宋体" w:eastAsia="宋体" w:cs="宋体"/>
          <w:kern w:val="0"/>
          <w:sz w:val="24"/>
          <w:szCs w:val="24"/>
        </w:rPr>
      </w:pPr>
      <w:proofErr w:type="spellStart"/>
      <w:r w:rsidRPr="0079159D">
        <w:rPr>
          <w:rFonts w:ascii="宋体" w:eastAsia="宋体" w:cs="宋体"/>
          <w:kern w:val="0"/>
          <w:sz w:val="24"/>
          <w:szCs w:val="24"/>
        </w:rPr>
        <w:t>Barberis</w:t>
      </w:r>
      <w:proofErr w:type="spellEnd"/>
      <w:r w:rsidRPr="0079159D">
        <w:rPr>
          <w:rFonts w:ascii="宋体" w:eastAsia="宋体" w:cs="宋体"/>
          <w:kern w:val="0"/>
          <w:sz w:val="24"/>
          <w:szCs w:val="24"/>
        </w:rPr>
        <w:t>，</w:t>
      </w:r>
      <w:proofErr w:type="spellStart"/>
      <w:r w:rsidRPr="0079159D">
        <w:rPr>
          <w:rFonts w:ascii="宋体" w:eastAsia="宋体" w:cs="宋体"/>
          <w:kern w:val="0"/>
          <w:sz w:val="24"/>
          <w:szCs w:val="24"/>
        </w:rPr>
        <w:t>Jin</w:t>
      </w:r>
      <w:proofErr w:type="spellEnd"/>
      <w:r w:rsidRPr="0079159D">
        <w:rPr>
          <w:rFonts w:ascii="宋体" w:eastAsia="宋体" w:cs="宋体"/>
          <w:kern w:val="0"/>
          <w:sz w:val="24"/>
          <w:szCs w:val="24"/>
        </w:rPr>
        <w:t xml:space="preserve"> 和Wang(2021)认为，模型不能解释异象的原因一方面可能是前</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景理论</w:t>
      </w:r>
      <w:proofErr w:type="gramEnd"/>
      <w:r w:rsidRPr="0079159D">
        <w:rPr>
          <w:rFonts w:ascii="宋体" w:eastAsia="宋体" w:cs="宋体" w:hint="eastAsia"/>
          <w:kern w:val="0"/>
          <w:sz w:val="24"/>
          <w:szCs w:val="24"/>
        </w:rPr>
        <w:t>所反映的风险态度并不是异象平均收益差异的主要驱动因素，另一方面模</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型假设投资者对股票收益率的波动率、偏度和未实现资本利得有准确的信念，然</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而，对于某些类型的股票，投资者对这些特征的信念可能是不正确的。本文考虑</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到，模型不能解释</w:t>
      </w:r>
      <w:r w:rsidRPr="0079159D">
        <w:rPr>
          <w:rFonts w:ascii="宋体" w:eastAsia="宋体" w:cs="宋体"/>
          <w:kern w:val="0"/>
          <w:sz w:val="24"/>
          <w:szCs w:val="24"/>
        </w:rPr>
        <w:t>A 股市场异象一方面可能是因为</w:t>
      </w:r>
      <w:proofErr w:type="spellStart"/>
      <w:r w:rsidRPr="0079159D">
        <w:rPr>
          <w:rFonts w:ascii="宋体" w:eastAsia="宋体" w:cs="宋体"/>
          <w:kern w:val="0"/>
          <w:sz w:val="24"/>
          <w:szCs w:val="24"/>
        </w:rPr>
        <w:t>Barberis</w:t>
      </w:r>
      <w:proofErr w:type="spellEnd"/>
      <w:r w:rsidRPr="0079159D">
        <w:rPr>
          <w:rFonts w:ascii="宋体" w:eastAsia="宋体" w:cs="宋体"/>
          <w:kern w:val="0"/>
          <w:sz w:val="24"/>
          <w:szCs w:val="24"/>
        </w:rPr>
        <w:t>，</w:t>
      </w:r>
      <w:proofErr w:type="spellStart"/>
      <w:r w:rsidRPr="0079159D">
        <w:rPr>
          <w:rFonts w:ascii="宋体" w:eastAsia="宋体" w:cs="宋体"/>
          <w:kern w:val="0"/>
          <w:sz w:val="24"/>
          <w:szCs w:val="24"/>
        </w:rPr>
        <w:t>Jin</w:t>
      </w:r>
      <w:proofErr w:type="spellEnd"/>
      <w:r w:rsidRPr="0079159D">
        <w:rPr>
          <w:rFonts w:ascii="宋体" w:eastAsia="宋体" w:cs="宋体"/>
          <w:kern w:val="0"/>
          <w:sz w:val="24"/>
          <w:szCs w:val="24"/>
        </w:rPr>
        <w:t xml:space="preserve"> 和Wang(2021)提</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到的信念不准确，也可能是因为</w:t>
      </w:r>
      <w:r w:rsidRPr="0079159D">
        <w:rPr>
          <w:rFonts w:ascii="宋体" w:eastAsia="宋体" w:cs="宋体"/>
          <w:kern w:val="0"/>
          <w:sz w:val="24"/>
          <w:szCs w:val="24"/>
        </w:rPr>
        <w:t>A 股市</w:t>
      </w:r>
      <w:proofErr w:type="gramStart"/>
      <w:r w:rsidRPr="0079159D">
        <w:rPr>
          <w:rFonts w:ascii="宋体" w:eastAsia="宋体" w:cs="宋体"/>
          <w:kern w:val="0"/>
          <w:sz w:val="24"/>
          <w:szCs w:val="24"/>
        </w:rPr>
        <w:t>场某些</w:t>
      </w:r>
      <w:proofErr w:type="gramEnd"/>
      <w:r w:rsidRPr="0079159D">
        <w:rPr>
          <w:rFonts w:ascii="宋体" w:eastAsia="宋体" w:cs="宋体"/>
          <w:kern w:val="0"/>
          <w:sz w:val="24"/>
          <w:szCs w:val="24"/>
        </w:rPr>
        <w:t>区别于美股市</w:t>
      </w:r>
      <w:proofErr w:type="gramStart"/>
      <w:r w:rsidRPr="0079159D">
        <w:rPr>
          <w:rFonts w:ascii="宋体" w:eastAsia="宋体" w:cs="宋体"/>
          <w:kern w:val="0"/>
          <w:sz w:val="24"/>
          <w:szCs w:val="24"/>
        </w:rPr>
        <w:t>场这种</w:t>
      </w:r>
      <w:proofErr w:type="gramEnd"/>
      <w:r w:rsidRPr="0079159D">
        <w:rPr>
          <w:rFonts w:ascii="宋体" w:eastAsia="宋体" w:cs="宋体"/>
          <w:kern w:val="0"/>
          <w:sz w:val="24"/>
          <w:szCs w:val="24"/>
        </w:rPr>
        <w:t>成熟市场的特</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点。</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从总体上来看，模型在</w:t>
      </w:r>
      <w:r w:rsidRPr="0079159D">
        <w:rPr>
          <w:rFonts w:ascii="宋体" w:eastAsia="宋体" w:cs="宋体"/>
          <w:kern w:val="0"/>
          <w:sz w:val="24"/>
          <w:szCs w:val="24"/>
        </w:rPr>
        <w:t>A 股市场上的表现与美股市场相比较差，主要在于模</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型不能</w:t>
      </w:r>
      <w:proofErr w:type="gramEnd"/>
      <w:r w:rsidRPr="0079159D">
        <w:rPr>
          <w:rFonts w:ascii="宋体" w:eastAsia="宋体" w:cs="宋体" w:hint="eastAsia"/>
          <w:kern w:val="0"/>
          <w:sz w:val="24"/>
          <w:szCs w:val="24"/>
        </w:rPr>
        <w:t>对</w:t>
      </w:r>
      <w:r w:rsidRPr="0079159D">
        <w:rPr>
          <w:rFonts w:ascii="宋体" w:eastAsia="宋体" w:cs="宋体"/>
          <w:kern w:val="0"/>
          <w:sz w:val="24"/>
          <w:szCs w:val="24"/>
        </w:rPr>
        <w:t>A 股市场上的失败概率异象(FPROB)，O-Score 异象(OSC)，</w:t>
      </w:r>
      <w:proofErr w:type="gramStart"/>
      <w:r w:rsidRPr="0079159D">
        <w:rPr>
          <w:rFonts w:ascii="宋体" w:eastAsia="宋体" w:cs="宋体"/>
          <w:kern w:val="0"/>
          <w:sz w:val="24"/>
          <w:szCs w:val="24"/>
        </w:rPr>
        <w:t>净股票</w:t>
      </w:r>
      <w:proofErr w:type="gramEnd"/>
      <w:r w:rsidRPr="0079159D">
        <w:rPr>
          <w:rFonts w:ascii="宋体" w:eastAsia="宋体" w:cs="宋体"/>
          <w:kern w:val="0"/>
          <w:sz w:val="24"/>
          <w:szCs w:val="24"/>
        </w:rPr>
        <w:t>发行</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异象</w:t>
      </w:r>
      <w:r w:rsidRPr="0079159D">
        <w:rPr>
          <w:rFonts w:ascii="宋体" w:eastAsia="宋体" w:cs="宋体"/>
          <w:kern w:val="0"/>
          <w:sz w:val="24"/>
          <w:szCs w:val="24"/>
        </w:rPr>
        <w:t>(NSI)，外部融资异象(XFIN)和极大日收益率异象(MAX)做出显著预测，且</w:t>
      </w:r>
      <w:r w:rsidRPr="0079159D">
        <w:rPr>
          <w:rFonts w:ascii="宋体" w:eastAsia="宋体" w:cs="宋体"/>
          <w:kern w:val="0"/>
          <w:sz w:val="24"/>
          <w:szCs w:val="24"/>
        </w:rPr>
        <w:lastRenderedPageBreak/>
        <w:t>模</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kern w:val="0"/>
          <w:sz w:val="24"/>
          <w:szCs w:val="24"/>
        </w:rPr>
        <w:t>45</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型不能</w:t>
      </w:r>
      <w:proofErr w:type="gramEnd"/>
      <w:r w:rsidRPr="0079159D">
        <w:rPr>
          <w:rFonts w:ascii="宋体" w:eastAsia="宋体" w:cs="宋体" w:hint="eastAsia"/>
          <w:kern w:val="0"/>
          <w:sz w:val="24"/>
          <w:szCs w:val="24"/>
        </w:rPr>
        <w:t>解释</w:t>
      </w:r>
      <w:r w:rsidRPr="0079159D">
        <w:rPr>
          <w:rFonts w:ascii="宋体" w:eastAsia="宋体" w:cs="宋体"/>
          <w:kern w:val="0"/>
          <w:sz w:val="24"/>
          <w:szCs w:val="24"/>
        </w:rPr>
        <w:t>A 股市场上的资产回报率异象(ROA)。</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对于</w:t>
      </w:r>
      <w:proofErr w:type="gramStart"/>
      <w:r w:rsidRPr="0079159D">
        <w:rPr>
          <w:rFonts w:ascii="宋体" w:eastAsia="宋体" w:cs="宋体" w:hint="eastAsia"/>
          <w:kern w:val="0"/>
          <w:sz w:val="24"/>
          <w:szCs w:val="24"/>
        </w:rPr>
        <w:t>净股票</w:t>
      </w:r>
      <w:proofErr w:type="gramEnd"/>
      <w:r w:rsidRPr="0079159D">
        <w:rPr>
          <w:rFonts w:ascii="宋体" w:eastAsia="宋体" w:cs="宋体" w:hint="eastAsia"/>
          <w:kern w:val="0"/>
          <w:sz w:val="24"/>
          <w:szCs w:val="24"/>
        </w:rPr>
        <w:t>发行异象</w:t>
      </w:r>
      <w:r w:rsidRPr="0079159D">
        <w:rPr>
          <w:rFonts w:ascii="宋体" w:eastAsia="宋体" w:cs="宋体"/>
          <w:kern w:val="0"/>
          <w:sz w:val="24"/>
          <w:szCs w:val="24"/>
        </w:rPr>
        <w:t>(NSI)和外部融资异象(XFIN)，在美股市场上，模型不仅</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能够预测出这两个异象极端十分位组</w:t>
      </w:r>
      <w:r w:rsidRPr="0079159D">
        <w:rPr>
          <w:rFonts w:ascii="Cambria Math" w:eastAsia="宋体" w:hAnsi="Cambria Math" w:cs="Cambria Math"/>
          <w:kern w:val="0"/>
          <w:sz w:val="24"/>
          <w:szCs w:val="24"/>
        </w:rPr>
        <w:t>𝛼</w:t>
      </w:r>
      <w:r w:rsidRPr="0079159D">
        <w:rPr>
          <w:rFonts w:ascii="宋体" w:eastAsia="宋体" w:cs="宋体"/>
          <w:kern w:val="0"/>
          <w:sz w:val="24"/>
          <w:szCs w:val="24"/>
        </w:rPr>
        <w:t>值的大小关系，并且能够预测出极端十分</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位组</w:t>
      </w:r>
      <w:r w:rsidRPr="0079159D">
        <w:rPr>
          <w:rFonts w:ascii="Cambria Math" w:eastAsia="宋体" w:hAnsi="Cambria Math" w:cs="Cambria Math"/>
          <w:kern w:val="0"/>
          <w:sz w:val="24"/>
          <w:szCs w:val="24"/>
        </w:rPr>
        <w:t>𝛼</w:t>
      </w:r>
      <w:r w:rsidRPr="0079159D">
        <w:rPr>
          <w:rFonts w:ascii="宋体" w:eastAsia="宋体" w:cs="宋体"/>
          <w:kern w:val="0"/>
          <w:sz w:val="24"/>
          <w:szCs w:val="24"/>
        </w:rPr>
        <w:t>值之间的巨大差异，做出强预测；而在A 股市场上，模型只能够预测出极</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端十分</w:t>
      </w:r>
      <w:proofErr w:type="gramEnd"/>
      <w:r w:rsidRPr="0079159D">
        <w:rPr>
          <w:rFonts w:ascii="宋体" w:eastAsia="宋体" w:cs="宋体" w:hint="eastAsia"/>
          <w:kern w:val="0"/>
          <w:sz w:val="24"/>
          <w:szCs w:val="24"/>
        </w:rPr>
        <w:t>位组</w:t>
      </w:r>
      <w:r w:rsidRPr="0079159D">
        <w:rPr>
          <w:rFonts w:ascii="Cambria Math" w:eastAsia="宋体" w:hAnsi="Cambria Math" w:cs="Cambria Math"/>
          <w:kern w:val="0"/>
          <w:sz w:val="24"/>
          <w:szCs w:val="24"/>
        </w:rPr>
        <w:t>𝛼</w:t>
      </w:r>
      <w:r w:rsidRPr="0079159D">
        <w:rPr>
          <w:rFonts w:ascii="宋体" w:eastAsia="宋体" w:cs="宋体"/>
          <w:kern w:val="0"/>
          <w:sz w:val="24"/>
          <w:szCs w:val="24"/>
        </w:rPr>
        <w:t>值的大小关系，而不能预测出极端十分位组</w:t>
      </w:r>
      <w:r w:rsidRPr="0079159D">
        <w:rPr>
          <w:rFonts w:ascii="Cambria Math" w:eastAsia="宋体" w:hAnsi="Cambria Math" w:cs="Cambria Math"/>
          <w:kern w:val="0"/>
          <w:sz w:val="24"/>
          <w:szCs w:val="24"/>
        </w:rPr>
        <w:t>𝛼</w:t>
      </w:r>
      <w:r w:rsidRPr="0079159D">
        <w:rPr>
          <w:rFonts w:ascii="宋体" w:eastAsia="宋体" w:cs="宋体"/>
          <w:kern w:val="0"/>
          <w:sz w:val="24"/>
          <w:szCs w:val="24"/>
        </w:rPr>
        <w:t>值之间的差异性，本文</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使用</w:t>
      </w:r>
      <w:r w:rsidRPr="0079159D">
        <w:rPr>
          <w:rFonts w:ascii="宋体" w:eastAsia="宋体" w:cs="宋体"/>
          <w:kern w:val="0"/>
          <w:sz w:val="24"/>
          <w:szCs w:val="24"/>
        </w:rPr>
        <w:t>A 股市</w:t>
      </w:r>
      <w:proofErr w:type="gramStart"/>
      <w:r w:rsidRPr="0079159D">
        <w:rPr>
          <w:rFonts w:ascii="宋体" w:eastAsia="宋体" w:cs="宋体"/>
          <w:kern w:val="0"/>
          <w:sz w:val="24"/>
          <w:szCs w:val="24"/>
        </w:rPr>
        <w:t>场数据</w:t>
      </w:r>
      <w:proofErr w:type="gramEnd"/>
      <w:r w:rsidRPr="0079159D">
        <w:rPr>
          <w:rFonts w:ascii="宋体" w:eastAsia="宋体" w:cs="宋体"/>
          <w:kern w:val="0"/>
          <w:sz w:val="24"/>
          <w:szCs w:val="24"/>
        </w:rPr>
        <w:t>预测出外部融资异象极端十分位组</w:t>
      </w:r>
      <w:r w:rsidRPr="0079159D">
        <w:rPr>
          <w:rFonts w:ascii="Cambria Math" w:eastAsia="宋体" w:hAnsi="Cambria Math" w:cs="Cambria Math"/>
          <w:kern w:val="0"/>
          <w:sz w:val="24"/>
          <w:szCs w:val="24"/>
        </w:rPr>
        <w:t>𝛼</w:t>
      </w:r>
      <w:r w:rsidRPr="0079159D">
        <w:rPr>
          <w:rFonts w:ascii="宋体" w:eastAsia="宋体" w:cs="宋体"/>
          <w:kern w:val="0"/>
          <w:sz w:val="24"/>
          <w:szCs w:val="24"/>
        </w:rPr>
        <w:t>值差异的绝对值为1.046%，</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略小于</w:t>
      </w:r>
      <w:r w:rsidRPr="0079159D">
        <w:rPr>
          <w:rFonts w:ascii="宋体" w:eastAsia="宋体" w:cs="宋体"/>
          <w:kern w:val="0"/>
          <w:sz w:val="24"/>
          <w:szCs w:val="24"/>
        </w:rPr>
        <w:t>1.5%，</w:t>
      </w:r>
      <w:proofErr w:type="gramStart"/>
      <w:r w:rsidRPr="0079159D">
        <w:rPr>
          <w:rFonts w:ascii="宋体" w:eastAsia="宋体" w:cs="宋体"/>
          <w:kern w:val="0"/>
          <w:sz w:val="24"/>
          <w:szCs w:val="24"/>
        </w:rPr>
        <w:t>净股票</w:t>
      </w:r>
      <w:proofErr w:type="gramEnd"/>
      <w:r w:rsidRPr="0079159D">
        <w:rPr>
          <w:rFonts w:ascii="宋体" w:eastAsia="宋体" w:cs="宋体"/>
          <w:kern w:val="0"/>
          <w:sz w:val="24"/>
          <w:szCs w:val="24"/>
        </w:rPr>
        <w:t>发行异象则为0.016%，不能做出强预测。这说明在A 股市</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场上，解释</w:t>
      </w:r>
      <w:proofErr w:type="gramStart"/>
      <w:r w:rsidRPr="0079159D">
        <w:rPr>
          <w:rFonts w:ascii="宋体" w:eastAsia="宋体" w:cs="宋体" w:hint="eastAsia"/>
          <w:kern w:val="0"/>
          <w:sz w:val="24"/>
          <w:szCs w:val="24"/>
        </w:rPr>
        <w:t>净股票</w:t>
      </w:r>
      <w:proofErr w:type="gramEnd"/>
      <w:r w:rsidRPr="0079159D">
        <w:rPr>
          <w:rFonts w:ascii="宋体" w:eastAsia="宋体" w:cs="宋体" w:hint="eastAsia"/>
          <w:kern w:val="0"/>
          <w:sz w:val="24"/>
          <w:szCs w:val="24"/>
        </w:rPr>
        <w:t>发行异象和外部融资异象的形成原因时，一方面可以从前景理</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论的角度考虑，如外部融资异象</w:t>
      </w:r>
      <w:r w:rsidRPr="0079159D">
        <w:rPr>
          <w:rFonts w:ascii="Cambria Math" w:eastAsia="宋体" w:hAnsi="Cambria Math" w:cs="Cambria Math"/>
          <w:kern w:val="0"/>
          <w:sz w:val="24"/>
          <w:szCs w:val="24"/>
        </w:rPr>
        <w:t>𝛼</w:t>
      </w:r>
      <w:r w:rsidRPr="0079159D">
        <w:rPr>
          <w:rFonts w:ascii="宋体" w:eastAsia="宋体" w:cs="宋体"/>
          <w:kern w:val="0"/>
          <w:sz w:val="24"/>
          <w:szCs w:val="24"/>
        </w:rPr>
        <w:t>值较大的第1 组，较低的股票收益波动率以及</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较高的正收益率分布偏度使得投资者对其收取较低的平均回报，较大的未实现</w:t>
      </w:r>
      <w:proofErr w:type="gramStart"/>
      <w:r w:rsidRPr="0079159D">
        <w:rPr>
          <w:rFonts w:ascii="宋体" w:eastAsia="宋体" w:cs="宋体" w:hint="eastAsia"/>
          <w:kern w:val="0"/>
          <w:sz w:val="24"/>
          <w:szCs w:val="24"/>
        </w:rPr>
        <w:t>账</w:t>
      </w:r>
      <w:proofErr w:type="gramEnd"/>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面收益</w:t>
      </w:r>
      <w:proofErr w:type="gramEnd"/>
      <w:r w:rsidRPr="0079159D">
        <w:rPr>
          <w:rFonts w:ascii="宋体" w:eastAsia="宋体" w:cs="宋体" w:hint="eastAsia"/>
          <w:kern w:val="0"/>
          <w:sz w:val="24"/>
          <w:szCs w:val="24"/>
        </w:rPr>
        <w:t>使得投资者对其收取较高的平均回报，第二种效应占主导；另一方面使用</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前景理论框架下的模型并不能做出强预测，这说明前景理论并不能完全解释净股</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票发行异象和外部融资异象，存在前景理论以外的其他因素起主要作用。</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净股票</w:t>
      </w:r>
      <w:proofErr w:type="gramEnd"/>
      <w:r w:rsidRPr="0079159D">
        <w:rPr>
          <w:rFonts w:ascii="宋体" w:eastAsia="宋体" w:cs="宋体" w:hint="eastAsia"/>
          <w:kern w:val="0"/>
          <w:sz w:val="24"/>
          <w:szCs w:val="24"/>
        </w:rPr>
        <w:t>发行异象和外部融资异象都与公司的融资活动有关。</w:t>
      </w:r>
      <w:proofErr w:type="gramStart"/>
      <w:r w:rsidRPr="0079159D">
        <w:rPr>
          <w:rFonts w:ascii="宋体" w:eastAsia="宋体" w:cs="宋体" w:hint="eastAsia"/>
          <w:kern w:val="0"/>
          <w:sz w:val="24"/>
          <w:szCs w:val="24"/>
        </w:rPr>
        <w:t>净股票</w:t>
      </w:r>
      <w:proofErr w:type="gramEnd"/>
      <w:r w:rsidRPr="0079159D">
        <w:rPr>
          <w:rFonts w:ascii="宋体" w:eastAsia="宋体" w:cs="宋体" w:hint="eastAsia"/>
          <w:kern w:val="0"/>
          <w:sz w:val="24"/>
          <w:szCs w:val="24"/>
        </w:rPr>
        <w:t>发行属于</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股权融资，股票的发行和回购都会影响</w:t>
      </w:r>
      <w:proofErr w:type="gramStart"/>
      <w:r w:rsidRPr="0079159D">
        <w:rPr>
          <w:rFonts w:ascii="宋体" w:eastAsia="宋体" w:cs="宋体" w:hint="eastAsia"/>
          <w:kern w:val="0"/>
          <w:sz w:val="24"/>
          <w:szCs w:val="24"/>
        </w:rPr>
        <w:t>净股票</w:t>
      </w:r>
      <w:proofErr w:type="gramEnd"/>
      <w:r w:rsidRPr="0079159D">
        <w:rPr>
          <w:rFonts w:ascii="宋体" w:eastAsia="宋体" w:cs="宋体" w:hint="eastAsia"/>
          <w:kern w:val="0"/>
          <w:sz w:val="24"/>
          <w:szCs w:val="24"/>
        </w:rPr>
        <w:t>发行。而外部融资不仅包括股权融</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资现金流，还包括债权融资现金流。无论是</w:t>
      </w:r>
      <w:proofErr w:type="gramStart"/>
      <w:r w:rsidRPr="0079159D">
        <w:rPr>
          <w:rFonts w:ascii="宋体" w:eastAsia="宋体" w:cs="宋体" w:hint="eastAsia"/>
          <w:kern w:val="0"/>
          <w:sz w:val="24"/>
          <w:szCs w:val="24"/>
        </w:rPr>
        <w:t>净股票</w:t>
      </w:r>
      <w:proofErr w:type="gramEnd"/>
      <w:r w:rsidRPr="0079159D">
        <w:rPr>
          <w:rFonts w:ascii="宋体" w:eastAsia="宋体" w:cs="宋体" w:hint="eastAsia"/>
          <w:kern w:val="0"/>
          <w:sz w:val="24"/>
          <w:szCs w:val="24"/>
        </w:rPr>
        <w:t>发行措施还是外部融资都与无</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形信息</w:t>
      </w:r>
      <w:proofErr w:type="gramEnd"/>
      <w:r w:rsidRPr="0079159D">
        <w:rPr>
          <w:rFonts w:ascii="宋体" w:eastAsia="宋体" w:cs="宋体" w:hint="eastAsia"/>
          <w:kern w:val="0"/>
          <w:sz w:val="24"/>
          <w:szCs w:val="24"/>
        </w:rPr>
        <w:t>的实现有关。首先是经理可以利用信息优势，可以通过发行股权或发行债</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券</w:t>
      </w:r>
      <w:proofErr w:type="gramEnd"/>
      <w:r w:rsidRPr="0079159D">
        <w:rPr>
          <w:rFonts w:ascii="宋体" w:eastAsia="宋体" w:cs="宋体" w:hint="eastAsia"/>
          <w:kern w:val="0"/>
          <w:sz w:val="24"/>
          <w:szCs w:val="24"/>
        </w:rPr>
        <w:t>以来抓住发展机会，如在股价被高估时增发股票；其次是经理更有可能在感知</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到融资成本下降后发行股票或债券。在这两种情况下，复合股权发行和外部融资</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都归类为由无形的信息引发的。一方面，中国</w:t>
      </w:r>
      <w:r w:rsidRPr="0079159D">
        <w:rPr>
          <w:rFonts w:ascii="宋体" w:eastAsia="宋体" w:cs="宋体"/>
          <w:kern w:val="0"/>
          <w:sz w:val="24"/>
          <w:szCs w:val="24"/>
        </w:rPr>
        <w:t>A 股散户主导，非理性行为较多，</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更易受到投资情绪影响。面对复合股权发行和外部融资这种无形信息，可能更加</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会对这些信息过度反应，从而导致股票的有利无形信息之后是较低的后续回报。</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另一方面，也可能是因为与发达国家的成熟市场相比，我国股票市场对内幕信息</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的监管并不严格，一些投资者可能会利用内幕信息操纵股价，产生错误定价。另</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外，由于中国金融体系由中央控制、银行主导，融资活动相比于成熟市场受到的</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lastRenderedPageBreak/>
        <w:t>约束更多，尤其是一些国有企业，这也可能是形成这两个异象的潜在原因。</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对于失败概率异象</w:t>
      </w:r>
      <w:r w:rsidRPr="0079159D">
        <w:rPr>
          <w:rFonts w:ascii="宋体" w:eastAsia="宋体" w:cs="宋体"/>
          <w:kern w:val="0"/>
          <w:sz w:val="24"/>
          <w:szCs w:val="24"/>
        </w:rPr>
        <w:t>(FPROB)和O-Score 异象(OSC)，在A 股市场上模型同样</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不能做出显著预测，甚至模型预测出来</w:t>
      </w:r>
      <w:r w:rsidRPr="0079159D">
        <w:rPr>
          <w:rFonts w:ascii="宋体" w:eastAsia="宋体" w:cs="宋体"/>
          <w:kern w:val="0"/>
          <w:sz w:val="24"/>
          <w:szCs w:val="24"/>
        </w:rPr>
        <w:t>O-Score 异象极端十分位组</w:t>
      </w:r>
      <w:r w:rsidRPr="0079159D">
        <w:rPr>
          <w:rFonts w:ascii="Cambria Math" w:eastAsia="宋体" w:hAnsi="Cambria Math" w:cs="Cambria Math"/>
          <w:kern w:val="0"/>
          <w:sz w:val="24"/>
          <w:szCs w:val="24"/>
        </w:rPr>
        <w:t>𝛼</w:t>
      </w:r>
      <w:r w:rsidRPr="0079159D">
        <w:rPr>
          <w:rFonts w:ascii="宋体" w:eastAsia="宋体" w:cs="宋体"/>
          <w:kern w:val="0"/>
          <w:sz w:val="24"/>
          <w:szCs w:val="24"/>
        </w:rPr>
        <w:t>值的大小关</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系与经验值相反。这说明前景理论所反映的风险态度不是形成失败概率异象和</w:t>
      </w:r>
      <w:proofErr w:type="spellStart"/>
      <w:r w:rsidRPr="0079159D">
        <w:rPr>
          <w:rFonts w:ascii="宋体" w:eastAsia="宋体" w:cs="宋体"/>
          <w:kern w:val="0"/>
          <w:sz w:val="24"/>
          <w:szCs w:val="24"/>
        </w:rPr>
        <w:t>OScore</w:t>
      </w:r>
      <w:proofErr w:type="spellEnd"/>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异象的主要驱动因素。失败概率和</w:t>
      </w:r>
      <w:r w:rsidRPr="0079159D">
        <w:rPr>
          <w:rFonts w:ascii="宋体" w:eastAsia="宋体" w:cs="宋体"/>
          <w:kern w:val="0"/>
          <w:sz w:val="24"/>
          <w:szCs w:val="24"/>
        </w:rPr>
        <w:t>O-Score 受用于衡量企业陷入财务困境即</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kern w:val="0"/>
          <w:sz w:val="24"/>
          <w:szCs w:val="24"/>
        </w:rPr>
        <w:t>46</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被</w:t>
      </w:r>
      <w:r w:rsidRPr="0079159D">
        <w:rPr>
          <w:rFonts w:ascii="宋体" w:eastAsia="宋体" w:cs="宋体"/>
          <w:kern w:val="0"/>
          <w:sz w:val="24"/>
          <w:szCs w:val="24"/>
        </w:rPr>
        <w:t>ST 的概率，只是用于计算失败概率和O-Score 的因子不同。孙茂竹，黄羽佳</w:t>
      </w:r>
      <w:proofErr w:type="gramStart"/>
      <w:r w:rsidRPr="0079159D">
        <w:rPr>
          <w:rFonts w:ascii="宋体" w:eastAsia="宋体" w:cs="宋体"/>
          <w:kern w:val="0"/>
          <w:sz w:val="24"/>
          <w:szCs w:val="24"/>
        </w:rPr>
        <w:t>和</w:t>
      </w:r>
      <w:proofErr w:type="gramEnd"/>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张永冀</w:t>
      </w:r>
      <w:proofErr w:type="gramEnd"/>
      <w:r w:rsidRPr="0079159D">
        <w:rPr>
          <w:rFonts w:ascii="宋体" w:eastAsia="宋体" w:cs="宋体"/>
          <w:kern w:val="0"/>
          <w:sz w:val="24"/>
          <w:szCs w:val="24"/>
        </w:rPr>
        <w:t>(2009)也发现，陷入财务困境的公司相对于没有陷入财务困境反而平均收</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益更高的现象不能从行为金融学的角度来解释，与本文得出的结论相符。公司陷</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入财务困境可能与公司内控制度，现金流管理，经营策略等分方面有关。</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对于极大日收益率异象</w:t>
      </w:r>
      <w:r w:rsidRPr="0079159D">
        <w:rPr>
          <w:rFonts w:ascii="宋体" w:eastAsia="宋体" w:cs="宋体"/>
          <w:kern w:val="0"/>
          <w:sz w:val="24"/>
          <w:szCs w:val="24"/>
        </w:rPr>
        <w:t>(MAX)，模型在A 股市场上也不能做出显著预测。极</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大日收益率异象是指，股票上个月的极端收益率与股票下一个月的预期收益之间</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存在明显的负相关关系。前景理论可以解释极大日收益率异象形成的一部分原因，</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投资者更加关注极端收益事件，他们的博彩性需求导致投资者进一步去购买这类</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股票，股价严重被高估，放大了极大日收益率现象。但是，也有其他原因导致了</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极端日收益率异象，正如朱红兵和张兵</w:t>
      </w:r>
      <w:r w:rsidRPr="0079159D">
        <w:rPr>
          <w:rFonts w:ascii="宋体" w:eastAsia="宋体" w:cs="宋体"/>
          <w:kern w:val="0"/>
          <w:sz w:val="24"/>
          <w:szCs w:val="24"/>
        </w:rPr>
        <w:t>(2020)研究发现，套利限制也是极端日收益</w:t>
      </w:r>
    </w:p>
    <w:p w:rsidR="0079159D" w:rsidRPr="0079159D" w:rsidRDefault="0079159D" w:rsidP="0079159D">
      <w:pPr>
        <w:autoSpaceDE w:val="0"/>
        <w:autoSpaceDN w:val="0"/>
        <w:adjustRightInd w:val="0"/>
        <w:jc w:val="left"/>
        <w:rPr>
          <w:rFonts w:ascii="宋体" w:eastAsia="宋体" w:cs="宋体"/>
          <w:kern w:val="0"/>
          <w:sz w:val="24"/>
          <w:szCs w:val="24"/>
        </w:rPr>
      </w:pPr>
      <w:proofErr w:type="gramStart"/>
      <w:r w:rsidRPr="0079159D">
        <w:rPr>
          <w:rFonts w:ascii="宋体" w:eastAsia="宋体" w:cs="宋体" w:hint="eastAsia"/>
          <w:kern w:val="0"/>
          <w:sz w:val="24"/>
          <w:szCs w:val="24"/>
        </w:rPr>
        <w:t>率异象形</w:t>
      </w:r>
      <w:proofErr w:type="gramEnd"/>
      <w:r w:rsidRPr="0079159D">
        <w:rPr>
          <w:rFonts w:ascii="宋体" w:eastAsia="宋体" w:cs="宋体" w:hint="eastAsia"/>
          <w:kern w:val="0"/>
          <w:sz w:val="24"/>
          <w:szCs w:val="24"/>
        </w:rPr>
        <w:t>成的一个重要原因，中国</w:t>
      </w:r>
      <w:r w:rsidRPr="0079159D">
        <w:rPr>
          <w:rFonts w:ascii="宋体" w:eastAsia="宋体" w:cs="宋体"/>
          <w:kern w:val="0"/>
          <w:sz w:val="24"/>
          <w:szCs w:val="24"/>
        </w:rPr>
        <w:t>A 股市</w:t>
      </w:r>
      <w:proofErr w:type="gramStart"/>
      <w:r w:rsidRPr="0079159D">
        <w:rPr>
          <w:rFonts w:ascii="宋体" w:eastAsia="宋体" w:cs="宋体"/>
          <w:kern w:val="0"/>
          <w:sz w:val="24"/>
          <w:szCs w:val="24"/>
        </w:rPr>
        <w:t>场相对</w:t>
      </w:r>
      <w:proofErr w:type="gramEnd"/>
      <w:r w:rsidRPr="0079159D">
        <w:rPr>
          <w:rFonts w:ascii="宋体" w:eastAsia="宋体" w:cs="宋体"/>
          <w:kern w:val="0"/>
          <w:sz w:val="24"/>
          <w:szCs w:val="24"/>
        </w:rPr>
        <w:t>于美股市场套利限制更强，由于</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投资者博彩性投机行为导致的股票价格偏离内在价值在短期内无法恢复，而模型</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只抓住了投资者的非理性投资偏好，没有抓住</w:t>
      </w:r>
      <w:r w:rsidRPr="0079159D">
        <w:rPr>
          <w:rFonts w:ascii="宋体" w:eastAsia="宋体" w:cs="宋体"/>
          <w:kern w:val="0"/>
          <w:sz w:val="24"/>
          <w:szCs w:val="24"/>
        </w:rPr>
        <w:t>A 股市场特点，从而模型无法解释</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kern w:val="0"/>
          <w:sz w:val="24"/>
          <w:szCs w:val="24"/>
        </w:rPr>
        <w:t>A 股市场上的极大日收益率异象。</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最后，对于资产回报率异象</w:t>
      </w:r>
      <w:r w:rsidRPr="0079159D">
        <w:rPr>
          <w:rFonts w:ascii="宋体" w:eastAsia="宋体" w:cs="宋体"/>
          <w:kern w:val="0"/>
          <w:sz w:val="24"/>
          <w:szCs w:val="24"/>
        </w:rPr>
        <w:t>(ROA)，A 股市场上模型不能解释。具体来说，在</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kern w:val="0"/>
          <w:sz w:val="24"/>
          <w:szCs w:val="24"/>
        </w:rPr>
        <w:t>A 股市场上，该异象表现为，资产回报率越高的股票反而表现较差。可能是因为</w:t>
      </w:r>
    </w:p>
    <w:p w:rsidR="0079159D" w:rsidRPr="0079159D" w:rsidRDefault="0079159D" w:rsidP="0079159D">
      <w:pPr>
        <w:autoSpaceDE w:val="0"/>
        <w:autoSpaceDN w:val="0"/>
        <w:adjustRightInd w:val="0"/>
        <w:jc w:val="left"/>
        <w:rPr>
          <w:rFonts w:ascii="宋体" w:eastAsia="宋体" w:cs="宋体"/>
          <w:kern w:val="0"/>
          <w:sz w:val="24"/>
          <w:szCs w:val="24"/>
        </w:rPr>
      </w:pPr>
      <w:r w:rsidRPr="0079159D">
        <w:rPr>
          <w:rFonts w:ascii="宋体" w:eastAsia="宋体" w:cs="宋体" w:hint="eastAsia"/>
          <w:kern w:val="0"/>
          <w:sz w:val="24"/>
          <w:szCs w:val="24"/>
        </w:rPr>
        <w:t>投资者考虑到</w:t>
      </w:r>
      <w:r w:rsidRPr="0079159D">
        <w:rPr>
          <w:rFonts w:ascii="宋体" w:eastAsia="宋体" w:cs="宋体"/>
          <w:kern w:val="0"/>
          <w:sz w:val="24"/>
          <w:szCs w:val="24"/>
        </w:rPr>
        <w:t>A 股市场监管相对没有那么严格，可能存在一些财务粉饰现象导致</w:t>
      </w:r>
    </w:p>
    <w:p w:rsidR="00590940" w:rsidRPr="00590940" w:rsidRDefault="0079159D" w:rsidP="0079159D">
      <w:pPr>
        <w:autoSpaceDE w:val="0"/>
        <w:autoSpaceDN w:val="0"/>
        <w:adjustRightInd w:val="0"/>
        <w:jc w:val="left"/>
        <w:rPr>
          <w:rFonts w:ascii="宋体" w:eastAsia="宋体" w:cs="宋体" w:hint="eastAsia"/>
          <w:kern w:val="0"/>
          <w:sz w:val="24"/>
          <w:szCs w:val="24"/>
        </w:rPr>
      </w:pPr>
      <w:r w:rsidRPr="0079159D">
        <w:rPr>
          <w:rFonts w:ascii="宋体" w:eastAsia="宋体" w:cs="宋体" w:hint="eastAsia"/>
          <w:kern w:val="0"/>
          <w:sz w:val="24"/>
          <w:szCs w:val="24"/>
        </w:rPr>
        <w:t>高资产回报率。</w:t>
      </w:r>
    </w:p>
    <w:sectPr w:rsidR="00590940" w:rsidRPr="00590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Math">
    <w:altName w:val="微软雅黑"/>
    <w:panose1 w:val="00000000000000000000"/>
    <w:charset w:val="86"/>
    <w:family w:val="auto"/>
    <w:notTrueType/>
    <w:pitch w:val="default"/>
    <w:sig w:usb0="00000001" w:usb1="080E0000" w:usb2="00000010" w:usb3="00000000" w:csb0="00040000"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22"/>
    <w:rsid w:val="000031A1"/>
    <w:rsid w:val="001C2924"/>
    <w:rsid w:val="00203322"/>
    <w:rsid w:val="00310764"/>
    <w:rsid w:val="004502D6"/>
    <w:rsid w:val="004B62BB"/>
    <w:rsid w:val="00551E36"/>
    <w:rsid w:val="00566E50"/>
    <w:rsid w:val="00590940"/>
    <w:rsid w:val="005E7D80"/>
    <w:rsid w:val="006C1AA6"/>
    <w:rsid w:val="0079159D"/>
    <w:rsid w:val="007A3792"/>
    <w:rsid w:val="007D4665"/>
    <w:rsid w:val="00804652"/>
    <w:rsid w:val="00916292"/>
    <w:rsid w:val="009206B3"/>
    <w:rsid w:val="00AA0357"/>
    <w:rsid w:val="00B059C1"/>
    <w:rsid w:val="00B4308E"/>
    <w:rsid w:val="00B67400"/>
    <w:rsid w:val="00B700F8"/>
    <w:rsid w:val="00C14C61"/>
    <w:rsid w:val="00F3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9094"/>
  <w15:chartTrackingRefBased/>
  <w15:docId w15:val="{30985F35-8DDA-4465-A551-020A8D32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30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骑</dc:creator>
  <cp:keywords/>
  <dc:description/>
  <cp:lastModifiedBy>正 骑</cp:lastModifiedBy>
  <cp:revision>5</cp:revision>
  <dcterms:created xsi:type="dcterms:W3CDTF">2023-05-28T06:45:00Z</dcterms:created>
  <dcterms:modified xsi:type="dcterms:W3CDTF">2023-05-28T09:36:00Z</dcterms:modified>
</cp:coreProperties>
</file>