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0B91B">
      <w:pPr>
        <w:spacing w:line="240" w:lineRule="auto"/>
        <w:jc w:val="center"/>
        <w:rPr>
          <w:rFonts w:ascii="Times New Roman" w:hAnsi="Times New Roman" w:cs="Times New Roman"/>
          <w:b/>
          <w:bCs/>
          <w:sz w:val="52"/>
          <w:szCs w:val="52"/>
          <w:lang w:eastAsia="zh-CN"/>
        </w:rPr>
      </w:pPr>
      <w:bookmarkStart w:id="0" w:name="_GoBack"/>
      <w:bookmarkEnd w:id="0"/>
      <w:r>
        <w:rPr>
          <w:rFonts w:ascii="Times New Roman" w:hAnsi="Times New Roman" w:cs="Times New Roman"/>
          <w:b/>
          <w:bCs/>
          <w:sz w:val="52"/>
          <w:szCs w:val="52"/>
        </w:rPr>
        <w:t xml:space="preserve">Assessment 3 </w:t>
      </w:r>
    </w:p>
    <w:p w14:paraId="5DDA0B83">
      <w:pPr>
        <w:spacing w:line="360" w:lineRule="auto"/>
        <w:jc w:val="center"/>
        <w:rPr>
          <w:rFonts w:hint="default" w:ascii="Times New Roman" w:hAnsi="Times New Roman" w:cs="Times New Roman"/>
          <w:sz w:val="24"/>
          <w:szCs w:val="24"/>
          <w:lang w:val="en-US" w:eastAsia="zh-CN"/>
        </w:rPr>
      </w:pPr>
      <w:r>
        <w:rPr>
          <w:rFonts w:ascii="Times New Roman" w:hAnsi="Times New Roman" w:cs="Times New Roman"/>
          <w:sz w:val="24"/>
          <w:szCs w:val="24"/>
          <w:lang w:eastAsia="zh-CN"/>
        </w:rPr>
        <w:t>(Blair) Chuanhui Zheng</w:t>
      </w:r>
    </w:p>
    <w:p w14:paraId="10F87E1B">
      <w:pPr>
        <w:spacing w:line="480" w:lineRule="auto"/>
        <w:rPr>
          <w:rFonts w:hint="eastAsia" w:ascii="Times New Roman" w:hAnsi="Times New Roman" w:eastAsia="宋体" w:cs="Times New Roman"/>
          <w:sz w:val="24"/>
          <w:szCs w:val="24"/>
          <w:lang w:val="en-US" w:eastAsia="zh-CN"/>
        </w:rPr>
      </w:pPr>
      <w:r>
        <w:rPr>
          <w:rFonts w:ascii="Times New Roman" w:hAnsi="Times New Roman" w:cs="Times New Roman"/>
          <w:b/>
          <w:bCs/>
          <w:sz w:val="24"/>
          <w:szCs w:val="24"/>
        </w:rPr>
        <w:t>Introduction</w:t>
      </w:r>
    </w:p>
    <w:p w14:paraId="280A794C">
      <w:pPr>
        <w:spacing w:line="480" w:lineRule="auto"/>
        <w:rPr>
          <w:rFonts w:ascii="Times New Roman" w:hAnsi="Times New Roman" w:cs="Times New Roman"/>
          <w:sz w:val="24"/>
          <w:szCs w:val="24"/>
        </w:rPr>
      </w:pPr>
      <w:r>
        <w:rPr>
          <w:rFonts w:hint="default" w:ascii="Times New Roman" w:hAnsi="Times New Roman" w:cs="Times New Roman"/>
          <w:sz w:val="24"/>
          <w:szCs w:val="24"/>
          <w:lang w:val="en-US"/>
        </w:rPr>
        <w:t>In this study</w:t>
      </w:r>
      <w:r>
        <w:rPr>
          <w:rFonts w:ascii="Times New Roman" w:hAnsi="Times New Roman" w:cs="Times New Roman"/>
          <w:sz w:val="24"/>
          <w:szCs w:val="24"/>
        </w:rPr>
        <w:t xml:space="preserve">, </w:t>
      </w:r>
      <w:r>
        <w:rPr>
          <w:rFonts w:hint="default" w:ascii="Times New Roman" w:hAnsi="Times New Roman" w:cs="Times New Roman"/>
          <w:sz w:val="24"/>
          <w:szCs w:val="24"/>
          <w:lang w:val="en-US"/>
        </w:rPr>
        <w:t>information that has been</w:t>
      </w:r>
      <w:r>
        <w:rPr>
          <w:rFonts w:ascii="Times New Roman" w:hAnsi="Times New Roman" w:cs="Times New Roman"/>
          <w:sz w:val="24"/>
          <w:szCs w:val="24"/>
        </w:rPr>
        <w:t xml:space="preserve"> </w:t>
      </w:r>
      <w:r>
        <w:rPr>
          <w:rFonts w:hint="default" w:ascii="Times New Roman" w:hAnsi="Times New Roman" w:cs="Times New Roman"/>
          <w:sz w:val="24"/>
          <w:szCs w:val="24"/>
          <w:lang w:val="en-US"/>
        </w:rPr>
        <w:t>obtained in three</w:t>
      </w:r>
      <w:r>
        <w:rPr>
          <w:rFonts w:ascii="Times New Roman" w:hAnsi="Times New Roman" w:cs="Times New Roman"/>
          <w:sz w:val="24"/>
          <w:szCs w:val="24"/>
        </w:rPr>
        <w:t xml:space="preserve"> </w:t>
      </w:r>
      <w:r>
        <w:rPr>
          <w:rFonts w:hint="default" w:ascii="Times New Roman" w:hAnsi="Times New Roman" w:cs="Times New Roman"/>
          <w:sz w:val="24"/>
          <w:szCs w:val="24"/>
          <w:lang w:val="en-US"/>
        </w:rPr>
        <w:t>consecutive days</w:t>
      </w:r>
      <w:r>
        <w:rPr>
          <w:rFonts w:ascii="Times New Roman" w:hAnsi="Times New Roman" w:cs="Times New Roman"/>
          <w:sz w:val="24"/>
          <w:szCs w:val="24"/>
        </w:rPr>
        <w:t xml:space="preserve"> </w:t>
      </w:r>
      <w:r>
        <w:rPr>
          <w:rFonts w:hint="default" w:ascii="Times New Roman" w:hAnsi="Times New Roman" w:cs="Times New Roman"/>
          <w:sz w:val="24"/>
          <w:szCs w:val="24"/>
          <w:lang w:val="en-US"/>
        </w:rPr>
        <w:t>will be used to assess the likelihood</w:t>
      </w:r>
      <w:r>
        <w:rPr>
          <w:rFonts w:ascii="Times New Roman" w:hAnsi="Times New Roman" w:cs="Times New Roman"/>
          <w:sz w:val="24"/>
          <w:szCs w:val="24"/>
        </w:rPr>
        <w:t xml:space="preserve"> of Alicia’s glucose tolerance given her carbohydrate and added sugars intake. The attention is paid to evaluating how fluctuations in macros comprising of carbohydrates, proteins, and fats affect the level of blood glucose in Alicia. Combined with her food diary and glucose tolerance tests, the study will aim to assess the effect of various foods on Alicia’s glycemic control. It will assess her macronutrient consumption, portions she is taking, and their relationship to her glucometer readings. The results will enable analysts to understand more about her carbohydrate metabolism and, in general, her metabolism. Furthermore, they will also contain suggestion on the modification of food intake to improve the utilization of nutrients and energy.</w:t>
      </w:r>
    </w:p>
    <w:p w14:paraId="34DC27E2">
      <w:pPr>
        <w:spacing w:line="480" w:lineRule="auto"/>
        <w:rPr>
          <w:rFonts w:ascii="Times New Roman" w:hAnsi="Times New Roman" w:cs="Times New Roman"/>
          <w:sz w:val="24"/>
          <w:szCs w:val="24"/>
        </w:rPr>
      </w:pPr>
      <w:r>
        <w:rPr>
          <w:rFonts w:ascii="Times New Roman" w:hAnsi="Times New Roman" w:cs="Times New Roman"/>
          <w:b/>
          <w:bCs/>
          <w:sz w:val="24"/>
          <w:szCs w:val="24"/>
        </w:rPr>
        <w:t>Dietary Intake Analysis</w:t>
      </w:r>
    </w:p>
    <w:p w14:paraId="7CF2E9AE">
      <w:pPr>
        <w:spacing w:line="480" w:lineRule="auto"/>
        <w:rPr>
          <w:rFonts w:ascii="Times New Roman" w:hAnsi="Times New Roman" w:cs="Times New Roman"/>
          <w:sz w:val="24"/>
          <w:szCs w:val="24"/>
        </w:rPr>
      </w:pPr>
      <w:r>
        <w:rPr>
          <w:rFonts w:ascii="Times New Roman" w:hAnsi="Times New Roman" w:cs="Times New Roman"/>
          <w:b/>
          <w:bCs/>
          <w:sz w:val="24"/>
          <w:szCs w:val="24"/>
        </w:rPr>
        <w:t>Daily Macronutrient Intake</w:t>
      </w:r>
    </w:p>
    <w:p w14:paraId="0DFBBD96">
      <w:pPr>
        <w:spacing w:line="480" w:lineRule="auto"/>
        <w:ind w:firstLine="720"/>
        <w:rPr>
          <w:rFonts w:hint="default" w:ascii="Times New Roman" w:hAnsi="Times New Roman" w:cs="Times New Roman"/>
          <w:sz w:val="24"/>
          <w:szCs w:val="24"/>
          <w:lang w:val="en-US"/>
        </w:rPr>
      </w:pPr>
      <w:r>
        <w:rPr>
          <w:rFonts w:ascii="Times New Roman" w:hAnsi="Times New Roman" w:cs="Times New Roman"/>
          <w:sz w:val="24"/>
          <w:szCs w:val="24"/>
        </w:rPr>
        <w:t>The dietary log was then reviewed and evaluated for patterns and amounts of carbohydrates, proteins, fats and if necessary, alcohol consumed per day. This process included examination of food and nutrient intake that was acquired from surveys and calculation of MAC and MIC for different diet styles. This division of nutrients by day reflects the detailed levels of nutrients consumed in a day, which is important in assessing an individual’s increased nutrient needs or overall nutritional statuses.</w:t>
      </w:r>
    </w:p>
    <w:p w14:paraId="0DA4E342">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approach of segmenting nutrients allows to see the rationale of the quantities of nutrients that are consumed in a given day. This level of detail is conducive with specific advice-giving when it comes to the respective dietician client need and general appraisal of overall dietary sufficiency. The actual formulas and detail of how these estimates are worked out will discussed in the subsequent section in this paper.</w:t>
      </w:r>
      <w:r>
        <w:commentReference w:id="0"/>
      </w:r>
    </w:p>
    <w:p w14:paraId="09AF248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Thus, the detailed consideration of a dietary log opens the possibility to define the real quality of the nutrients consumed and reveals how extensively an individual’s diet corresponds to their nutritional needs. This specific analysis helps to make proper recommendations to highlight potential improvements in the diet regime and reduce certain aspects that have adverse effects on the body. Thus, focusing on both the MAC and MIC, this analysis aids to both see where nutrient intakes are low or high and enable nutritional intervention to be more effective thereby helping to aid in improving health.</w:t>
      </w:r>
    </w:p>
    <w:p w14:paraId="1F1A43AA">
      <w:pPr>
        <w:spacing w:line="480" w:lineRule="auto"/>
        <w:ind w:firstLine="720"/>
        <w:rPr>
          <w:rFonts w:ascii="Times New Roman" w:hAnsi="Times New Roman" w:cs="Times New Roman"/>
          <w:b/>
          <w:bCs/>
          <w:sz w:val="24"/>
          <w:szCs w:val="24"/>
        </w:rPr>
      </w:pPr>
      <w:r>
        <w:rPr>
          <w:rFonts w:ascii="Times New Roman" w:hAnsi="Times New Roman" w:cs="Times New Roman"/>
          <w:sz w:val="24"/>
          <w:szCs w:val="24"/>
        </w:rPr>
        <w:t>This methodology gives a precise idea about the daily consumption of various nutrients and thus helps in enhancing the overall concept of nutrition planning. The following section will explain further which mathematical calculations are used in these calculations and why these concrete, personalized nutrient ratios are served.</w:t>
      </w:r>
    </w:p>
    <w:p w14:paraId="4DA28FB2">
      <w:pPr>
        <w:spacing w:line="480" w:lineRule="auto"/>
        <w:rPr>
          <w:rFonts w:ascii="Times New Roman" w:hAnsi="Times New Roman" w:cs="Times New Roman"/>
          <w:sz w:val="24"/>
          <w:szCs w:val="24"/>
        </w:rPr>
      </w:pPr>
      <w:r>
        <w:rPr>
          <w:rFonts w:ascii="Times New Roman" w:hAnsi="Times New Roman" w:cs="Times New Roman"/>
          <w:b/>
          <w:bCs/>
          <w:sz w:val="24"/>
          <w:szCs w:val="24"/>
        </w:rPr>
        <w:t>Summary of Daily Intakes</w:t>
      </w:r>
    </w:p>
    <w:p w14:paraId="706F8FAE">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following table also gives a clear perspective of the daily requirement of carbohydrates proteins and fats. These macronutrients are divided into separate groups and the portions or amount that an individual should take daily are described. This summary assists in knowing when to take these nutrients considering the fact that they are supposed to be taken all day. To avoid extreme cases in nutrient distribution it is important to enhance distribution mechanisms which see nutrient levels maintaining the recommended daily intake to encourage the engineers of good nutritional health.</w:t>
      </w:r>
    </w:p>
    <w:p w14:paraId="02E7F542">
      <w:pPr>
        <w:spacing w:line="480" w:lineRule="auto"/>
        <w:ind w:firstLine="720"/>
        <w:rPr>
          <w:rFonts w:ascii="Times New Roman" w:hAnsi="Times New Roman" w:cs="Times New Roman"/>
          <w:sz w:val="24"/>
          <w:szCs w:val="24"/>
        </w:rPr>
      </w:pPr>
    </w:p>
    <w:tbl>
      <w:tblPr>
        <w:tblStyle w:val="3"/>
        <w:tblW w:w="9480" w:type="dxa"/>
        <w:tblInd w:w="113" w:type="dxa"/>
        <w:tblLayout w:type="autofit"/>
        <w:tblCellMar>
          <w:top w:w="0" w:type="dxa"/>
          <w:left w:w="108" w:type="dxa"/>
          <w:bottom w:w="0" w:type="dxa"/>
          <w:right w:w="108" w:type="dxa"/>
        </w:tblCellMar>
      </w:tblPr>
      <w:tblGrid>
        <w:gridCol w:w="2217"/>
        <w:gridCol w:w="3574"/>
        <w:gridCol w:w="2037"/>
        <w:gridCol w:w="1652"/>
      </w:tblGrid>
      <w:tr w14:paraId="33E2E012">
        <w:tblPrEx>
          <w:tblCellMar>
            <w:top w:w="0" w:type="dxa"/>
            <w:left w:w="108" w:type="dxa"/>
            <w:bottom w:w="0" w:type="dxa"/>
            <w:right w:w="108" w:type="dxa"/>
          </w:tblCellMar>
        </w:tblPrEx>
        <w:trPr>
          <w:trHeight w:val="448" w:hRule="atLeast"/>
        </w:trPr>
        <w:tc>
          <w:tcPr>
            <w:tcW w:w="2217" w:type="dxa"/>
            <w:tcBorders>
              <w:top w:val="single" w:color="auto" w:sz="4" w:space="0"/>
              <w:left w:val="single" w:color="auto" w:sz="4" w:space="0"/>
              <w:bottom w:val="single" w:color="auto" w:sz="4" w:space="0"/>
              <w:right w:val="single" w:color="auto" w:sz="4" w:space="0"/>
            </w:tcBorders>
            <w:vAlign w:val="center"/>
          </w:tcPr>
          <w:p w14:paraId="17B89FCC">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Day</w:t>
            </w:r>
          </w:p>
        </w:tc>
        <w:tc>
          <w:tcPr>
            <w:tcW w:w="3574" w:type="dxa"/>
            <w:tcBorders>
              <w:top w:val="single" w:color="auto" w:sz="4" w:space="0"/>
              <w:left w:val="nil"/>
              <w:bottom w:val="single" w:color="auto" w:sz="4" w:space="0"/>
              <w:right w:val="single" w:color="auto" w:sz="4" w:space="0"/>
            </w:tcBorders>
            <w:vAlign w:val="center"/>
          </w:tcPr>
          <w:p w14:paraId="20D71F25">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Carbohydrates (g)</w:t>
            </w:r>
          </w:p>
        </w:tc>
        <w:tc>
          <w:tcPr>
            <w:tcW w:w="2037" w:type="dxa"/>
            <w:tcBorders>
              <w:top w:val="single" w:color="auto" w:sz="4" w:space="0"/>
              <w:left w:val="nil"/>
              <w:bottom w:val="single" w:color="auto" w:sz="4" w:space="0"/>
              <w:right w:val="single" w:color="auto" w:sz="4" w:space="0"/>
            </w:tcBorders>
            <w:vAlign w:val="center"/>
          </w:tcPr>
          <w:p w14:paraId="77D2843D">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Protein (g)</w:t>
            </w:r>
          </w:p>
        </w:tc>
        <w:tc>
          <w:tcPr>
            <w:tcW w:w="1652" w:type="dxa"/>
            <w:tcBorders>
              <w:top w:val="single" w:color="auto" w:sz="4" w:space="0"/>
              <w:left w:val="nil"/>
              <w:bottom w:val="single" w:color="auto" w:sz="4" w:space="0"/>
              <w:right w:val="single" w:color="auto" w:sz="4" w:space="0"/>
            </w:tcBorders>
            <w:vAlign w:val="center"/>
          </w:tcPr>
          <w:p w14:paraId="62280208">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Fat (g)</w:t>
            </w:r>
          </w:p>
        </w:tc>
      </w:tr>
      <w:tr w14:paraId="1C188E35">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21BAF35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w:t>
            </w:r>
          </w:p>
        </w:tc>
        <w:tc>
          <w:tcPr>
            <w:tcW w:w="3574" w:type="dxa"/>
            <w:tcBorders>
              <w:top w:val="nil"/>
              <w:left w:val="nil"/>
              <w:bottom w:val="single" w:color="auto" w:sz="4" w:space="0"/>
              <w:right w:val="single" w:color="auto" w:sz="4" w:space="0"/>
            </w:tcBorders>
            <w:vAlign w:val="center"/>
          </w:tcPr>
          <w:p w14:paraId="1C166AE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257</w:t>
            </w:r>
          </w:p>
        </w:tc>
        <w:tc>
          <w:tcPr>
            <w:tcW w:w="2037" w:type="dxa"/>
            <w:tcBorders>
              <w:top w:val="nil"/>
              <w:left w:val="nil"/>
              <w:bottom w:val="single" w:color="auto" w:sz="4" w:space="0"/>
              <w:right w:val="single" w:color="auto" w:sz="4" w:space="0"/>
            </w:tcBorders>
            <w:vAlign w:val="center"/>
          </w:tcPr>
          <w:p w14:paraId="230F39D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89</w:t>
            </w:r>
          </w:p>
        </w:tc>
        <w:tc>
          <w:tcPr>
            <w:tcW w:w="1652" w:type="dxa"/>
            <w:tcBorders>
              <w:top w:val="nil"/>
              <w:left w:val="nil"/>
              <w:bottom w:val="single" w:color="auto" w:sz="4" w:space="0"/>
              <w:right w:val="single" w:color="auto" w:sz="4" w:space="0"/>
            </w:tcBorders>
            <w:vAlign w:val="center"/>
          </w:tcPr>
          <w:p w14:paraId="1A2BC45B">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93</w:t>
            </w:r>
          </w:p>
        </w:tc>
      </w:tr>
      <w:tr w14:paraId="3381A041">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7514551A">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w:t>
            </w:r>
          </w:p>
        </w:tc>
        <w:tc>
          <w:tcPr>
            <w:tcW w:w="3574" w:type="dxa"/>
            <w:tcBorders>
              <w:top w:val="nil"/>
              <w:left w:val="nil"/>
              <w:bottom w:val="single" w:color="auto" w:sz="4" w:space="0"/>
              <w:right w:val="single" w:color="auto" w:sz="4" w:space="0"/>
            </w:tcBorders>
            <w:vAlign w:val="center"/>
          </w:tcPr>
          <w:p w14:paraId="2811BC1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220</w:t>
            </w:r>
          </w:p>
        </w:tc>
        <w:tc>
          <w:tcPr>
            <w:tcW w:w="2037" w:type="dxa"/>
            <w:tcBorders>
              <w:top w:val="nil"/>
              <w:left w:val="nil"/>
              <w:bottom w:val="single" w:color="auto" w:sz="4" w:space="0"/>
              <w:right w:val="single" w:color="auto" w:sz="4" w:space="0"/>
            </w:tcBorders>
            <w:vAlign w:val="center"/>
          </w:tcPr>
          <w:p w14:paraId="4B69523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46</w:t>
            </w:r>
          </w:p>
        </w:tc>
        <w:tc>
          <w:tcPr>
            <w:tcW w:w="1652" w:type="dxa"/>
            <w:tcBorders>
              <w:top w:val="nil"/>
              <w:left w:val="nil"/>
              <w:bottom w:val="single" w:color="auto" w:sz="4" w:space="0"/>
              <w:right w:val="single" w:color="auto" w:sz="4" w:space="0"/>
            </w:tcBorders>
            <w:vAlign w:val="center"/>
          </w:tcPr>
          <w:p w14:paraId="2283C0A1">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55</w:t>
            </w:r>
          </w:p>
        </w:tc>
      </w:tr>
      <w:tr w14:paraId="5F603154">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0EEDA732">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w:t>
            </w:r>
          </w:p>
        </w:tc>
        <w:tc>
          <w:tcPr>
            <w:tcW w:w="3574" w:type="dxa"/>
            <w:tcBorders>
              <w:top w:val="nil"/>
              <w:left w:val="nil"/>
              <w:bottom w:val="single" w:color="auto" w:sz="4" w:space="0"/>
              <w:right w:val="single" w:color="auto" w:sz="4" w:space="0"/>
            </w:tcBorders>
            <w:vAlign w:val="center"/>
          </w:tcPr>
          <w:p w14:paraId="4E33EAE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130</w:t>
            </w:r>
          </w:p>
        </w:tc>
        <w:tc>
          <w:tcPr>
            <w:tcW w:w="2037" w:type="dxa"/>
            <w:tcBorders>
              <w:top w:val="nil"/>
              <w:left w:val="nil"/>
              <w:bottom w:val="single" w:color="auto" w:sz="4" w:space="0"/>
              <w:right w:val="single" w:color="auto" w:sz="4" w:space="0"/>
            </w:tcBorders>
            <w:vAlign w:val="center"/>
          </w:tcPr>
          <w:p w14:paraId="38C678A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46</w:t>
            </w:r>
          </w:p>
        </w:tc>
        <w:tc>
          <w:tcPr>
            <w:tcW w:w="1652" w:type="dxa"/>
            <w:tcBorders>
              <w:top w:val="nil"/>
              <w:left w:val="nil"/>
              <w:bottom w:val="single" w:color="auto" w:sz="4" w:space="0"/>
              <w:right w:val="single" w:color="auto" w:sz="4" w:space="0"/>
            </w:tcBorders>
            <w:vAlign w:val="center"/>
          </w:tcPr>
          <w:p w14:paraId="311074D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37</w:t>
            </w:r>
          </w:p>
        </w:tc>
      </w:tr>
      <w:tr w14:paraId="04C97528">
        <w:tblPrEx>
          <w:tblCellMar>
            <w:top w:w="0" w:type="dxa"/>
            <w:left w:w="108" w:type="dxa"/>
            <w:bottom w:w="0" w:type="dxa"/>
            <w:right w:w="108" w:type="dxa"/>
          </w:tblCellMar>
        </w:tblPrEx>
        <w:trPr>
          <w:trHeight w:val="149" w:hRule="atLeast"/>
        </w:trPr>
        <w:tc>
          <w:tcPr>
            <w:tcW w:w="2217" w:type="dxa"/>
            <w:tcBorders>
              <w:top w:val="nil"/>
              <w:left w:val="single" w:color="auto" w:sz="4" w:space="0"/>
              <w:bottom w:val="single" w:color="auto" w:sz="4" w:space="0"/>
              <w:right w:val="single" w:color="auto" w:sz="4" w:space="0"/>
            </w:tcBorders>
            <w:vAlign w:val="center"/>
          </w:tcPr>
          <w:p w14:paraId="085144B4">
            <w:pPr>
              <w:spacing w:after="0" w:line="240" w:lineRule="auto"/>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Total</w:t>
            </w:r>
          </w:p>
        </w:tc>
        <w:tc>
          <w:tcPr>
            <w:tcW w:w="3574" w:type="dxa"/>
            <w:tcBorders>
              <w:top w:val="nil"/>
              <w:left w:val="nil"/>
              <w:bottom w:val="single" w:color="auto" w:sz="4" w:space="0"/>
              <w:right w:val="single" w:color="auto" w:sz="4" w:space="0"/>
            </w:tcBorders>
            <w:vAlign w:val="center"/>
          </w:tcPr>
          <w:p w14:paraId="30C5510F">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607</w:t>
            </w:r>
          </w:p>
        </w:tc>
        <w:tc>
          <w:tcPr>
            <w:tcW w:w="2037" w:type="dxa"/>
            <w:tcBorders>
              <w:top w:val="nil"/>
              <w:left w:val="nil"/>
              <w:bottom w:val="single" w:color="auto" w:sz="4" w:space="0"/>
              <w:right w:val="single" w:color="auto" w:sz="4" w:space="0"/>
            </w:tcBorders>
            <w:vAlign w:val="center"/>
          </w:tcPr>
          <w:p w14:paraId="1CC3719C">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181</w:t>
            </w:r>
          </w:p>
        </w:tc>
        <w:tc>
          <w:tcPr>
            <w:tcW w:w="1652" w:type="dxa"/>
            <w:tcBorders>
              <w:top w:val="nil"/>
              <w:left w:val="nil"/>
              <w:bottom w:val="single" w:color="auto" w:sz="4" w:space="0"/>
              <w:right w:val="single" w:color="auto" w:sz="4" w:space="0"/>
            </w:tcBorders>
            <w:vAlign w:val="center"/>
          </w:tcPr>
          <w:p w14:paraId="10EA3A40">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185</w:t>
            </w:r>
          </w:p>
        </w:tc>
      </w:tr>
      <w:tr w14:paraId="1E8498B4">
        <w:tblPrEx>
          <w:tblCellMar>
            <w:top w:w="0" w:type="dxa"/>
            <w:left w:w="108" w:type="dxa"/>
            <w:bottom w:w="0" w:type="dxa"/>
            <w:right w:w="108" w:type="dxa"/>
          </w:tblCellMar>
        </w:tblPrEx>
        <w:trPr>
          <w:trHeight w:val="298" w:hRule="atLeast"/>
        </w:trPr>
        <w:tc>
          <w:tcPr>
            <w:tcW w:w="2217" w:type="dxa"/>
            <w:tcBorders>
              <w:top w:val="nil"/>
              <w:left w:val="single" w:color="auto" w:sz="4" w:space="0"/>
              <w:bottom w:val="single" w:color="auto" w:sz="4" w:space="0"/>
              <w:right w:val="single" w:color="auto" w:sz="4" w:space="0"/>
            </w:tcBorders>
            <w:vAlign w:val="center"/>
          </w:tcPr>
          <w:p w14:paraId="3FA03315">
            <w:pPr>
              <w:spacing w:after="0" w:line="240" w:lineRule="auto"/>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Average (per day)</w:t>
            </w:r>
          </w:p>
        </w:tc>
        <w:tc>
          <w:tcPr>
            <w:tcW w:w="3574" w:type="dxa"/>
            <w:tcBorders>
              <w:top w:val="nil"/>
              <w:left w:val="nil"/>
              <w:bottom w:val="single" w:color="auto" w:sz="4" w:space="0"/>
              <w:right w:val="single" w:color="auto" w:sz="4" w:space="0"/>
            </w:tcBorders>
            <w:vAlign w:val="center"/>
          </w:tcPr>
          <w:p w14:paraId="7FD48544">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202.33</w:t>
            </w:r>
          </w:p>
        </w:tc>
        <w:tc>
          <w:tcPr>
            <w:tcW w:w="2037" w:type="dxa"/>
            <w:tcBorders>
              <w:top w:val="nil"/>
              <w:left w:val="nil"/>
              <w:bottom w:val="single" w:color="auto" w:sz="4" w:space="0"/>
              <w:right w:val="single" w:color="auto" w:sz="4" w:space="0"/>
            </w:tcBorders>
            <w:vAlign w:val="center"/>
          </w:tcPr>
          <w:p w14:paraId="17097D56">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60.3</w:t>
            </w:r>
          </w:p>
        </w:tc>
        <w:tc>
          <w:tcPr>
            <w:tcW w:w="1652" w:type="dxa"/>
            <w:tcBorders>
              <w:top w:val="nil"/>
              <w:left w:val="nil"/>
              <w:bottom w:val="single" w:color="auto" w:sz="4" w:space="0"/>
              <w:right w:val="single" w:color="auto" w:sz="4" w:space="0"/>
            </w:tcBorders>
            <w:vAlign w:val="center"/>
          </w:tcPr>
          <w:p w14:paraId="621A1AD7">
            <w:pPr>
              <w:spacing w:after="0" w:line="240" w:lineRule="auto"/>
              <w:jc w:val="right"/>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61.7</w:t>
            </w:r>
          </w:p>
        </w:tc>
      </w:tr>
    </w:tbl>
    <w:p w14:paraId="5FE2E8C3">
      <w:pPr>
        <w:spacing w:line="480" w:lineRule="auto"/>
        <w:rPr>
          <w:rFonts w:ascii="Times New Roman" w:hAnsi="Times New Roman" w:cs="Times New Roman"/>
          <w:b/>
          <w:bCs/>
          <w:sz w:val="24"/>
          <w:szCs w:val="24"/>
        </w:rPr>
      </w:pPr>
    </w:p>
    <w:p w14:paraId="1F086399">
      <w:pPr>
        <w:spacing w:line="480" w:lineRule="auto"/>
        <w:rPr>
          <w:rFonts w:ascii="Times New Roman" w:hAnsi="Times New Roman" w:cs="Times New Roman"/>
          <w:sz w:val="24"/>
          <w:szCs w:val="24"/>
        </w:rPr>
      </w:pPr>
      <w:r>
        <w:rPr>
          <w:rFonts w:ascii="Times New Roman" w:hAnsi="Times New Roman" w:cs="Times New Roman"/>
          <w:b/>
          <w:bCs/>
          <w:sz w:val="24"/>
          <w:szCs w:val="24"/>
        </w:rPr>
        <w:t>Average Daily Intake in kcal</w:t>
      </w:r>
    </w:p>
    <w:p w14:paraId="1FE1A77F">
      <w:pPr>
        <w:spacing w:line="480" w:lineRule="auto"/>
        <w:ind w:firstLine="720"/>
        <w:rPr>
          <w:rFonts w:ascii="Times New Roman" w:hAnsi="Times New Roman" w:cs="Times New Roman"/>
          <w:sz w:val="24"/>
          <w:szCs w:val="24"/>
        </w:rPr>
      </w:pPr>
      <w:r>
        <w:rPr>
          <w:rFonts w:ascii="Times New Roman" w:hAnsi="Times New Roman" w:cs="Times New Roman"/>
          <w:sz w:val="24"/>
          <w:szCs w:val="24"/>
        </w:rPr>
        <w:t>For proper identification of kcal in a particular food piece, it requires proper determination of carbohydrates, proteins, and fats present in that particular food piece. Protein and carbohydrates provide calories depending on the grams consumed while fats provide calories dependent on the grams consumed; thus, the knowledge of the type of macronutrient and their caloric values is essential in calculating total calories of the food.</w:t>
      </w:r>
      <w:r>
        <w:commentReference w:id="1"/>
      </w:r>
    </w:p>
    <w:p w14:paraId="2EE36E7B">
      <w:pPr>
        <w:spacing w:line="480" w:lineRule="auto"/>
        <w:ind w:firstLine="720"/>
        <w:rPr>
          <w:rFonts w:ascii="Times New Roman" w:hAnsi="Times New Roman" w:cs="Times New Roman"/>
          <w:sz w:val="24"/>
          <w:szCs w:val="24"/>
        </w:rPr>
      </w:pPr>
      <w:r>
        <w:rPr>
          <w:rFonts w:ascii="Times New Roman" w:hAnsi="Times New Roman" w:cs="Times New Roman"/>
          <w:sz w:val="24"/>
          <w:szCs w:val="24"/>
        </w:rPr>
        <w:t>Carbohydrates, proteins and fats are the major groups of nutrients that are required in large proportions by the body. All of the macronutrients supply energy, although at different levels of efficiency. Namely, carbohydrates and proteins contain 4 thousand of kilocalories per gram, and fats contain 9 thousand of kilcalories per gram. This difference in caloric value is basic when determining the total energetic potential of an item of food. First of all, you have to identify the total grams of macronutrient in a food item as it is illustrated in the following formula. For instance, food sample data may show 20 grams of carbohydrates, 10 grams of proteins, and 5 grams of fats; you will then use these values to arrive at a total of calories.</w:t>
      </w:r>
      <w:r>
        <w:commentReference w:id="2"/>
      </w:r>
    </w:p>
    <w:p w14:paraId="66123920">
      <w:pPr>
        <w:spacing w:line="480" w:lineRule="auto"/>
        <w:ind w:firstLine="720"/>
        <w:rPr>
          <w:rFonts w:ascii="Times New Roman" w:hAnsi="Times New Roman" w:cs="Times New Roman"/>
          <w:sz w:val="24"/>
          <w:szCs w:val="24"/>
        </w:rPr>
      </w:pPr>
      <w:r>
        <w:rPr>
          <w:rFonts w:ascii="Times New Roman" w:hAnsi="Times New Roman" w:cs="Times New Roman"/>
          <w:sz w:val="24"/>
          <w:szCs w:val="24"/>
        </w:rPr>
        <w:t>Needless to say, the calculation for carbohydrates could not be easier. Carry out the operation that involves multiplication of the number of grams of carbohydrates with the caloric value per gram. Here, 20 grams of carbohydrates when converted to kilocalories, using the factor 4 kilocalories per gram, is equal to 80 kilocalories. Likewise, proteins, if the prescribed amount is 10 grams, calculate by multiplying 10 grams of protein by 4 kilocalories per gram, equal to 40 kilocalories. Lastly for fats, 45 kilocalories were obtained by multiplying the specific amount of fat by 9 kilocalories per gram.</w:t>
      </w:r>
    </w:p>
    <w:p w14:paraId="642675A9">
      <w:pPr>
        <w:spacing w:line="480" w:lineRule="auto"/>
        <w:ind w:firstLine="720"/>
        <w:rPr>
          <w:rFonts w:ascii="Times New Roman" w:hAnsi="Times New Roman" w:cs="Times New Roman"/>
          <w:sz w:val="24"/>
          <w:szCs w:val="24"/>
        </w:rPr>
      </w:pPr>
      <w:r>
        <w:rPr>
          <w:rFonts w:ascii="Times New Roman" w:hAnsi="Times New Roman" w:cs="Times New Roman"/>
          <w:sz w:val="24"/>
          <w:szCs w:val="24"/>
        </w:rPr>
        <w:t>When you have decided on the macro nutritional values for each of the food item, addition of these values gives the total caloric value for the food item in question. In the given example, you would add the calories from carbohydrates, proteins, and fats: For non-adipose tissue, the food provides 80 kcal of carbohydrates, 40 kcal of protein, and 45 kcal of fats. Adding it all up, one gets a total of 165 kilocalories of the particular food item.</w:t>
      </w:r>
    </w:p>
    <w:p w14:paraId="327CC9F5">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When doing this, you are able to determine the exact number of calories of any food from the macronutrient content. This method can also be used to determine the nutritional requirement, promote diet planning and putting into consideration the right diets to adopt so as to achieve the nutritional goals. Appreciating how to analyze the caloric value of the different macronutrients helps to control the dietary intake and contribute to the creation of healthier habits.</w:t>
      </w:r>
    </w:p>
    <w:p w14:paraId="785C959D">
      <w:pPr>
        <w:spacing w:line="480" w:lineRule="auto"/>
        <w:ind w:firstLine="720"/>
        <w:rPr>
          <w:rFonts w:ascii="Times New Roman" w:hAnsi="Times New Roman" w:cs="Times New Roman"/>
          <w:sz w:val="24"/>
          <w:szCs w:val="24"/>
          <w:lang w:eastAsia="zh-CN"/>
        </w:rPr>
      </w:pPr>
    </w:p>
    <w:p w14:paraId="12E4B188">
      <w:pPr>
        <w:spacing w:line="480" w:lineRule="auto"/>
        <w:ind w:firstLine="720"/>
        <w:rPr>
          <w:rFonts w:ascii="Times New Roman" w:hAnsi="Times New Roman" w:cs="Times New Roman"/>
          <w:sz w:val="24"/>
          <w:szCs w:val="24"/>
          <w:lang w:eastAsia="zh-CN"/>
        </w:rPr>
      </w:pPr>
    </w:p>
    <w:p w14:paraId="6A7B6DDE">
      <w:pPr>
        <w:spacing w:line="480" w:lineRule="auto"/>
        <w:ind w:firstLine="720"/>
        <w:rPr>
          <w:rFonts w:ascii="Times New Roman" w:hAnsi="Times New Roman" w:cs="Times New Roman"/>
          <w:sz w:val="24"/>
          <w:szCs w:val="24"/>
          <w:lang w:eastAsia="zh-CN"/>
        </w:rPr>
      </w:pPr>
    </w:p>
    <w:p w14:paraId="1C32D815">
      <w:pPr>
        <w:spacing w:line="480" w:lineRule="auto"/>
        <w:ind w:firstLine="720"/>
        <w:rPr>
          <w:rFonts w:ascii="Times New Roman" w:hAnsi="Times New Roman" w:cs="Times New Roman"/>
          <w:sz w:val="24"/>
          <w:szCs w:val="24"/>
          <w:lang w:eastAsia="zh-CN"/>
        </w:rPr>
      </w:pPr>
    </w:p>
    <w:p w14:paraId="65986FD3">
      <w:pPr>
        <w:spacing w:line="480" w:lineRule="auto"/>
        <w:rPr>
          <w:rFonts w:ascii="Times New Roman" w:hAnsi="Times New Roman" w:cs="Times New Roman"/>
          <w:b/>
          <w:bCs/>
          <w:sz w:val="24"/>
          <w:szCs w:val="24"/>
        </w:rPr>
      </w:pPr>
      <w:r>
        <w:rPr>
          <w:rFonts w:ascii="Times New Roman" w:hAnsi="Times New Roman" w:cs="Times New Roman"/>
          <w:b/>
          <w:bCs/>
          <w:sz w:val="24"/>
          <w:szCs w:val="24"/>
        </w:rPr>
        <w:t>Average Daily Energy Intake Calculation</w:t>
      </w:r>
      <w:r>
        <w:commentReference w:id="3"/>
      </w:r>
    </w:p>
    <w:tbl>
      <w:tblPr>
        <w:tblStyle w:val="3"/>
        <w:tblW w:w="6677" w:type="dxa"/>
        <w:tblInd w:w="0" w:type="dxa"/>
        <w:tblLayout w:type="autofit"/>
        <w:tblCellMar>
          <w:top w:w="0" w:type="dxa"/>
          <w:left w:w="108" w:type="dxa"/>
          <w:bottom w:w="0" w:type="dxa"/>
          <w:right w:w="108" w:type="dxa"/>
        </w:tblCellMar>
      </w:tblPr>
      <w:tblGrid>
        <w:gridCol w:w="2376"/>
        <w:gridCol w:w="1464"/>
        <w:gridCol w:w="1394"/>
        <w:gridCol w:w="1443"/>
      </w:tblGrid>
      <w:tr w14:paraId="361006A4">
        <w:tblPrEx>
          <w:tblCellMar>
            <w:top w:w="0" w:type="dxa"/>
            <w:left w:w="108" w:type="dxa"/>
            <w:bottom w:w="0" w:type="dxa"/>
            <w:right w:w="108" w:type="dxa"/>
          </w:tblCellMar>
        </w:tblPrEx>
        <w:trPr>
          <w:trHeight w:val="741" w:hRule="atLeast"/>
        </w:trPr>
        <w:tc>
          <w:tcPr>
            <w:tcW w:w="2376" w:type="dxa"/>
            <w:tcBorders>
              <w:top w:val="single" w:color="auto" w:sz="4" w:space="0"/>
              <w:left w:val="single" w:color="auto" w:sz="4" w:space="0"/>
              <w:bottom w:val="single" w:color="auto" w:sz="4" w:space="0"/>
              <w:right w:val="single" w:color="auto" w:sz="4" w:space="0"/>
            </w:tcBorders>
            <w:vAlign w:val="center"/>
          </w:tcPr>
          <w:p w14:paraId="2406D575">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Macronutrient</w:t>
            </w:r>
          </w:p>
        </w:tc>
        <w:tc>
          <w:tcPr>
            <w:tcW w:w="1464" w:type="dxa"/>
            <w:tcBorders>
              <w:top w:val="single" w:color="auto" w:sz="4" w:space="0"/>
              <w:left w:val="nil"/>
              <w:bottom w:val="single" w:color="auto" w:sz="4" w:space="0"/>
              <w:right w:val="single" w:color="auto" w:sz="4" w:space="0"/>
            </w:tcBorders>
            <w:vAlign w:val="center"/>
          </w:tcPr>
          <w:p w14:paraId="3537C13F">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Amount (g)</w:t>
            </w:r>
          </w:p>
        </w:tc>
        <w:tc>
          <w:tcPr>
            <w:tcW w:w="1394" w:type="dxa"/>
            <w:tcBorders>
              <w:top w:val="single" w:color="auto" w:sz="4" w:space="0"/>
              <w:left w:val="nil"/>
              <w:bottom w:val="single" w:color="auto" w:sz="4" w:space="0"/>
              <w:right w:val="single" w:color="auto" w:sz="4" w:space="0"/>
            </w:tcBorders>
            <w:vAlign w:val="center"/>
          </w:tcPr>
          <w:p w14:paraId="36FD5C43">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Caloric Value (kcal/g)</w:t>
            </w:r>
          </w:p>
        </w:tc>
        <w:tc>
          <w:tcPr>
            <w:tcW w:w="1443" w:type="dxa"/>
            <w:tcBorders>
              <w:top w:val="single" w:color="auto" w:sz="4" w:space="0"/>
              <w:left w:val="nil"/>
              <w:bottom w:val="single" w:color="auto" w:sz="4" w:space="0"/>
              <w:right w:val="single" w:color="auto" w:sz="4" w:space="0"/>
            </w:tcBorders>
            <w:vAlign w:val="center"/>
          </w:tcPr>
          <w:p w14:paraId="30C95008">
            <w:pPr>
              <w:spacing w:after="0" w:line="240" w:lineRule="auto"/>
              <w:jc w:val="center"/>
              <w:rPr>
                <w:rFonts w:ascii="Calibri" w:hAnsi="Calibri" w:eastAsia="Times New Roman" w:cs="Calibri"/>
                <w:b/>
                <w:bCs/>
                <w:color w:val="000000"/>
                <w:kern w:val="0"/>
                <w14:ligatures w14:val="none"/>
              </w:rPr>
            </w:pPr>
            <w:r>
              <w:rPr>
                <w:rFonts w:ascii="Calibri" w:hAnsi="Calibri" w:eastAsia="Times New Roman" w:cs="Calibri"/>
                <w:b/>
                <w:bCs/>
                <w:color w:val="000000"/>
                <w:kern w:val="0"/>
                <w14:ligatures w14:val="none"/>
              </w:rPr>
              <w:t>Total Calories (kcal)</w:t>
            </w:r>
          </w:p>
        </w:tc>
      </w:tr>
      <w:tr w14:paraId="5A5DBC6D">
        <w:tblPrEx>
          <w:tblCellMar>
            <w:top w:w="0" w:type="dxa"/>
            <w:left w:w="108" w:type="dxa"/>
            <w:bottom w:w="0" w:type="dxa"/>
            <w:right w:w="108" w:type="dxa"/>
          </w:tblCellMar>
        </w:tblPrEx>
        <w:trPr>
          <w:trHeight w:val="494" w:hRule="atLeast"/>
        </w:trPr>
        <w:tc>
          <w:tcPr>
            <w:tcW w:w="2376" w:type="dxa"/>
            <w:tcBorders>
              <w:top w:val="nil"/>
              <w:left w:val="single" w:color="auto" w:sz="4" w:space="0"/>
              <w:bottom w:val="single" w:color="auto" w:sz="4" w:space="0"/>
              <w:right w:val="single" w:color="auto" w:sz="4" w:space="0"/>
            </w:tcBorders>
            <w:vAlign w:val="center"/>
          </w:tcPr>
          <w:p w14:paraId="1FDBA336">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Carbohydrates</w:t>
            </w:r>
          </w:p>
        </w:tc>
        <w:tc>
          <w:tcPr>
            <w:tcW w:w="1464" w:type="dxa"/>
            <w:tcBorders>
              <w:top w:val="nil"/>
              <w:left w:val="nil"/>
              <w:bottom w:val="single" w:color="auto" w:sz="4" w:space="0"/>
              <w:right w:val="single" w:color="auto" w:sz="4" w:space="0"/>
            </w:tcBorders>
            <w:vAlign w:val="center"/>
          </w:tcPr>
          <w:p w14:paraId="48111C18">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203</w:t>
            </w:r>
          </w:p>
        </w:tc>
        <w:tc>
          <w:tcPr>
            <w:tcW w:w="1394" w:type="dxa"/>
            <w:tcBorders>
              <w:top w:val="nil"/>
              <w:left w:val="nil"/>
              <w:bottom w:val="single" w:color="auto" w:sz="4" w:space="0"/>
              <w:right w:val="single" w:color="auto" w:sz="4" w:space="0"/>
            </w:tcBorders>
            <w:vAlign w:val="center"/>
          </w:tcPr>
          <w:p w14:paraId="536F9783">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443" w:type="dxa"/>
            <w:tcBorders>
              <w:top w:val="nil"/>
              <w:left w:val="nil"/>
              <w:bottom w:val="single" w:color="auto" w:sz="4" w:space="0"/>
              <w:right w:val="single" w:color="auto" w:sz="4" w:space="0"/>
            </w:tcBorders>
            <w:vAlign w:val="center"/>
          </w:tcPr>
          <w:p w14:paraId="7B1471C6">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812</w:t>
            </w:r>
          </w:p>
        </w:tc>
      </w:tr>
      <w:tr w14:paraId="4965A8BC">
        <w:tblPrEx>
          <w:tblCellMar>
            <w:top w:w="0" w:type="dxa"/>
            <w:left w:w="108" w:type="dxa"/>
            <w:bottom w:w="0" w:type="dxa"/>
            <w:right w:w="108" w:type="dxa"/>
          </w:tblCellMar>
        </w:tblPrEx>
        <w:trPr>
          <w:trHeight w:val="247" w:hRule="atLeast"/>
        </w:trPr>
        <w:tc>
          <w:tcPr>
            <w:tcW w:w="2376" w:type="dxa"/>
            <w:tcBorders>
              <w:top w:val="nil"/>
              <w:left w:val="single" w:color="auto" w:sz="4" w:space="0"/>
              <w:bottom w:val="single" w:color="auto" w:sz="4" w:space="0"/>
              <w:right w:val="single" w:color="auto" w:sz="4" w:space="0"/>
            </w:tcBorders>
            <w:vAlign w:val="center"/>
          </w:tcPr>
          <w:p w14:paraId="59129968">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Protein</w:t>
            </w:r>
          </w:p>
        </w:tc>
        <w:tc>
          <w:tcPr>
            <w:tcW w:w="1464" w:type="dxa"/>
            <w:tcBorders>
              <w:top w:val="nil"/>
              <w:left w:val="nil"/>
              <w:bottom w:val="single" w:color="auto" w:sz="4" w:space="0"/>
              <w:right w:val="single" w:color="auto" w:sz="4" w:space="0"/>
            </w:tcBorders>
            <w:vAlign w:val="center"/>
          </w:tcPr>
          <w:p w14:paraId="399415A1">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60</w:t>
            </w:r>
          </w:p>
        </w:tc>
        <w:tc>
          <w:tcPr>
            <w:tcW w:w="1394" w:type="dxa"/>
            <w:tcBorders>
              <w:top w:val="nil"/>
              <w:left w:val="nil"/>
              <w:bottom w:val="single" w:color="auto" w:sz="4" w:space="0"/>
              <w:right w:val="single" w:color="auto" w:sz="4" w:space="0"/>
            </w:tcBorders>
            <w:vAlign w:val="center"/>
          </w:tcPr>
          <w:p w14:paraId="010E9C15">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4</w:t>
            </w:r>
          </w:p>
        </w:tc>
        <w:tc>
          <w:tcPr>
            <w:tcW w:w="1443" w:type="dxa"/>
            <w:tcBorders>
              <w:top w:val="nil"/>
              <w:left w:val="nil"/>
              <w:bottom w:val="single" w:color="auto" w:sz="4" w:space="0"/>
              <w:right w:val="single" w:color="auto" w:sz="4" w:space="0"/>
            </w:tcBorders>
            <w:vAlign w:val="center"/>
          </w:tcPr>
          <w:p w14:paraId="288675E5">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242</w:t>
            </w:r>
          </w:p>
        </w:tc>
      </w:tr>
      <w:tr w14:paraId="39C5E3D8">
        <w:tblPrEx>
          <w:tblCellMar>
            <w:top w:w="0" w:type="dxa"/>
            <w:left w:w="108" w:type="dxa"/>
            <w:bottom w:w="0" w:type="dxa"/>
            <w:right w:w="108" w:type="dxa"/>
          </w:tblCellMar>
        </w:tblPrEx>
        <w:trPr>
          <w:trHeight w:val="247" w:hRule="atLeast"/>
        </w:trPr>
        <w:tc>
          <w:tcPr>
            <w:tcW w:w="2376" w:type="dxa"/>
            <w:tcBorders>
              <w:top w:val="nil"/>
              <w:left w:val="single" w:color="auto" w:sz="4" w:space="0"/>
              <w:bottom w:val="single" w:color="auto" w:sz="4" w:space="0"/>
              <w:right w:val="single" w:color="auto" w:sz="4" w:space="0"/>
            </w:tcBorders>
            <w:vAlign w:val="center"/>
          </w:tcPr>
          <w:p w14:paraId="5C0711C5">
            <w:pPr>
              <w:spacing w:after="0" w:line="240" w:lineRule="auto"/>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Fat</w:t>
            </w:r>
          </w:p>
        </w:tc>
        <w:tc>
          <w:tcPr>
            <w:tcW w:w="1464" w:type="dxa"/>
            <w:tcBorders>
              <w:top w:val="nil"/>
              <w:left w:val="nil"/>
              <w:bottom w:val="single" w:color="auto" w:sz="4" w:space="0"/>
              <w:right w:val="single" w:color="auto" w:sz="4" w:space="0"/>
            </w:tcBorders>
            <w:vAlign w:val="center"/>
          </w:tcPr>
          <w:p w14:paraId="16419028">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62</w:t>
            </w:r>
          </w:p>
        </w:tc>
        <w:tc>
          <w:tcPr>
            <w:tcW w:w="1394" w:type="dxa"/>
            <w:tcBorders>
              <w:top w:val="nil"/>
              <w:left w:val="nil"/>
              <w:bottom w:val="single" w:color="auto" w:sz="4" w:space="0"/>
              <w:right w:val="single" w:color="auto" w:sz="4" w:space="0"/>
            </w:tcBorders>
            <w:vAlign w:val="center"/>
          </w:tcPr>
          <w:p w14:paraId="6C43FCFC">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9</w:t>
            </w:r>
          </w:p>
        </w:tc>
        <w:tc>
          <w:tcPr>
            <w:tcW w:w="1443" w:type="dxa"/>
            <w:tcBorders>
              <w:top w:val="nil"/>
              <w:left w:val="nil"/>
              <w:bottom w:val="single" w:color="auto" w:sz="4" w:space="0"/>
              <w:right w:val="single" w:color="auto" w:sz="4" w:space="0"/>
            </w:tcBorders>
            <w:vAlign w:val="center"/>
          </w:tcPr>
          <w:p w14:paraId="074D4111">
            <w:pPr>
              <w:spacing w:after="0" w:line="240" w:lineRule="auto"/>
              <w:jc w:val="right"/>
              <w:rPr>
                <w:rFonts w:ascii="Calibri" w:hAnsi="Calibri" w:eastAsia="Times New Roman" w:cs="Calibri"/>
                <w:color w:val="000000"/>
                <w:kern w:val="0"/>
                <w14:ligatures w14:val="none"/>
              </w:rPr>
            </w:pPr>
            <w:r>
              <w:rPr>
                <w:rFonts w:ascii="Calibri" w:hAnsi="Calibri" w:eastAsia="Times New Roman" w:cs="Calibri"/>
                <w:color w:val="000000"/>
                <w:kern w:val="0"/>
                <w14:ligatures w14:val="none"/>
              </w:rPr>
              <w:t>559</w:t>
            </w:r>
          </w:p>
        </w:tc>
      </w:tr>
    </w:tbl>
    <w:p w14:paraId="77C2B7EC">
      <w:pPr>
        <w:spacing w:line="480" w:lineRule="auto"/>
        <w:rPr>
          <w:rFonts w:ascii="Times New Roman" w:hAnsi="Times New Roman" w:cs="Times New Roman"/>
          <w:sz w:val="24"/>
          <w:szCs w:val="24"/>
        </w:rPr>
      </w:pPr>
    </w:p>
    <w:p w14:paraId="0416CC81">
      <w:pPr>
        <w:spacing w:line="480" w:lineRule="auto"/>
        <w:ind w:firstLine="720"/>
        <w:rPr>
          <w:rFonts w:ascii="Times New Roman" w:hAnsi="Times New Roman" w:cs="Times New Roman"/>
          <w:sz w:val="24"/>
          <w:szCs w:val="24"/>
        </w:rPr>
      </w:pPr>
      <w:r>
        <w:rPr>
          <w:rFonts w:ascii="Times New Roman" w:hAnsi="Times New Roman" w:cs="Times New Roman"/>
          <w:sz w:val="24"/>
          <w:szCs w:val="24"/>
        </w:rPr>
        <w:t>Here, the amounts of macronutrients are also mentioned and the calories per gram of each macronutrient are multiplied to obtain the total calories of the macronutrient.</w:t>
      </w:r>
    </w:p>
    <w:p w14:paraId="79B01666">
      <w:pPr>
        <w:spacing w:line="480" w:lineRule="auto"/>
        <w:rPr>
          <w:rFonts w:ascii="Times New Roman" w:hAnsi="Times New Roman" w:cs="Times New Roman"/>
          <w:b/>
          <w:bCs/>
          <w:sz w:val="24"/>
          <w:szCs w:val="24"/>
        </w:rPr>
      </w:pPr>
      <w:r>
        <w:rPr>
          <w:rFonts w:ascii="Times New Roman" w:hAnsi="Times New Roman" w:cs="Times New Roman"/>
          <w:b/>
          <w:bCs/>
          <w:sz w:val="24"/>
          <w:szCs w:val="24"/>
        </w:rPr>
        <w:t>Total Average Daily Energy Intake:</w:t>
      </w:r>
      <w:r>
        <w:rPr>
          <w:rFonts w:ascii="Times New Roman" w:hAnsi="Times New Roman" w:cs="Times New Roman"/>
          <w:sz w:val="24"/>
          <w:szCs w:val="24"/>
        </w:rPr>
        <w:t xml:space="preserve"> 812+242+559=1613</w:t>
      </w:r>
    </w:p>
    <w:p w14:paraId="73584754">
      <w:pPr>
        <w:spacing w:line="480" w:lineRule="auto"/>
        <w:rPr>
          <w:rFonts w:ascii="Times New Roman" w:hAnsi="Times New Roman" w:cs="Times New Roman"/>
          <w:sz w:val="24"/>
          <w:szCs w:val="24"/>
        </w:rPr>
      </w:pPr>
      <w:r>
        <w:rPr>
          <w:rFonts w:ascii="Times New Roman" w:hAnsi="Times New Roman" w:cs="Times New Roman"/>
          <w:b/>
          <w:bCs/>
          <w:sz w:val="24"/>
          <w:szCs w:val="24"/>
        </w:rPr>
        <w:t>Glucose Tolerance Test Analysis</w:t>
      </w:r>
    </w:p>
    <w:p w14:paraId="1CB56086">
      <w:pPr>
        <w:spacing w:line="480" w:lineRule="auto"/>
        <w:rPr>
          <w:rFonts w:ascii="Times New Roman" w:hAnsi="Times New Roman" w:cs="Times New Roman"/>
          <w:sz w:val="24"/>
          <w:szCs w:val="24"/>
        </w:rPr>
      </w:pPr>
      <w:r>
        <w:rPr>
          <w:rFonts w:ascii="Times New Roman" w:hAnsi="Times New Roman" w:cs="Times New Roman"/>
          <w:b/>
          <w:bCs/>
          <w:sz w:val="24"/>
          <w:szCs w:val="24"/>
        </w:rPr>
        <w:t>Absorbance Data and Glucose Concentration</w:t>
      </w:r>
    </w:p>
    <w:p w14:paraId="7544A3A8">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table below summarizes the results of the glucose tolerance test, providing a comprehensive overview of the measurements and findings. This detailed presentation clearly illustrates the level of glucose tolerance achieved.</w:t>
      </w:r>
    </w:p>
    <w:p w14:paraId="65475FF6">
      <w:pPr>
        <w:spacing w:line="480" w:lineRule="auto"/>
        <w:ind w:firstLine="720"/>
        <w:rPr>
          <w:rFonts w:ascii="Times New Roman" w:hAnsi="Times New Roman" w:cs="Times New Roman"/>
          <w:sz w:val="24"/>
          <w:szCs w:val="24"/>
        </w:rPr>
      </w:pPr>
    </w:p>
    <w:tbl>
      <w:tblPr>
        <w:tblStyle w:val="3"/>
        <w:tblW w:w="7421" w:type="dxa"/>
        <w:tblInd w:w="113" w:type="dxa"/>
        <w:tblLayout w:type="autofit"/>
        <w:tblCellMar>
          <w:top w:w="0" w:type="dxa"/>
          <w:left w:w="108" w:type="dxa"/>
          <w:bottom w:w="0" w:type="dxa"/>
          <w:right w:w="108" w:type="dxa"/>
        </w:tblCellMar>
      </w:tblPr>
      <w:tblGrid>
        <w:gridCol w:w="2003"/>
        <w:gridCol w:w="2709"/>
        <w:gridCol w:w="2709"/>
      </w:tblGrid>
      <w:tr w14:paraId="54A153B9">
        <w:tblPrEx>
          <w:tblCellMar>
            <w:top w:w="0" w:type="dxa"/>
            <w:left w:w="108" w:type="dxa"/>
            <w:bottom w:w="0" w:type="dxa"/>
            <w:right w:w="108" w:type="dxa"/>
          </w:tblCellMar>
        </w:tblPrEx>
        <w:trPr>
          <w:trHeight w:val="893" w:hRule="atLeast"/>
        </w:trPr>
        <w:tc>
          <w:tcPr>
            <w:tcW w:w="2003" w:type="dxa"/>
            <w:tcBorders>
              <w:top w:val="single" w:color="auto" w:sz="4" w:space="0"/>
              <w:left w:val="single" w:color="auto" w:sz="4" w:space="0"/>
              <w:bottom w:val="single" w:color="auto" w:sz="4" w:space="0"/>
              <w:right w:val="single" w:color="auto" w:sz="4" w:space="0"/>
            </w:tcBorders>
            <w:vAlign w:val="center"/>
          </w:tcPr>
          <w:p w14:paraId="7E394AD6">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Time (mins)</w:t>
            </w:r>
          </w:p>
        </w:tc>
        <w:tc>
          <w:tcPr>
            <w:tcW w:w="2709" w:type="dxa"/>
            <w:tcBorders>
              <w:top w:val="single" w:color="auto" w:sz="4" w:space="0"/>
              <w:left w:val="nil"/>
              <w:bottom w:val="single" w:color="auto" w:sz="4" w:space="0"/>
              <w:right w:val="single" w:color="auto" w:sz="4" w:space="0"/>
            </w:tcBorders>
            <w:vAlign w:val="center"/>
          </w:tcPr>
          <w:p w14:paraId="76F8F836">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Healthy Person (mmol/L)</w:t>
            </w:r>
          </w:p>
        </w:tc>
        <w:tc>
          <w:tcPr>
            <w:tcW w:w="2709" w:type="dxa"/>
            <w:tcBorders>
              <w:top w:val="single" w:color="auto" w:sz="4" w:space="0"/>
              <w:left w:val="nil"/>
              <w:bottom w:val="single" w:color="auto" w:sz="4" w:space="0"/>
              <w:right w:val="single" w:color="auto" w:sz="4" w:space="0"/>
            </w:tcBorders>
            <w:vAlign w:val="center"/>
          </w:tcPr>
          <w:p w14:paraId="48573537">
            <w:pPr>
              <w:spacing w:after="0" w:line="240" w:lineRule="auto"/>
              <w:jc w:val="center"/>
              <w:rPr>
                <w:rFonts w:ascii="Times New Roman" w:hAnsi="Times New Roman" w:eastAsia="Times New Roman" w:cs="Times New Roman"/>
                <w:b/>
                <w:bCs/>
                <w:color w:val="000000"/>
                <w:kern w:val="0"/>
                <w:sz w:val="24"/>
                <w:szCs w:val="24"/>
                <w14:ligatures w14:val="none"/>
              </w:rPr>
            </w:pPr>
            <w:r>
              <w:rPr>
                <w:rFonts w:ascii="Times New Roman" w:hAnsi="Times New Roman" w:eastAsia="Times New Roman" w:cs="Times New Roman"/>
                <w:b/>
                <w:bCs/>
                <w:color w:val="000000"/>
                <w:kern w:val="0"/>
                <w:sz w:val="24"/>
                <w:szCs w:val="24"/>
                <w14:ligatures w14:val="none"/>
              </w:rPr>
              <w:t>Alicia (mmol/L)</w:t>
            </w:r>
          </w:p>
        </w:tc>
      </w:tr>
      <w:tr w14:paraId="13511B0E">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4C15CAC1">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0</w:t>
            </w:r>
          </w:p>
        </w:tc>
        <w:tc>
          <w:tcPr>
            <w:tcW w:w="2709" w:type="dxa"/>
            <w:tcBorders>
              <w:top w:val="nil"/>
              <w:left w:val="nil"/>
              <w:bottom w:val="single" w:color="auto" w:sz="4" w:space="0"/>
              <w:right w:val="single" w:color="auto" w:sz="4" w:space="0"/>
            </w:tcBorders>
            <w:vAlign w:val="center"/>
          </w:tcPr>
          <w:p w14:paraId="7B10333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55765.8</w:t>
            </w:r>
          </w:p>
        </w:tc>
        <w:tc>
          <w:tcPr>
            <w:tcW w:w="2709" w:type="dxa"/>
            <w:tcBorders>
              <w:top w:val="nil"/>
              <w:left w:val="nil"/>
              <w:bottom w:val="single" w:color="auto" w:sz="4" w:space="0"/>
              <w:right w:val="single" w:color="auto" w:sz="4" w:space="0"/>
            </w:tcBorders>
            <w:vAlign w:val="center"/>
          </w:tcPr>
          <w:p w14:paraId="3788B9EA">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56466</w:t>
            </w:r>
          </w:p>
        </w:tc>
      </w:tr>
      <w:tr w14:paraId="20C9C63F">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2987A1C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30</w:t>
            </w:r>
          </w:p>
        </w:tc>
        <w:tc>
          <w:tcPr>
            <w:tcW w:w="2709" w:type="dxa"/>
            <w:tcBorders>
              <w:top w:val="nil"/>
              <w:left w:val="nil"/>
              <w:bottom w:val="single" w:color="auto" w:sz="4" w:space="0"/>
              <w:right w:val="single" w:color="auto" w:sz="4" w:space="0"/>
            </w:tcBorders>
            <w:vAlign w:val="center"/>
          </w:tcPr>
          <w:p w14:paraId="53564A40">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88984.6</w:t>
            </w:r>
          </w:p>
        </w:tc>
        <w:tc>
          <w:tcPr>
            <w:tcW w:w="2709" w:type="dxa"/>
            <w:tcBorders>
              <w:top w:val="nil"/>
              <w:left w:val="nil"/>
              <w:bottom w:val="single" w:color="auto" w:sz="4" w:space="0"/>
              <w:right w:val="single" w:color="auto" w:sz="4" w:space="0"/>
            </w:tcBorders>
            <w:vAlign w:val="center"/>
          </w:tcPr>
          <w:p w14:paraId="306B55DD">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91510.5</w:t>
            </w:r>
          </w:p>
        </w:tc>
      </w:tr>
      <w:tr w14:paraId="492950B5">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77C712E2">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60</w:t>
            </w:r>
          </w:p>
        </w:tc>
        <w:tc>
          <w:tcPr>
            <w:tcW w:w="2709" w:type="dxa"/>
            <w:tcBorders>
              <w:top w:val="nil"/>
              <w:left w:val="nil"/>
              <w:bottom w:val="single" w:color="auto" w:sz="4" w:space="0"/>
              <w:right w:val="single" w:color="auto" w:sz="4" w:space="0"/>
            </w:tcBorders>
            <w:vAlign w:val="center"/>
          </w:tcPr>
          <w:p w14:paraId="2B2C6A8E">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99998.7</w:t>
            </w:r>
          </w:p>
        </w:tc>
        <w:tc>
          <w:tcPr>
            <w:tcW w:w="2709" w:type="dxa"/>
            <w:tcBorders>
              <w:top w:val="nil"/>
              <w:left w:val="nil"/>
              <w:bottom w:val="single" w:color="auto" w:sz="4" w:space="0"/>
              <w:right w:val="single" w:color="auto" w:sz="4" w:space="0"/>
            </w:tcBorders>
            <w:vAlign w:val="center"/>
          </w:tcPr>
          <w:p w14:paraId="62008634">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102154.4</w:t>
            </w:r>
          </w:p>
        </w:tc>
      </w:tr>
      <w:tr w14:paraId="05435F68">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510A0519">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90</w:t>
            </w:r>
          </w:p>
        </w:tc>
        <w:tc>
          <w:tcPr>
            <w:tcW w:w="2709" w:type="dxa"/>
            <w:tcBorders>
              <w:top w:val="nil"/>
              <w:left w:val="nil"/>
              <w:bottom w:val="single" w:color="auto" w:sz="4" w:space="0"/>
              <w:right w:val="single" w:color="auto" w:sz="4" w:space="0"/>
            </w:tcBorders>
            <w:vAlign w:val="center"/>
          </w:tcPr>
          <w:p w14:paraId="087265A7">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92723.6</w:t>
            </w:r>
          </w:p>
        </w:tc>
        <w:tc>
          <w:tcPr>
            <w:tcW w:w="2709" w:type="dxa"/>
            <w:tcBorders>
              <w:top w:val="nil"/>
              <w:left w:val="nil"/>
              <w:bottom w:val="single" w:color="auto" w:sz="4" w:space="0"/>
              <w:right w:val="single" w:color="auto" w:sz="4" w:space="0"/>
            </w:tcBorders>
            <w:vAlign w:val="center"/>
          </w:tcPr>
          <w:p w14:paraId="27B27BC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94730.8</w:t>
            </w:r>
          </w:p>
        </w:tc>
      </w:tr>
      <w:tr w14:paraId="250C577E">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04AFD1A8">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120</w:t>
            </w:r>
          </w:p>
        </w:tc>
        <w:tc>
          <w:tcPr>
            <w:tcW w:w="2709" w:type="dxa"/>
            <w:tcBorders>
              <w:top w:val="nil"/>
              <w:left w:val="nil"/>
              <w:bottom w:val="single" w:color="auto" w:sz="4" w:space="0"/>
              <w:right w:val="single" w:color="auto" w:sz="4" w:space="0"/>
            </w:tcBorders>
            <w:vAlign w:val="center"/>
          </w:tcPr>
          <w:p w14:paraId="680AC85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66795.7</w:t>
            </w:r>
          </w:p>
        </w:tc>
        <w:tc>
          <w:tcPr>
            <w:tcW w:w="2709" w:type="dxa"/>
            <w:tcBorders>
              <w:top w:val="nil"/>
              <w:left w:val="nil"/>
              <w:bottom w:val="single" w:color="auto" w:sz="4" w:space="0"/>
              <w:right w:val="single" w:color="auto" w:sz="4" w:space="0"/>
            </w:tcBorders>
            <w:vAlign w:val="center"/>
          </w:tcPr>
          <w:p w14:paraId="00B46ED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68273.8</w:t>
            </w:r>
          </w:p>
        </w:tc>
      </w:tr>
      <w:tr w14:paraId="6B06DD6F">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65853126">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150</w:t>
            </w:r>
          </w:p>
        </w:tc>
        <w:tc>
          <w:tcPr>
            <w:tcW w:w="2709" w:type="dxa"/>
            <w:tcBorders>
              <w:top w:val="nil"/>
              <w:left w:val="nil"/>
              <w:bottom w:val="single" w:color="auto" w:sz="4" w:space="0"/>
              <w:right w:val="single" w:color="auto" w:sz="4" w:space="0"/>
            </w:tcBorders>
            <w:vAlign w:val="center"/>
          </w:tcPr>
          <w:p w14:paraId="41BB62DF">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67041.5</w:t>
            </w:r>
          </w:p>
        </w:tc>
        <w:tc>
          <w:tcPr>
            <w:tcW w:w="2709" w:type="dxa"/>
            <w:tcBorders>
              <w:top w:val="nil"/>
              <w:left w:val="nil"/>
              <w:bottom w:val="single" w:color="auto" w:sz="4" w:space="0"/>
              <w:right w:val="single" w:color="auto" w:sz="4" w:space="0"/>
            </w:tcBorders>
            <w:vAlign w:val="center"/>
          </w:tcPr>
          <w:p w14:paraId="4CCCE1FF">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68968.4</w:t>
            </w:r>
          </w:p>
        </w:tc>
      </w:tr>
      <w:tr w14:paraId="0BE7CC41">
        <w:tblPrEx>
          <w:tblCellMar>
            <w:top w:w="0" w:type="dxa"/>
            <w:left w:w="108" w:type="dxa"/>
            <w:bottom w:w="0" w:type="dxa"/>
            <w:right w:w="108" w:type="dxa"/>
          </w:tblCellMar>
        </w:tblPrEx>
        <w:trPr>
          <w:trHeight w:val="223" w:hRule="atLeast"/>
        </w:trPr>
        <w:tc>
          <w:tcPr>
            <w:tcW w:w="2003" w:type="dxa"/>
            <w:tcBorders>
              <w:top w:val="nil"/>
              <w:left w:val="single" w:color="auto" w:sz="4" w:space="0"/>
              <w:bottom w:val="single" w:color="auto" w:sz="4" w:space="0"/>
              <w:right w:val="single" w:color="auto" w:sz="4" w:space="0"/>
            </w:tcBorders>
            <w:vAlign w:val="center"/>
          </w:tcPr>
          <w:p w14:paraId="0169D77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180</w:t>
            </w:r>
          </w:p>
        </w:tc>
        <w:tc>
          <w:tcPr>
            <w:tcW w:w="2709" w:type="dxa"/>
            <w:tcBorders>
              <w:top w:val="nil"/>
              <w:left w:val="nil"/>
              <w:bottom w:val="single" w:color="auto" w:sz="4" w:space="0"/>
              <w:right w:val="single" w:color="auto" w:sz="4" w:space="0"/>
            </w:tcBorders>
            <w:vAlign w:val="center"/>
          </w:tcPr>
          <w:p w14:paraId="547B0E73">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66334.9</w:t>
            </w:r>
          </w:p>
        </w:tc>
        <w:tc>
          <w:tcPr>
            <w:tcW w:w="2709" w:type="dxa"/>
            <w:tcBorders>
              <w:top w:val="nil"/>
              <w:left w:val="nil"/>
              <w:bottom w:val="single" w:color="auto" w:sz="4" w:space="0"/>
              <w:right w:val="single" w:color="auto" w:sz="4" w:space="0"/>
            </w:tcBorders>
            <w:vAlign w:val="center"/>
          </w:tcPr>
          <w:p w14:paraId="0FE62A0C">
            <w:pPr>
              <w:spacing w:after="0" w:line="240" w:lineRule="auto"/>
              <w:jc w:val="right"/>
              <w:rPr>
                <w:rFonts w:ascii="Times New Roman" w:hAnsi="Times New Roman" w:eastAsia="Times New Roman" w:cs="Times New Roman"/>
                <w:color w:val="000000"/>
                <w:kern w:val="0"/>
                <w:sz w:val="24"/>
                <w:szCs w:val="24"/>
                <w14:ligatures w14:val="none"/>
              </w:rPr>
            </w:pPr>
            <w:r>
              <w:rPr>
                <w:rFonts w:ascii="Times New Roman" w:hAnsi="Times New Roman" w:eastAsia="Times New Roman" w:cs="Times New Roman"/>
                <w:color w:val="000000"/>
                <w:kern w:val="0"/>
                <w:sz w:val="24"/>
                <w:szCs w:val="24"/>
                <w14:ligatures w14:val="none"/>
              </w:rPr>
              <w:t>67803.7</w:t>
            </w:r>
          </w:p>
        </w:tc>
      </w:tr>
    </w:tbl>
    <w:p w14:paraId="56938E70">
      <w:pPr>
        <w:spacing w:line="480" w:lineRule="auto"/>
        <w:rPr>
          <w:rFonts w:ascii="Times New Roman" w:hAnsi="Times New Roman" w:cs="Times New Roman"/>
          <w:b/>
          <w:bCs/>
          <w:sz w:val="24"/>
          <w:szCs w:val="24"/>
        </w:rPr>
      </w:pPr>
    </w:p>
    <w:p w14:paraId="75CC3AB2">
      <w:pPr>
        <w:spacing w:line="480" w:lineRule="auto"/>
        <w:rPr>
          <w:rFonts w:ascii="Times New Roman" w:hAnsi="Times New Roman" w:cs="Times New Roman"/>
          <w:b/>
          <w:bCs/>
          <w:sz w:val="24"/>
          <w:szCs w:val="24"/>
        </w:rPr>
      </w:pPr>
      <w:r>
        <w:rPr>
          <w:rFonts w:ascii="Times New Roman" w:hAnsi="Times New Roman" w:cs="Times New Roman"/>
          <w:b/>
          <w:bCs/>
          <w:sz w:val="24"/>
          <w:szCs w:val="24"/>
        </w:rPr>
        <w:t>2.2 Graphs</w:t>
      </w:r>
    </w:p>
    <w:p w14:paraId="36F4C0F7">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graph shown above shows the fluctuation of glycogen for normal people and for Alicia. According to the six-hour observational period, ideal blood glucose should remain under 7; however, Alicia’s readings are pathologically higher. To start with, the glucose levels increase in Alicia, at its highest level during the 60-minute activity and thereafter it decreases. This pattern may suggest damage in the metabolism of glucose, possibly an early sign of insulin resistance/diabetes.</w:t>
      </w:r>
      <w:r>
        <w:commentReference w:id="4"/>
      </w:r>
    </w:p>
    <w:p w14:paraId="669B98C6">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On the other hand, persons with abnormal glucose metabolism show relatively small but frequent disturbances in glucose concentrations during the day and at night. Alicia’s glucose levels however rise for a long time and this circumstance may indicate that there is poor glucose</w:t>
      </w:r>
      <w:r>
        <w:rPr>
          <w:rFonts w:ascii="Times New Roman" w:hAnsi="Times New Roman" w:cs="Times New Roman"/>
          <w:sz w:val="24"/>
          <w:szCs w:val="24"/>
          <w:lang w:eastAsia="zh-CN"/>
        </w:rPr>
        <w:t xml:space="preserve"> </w:t>
      </w:r>
      <w:r>
        <w:rPr>
          <w:rFonts w:ascii="Times New Roman" w:hAnsi="Times New Roman" w:cs="Times New Roman"/>
          <w:sz w:val="24"/>
          <w:szCs w:val="24"/>
        </w:rPr>
        <w:t xml:space="preserve">uptake and transport seen in glucose intolerance and diabetes. This creates a necessity for periodic monitoring for the possibility of other metabolic disorders despite maintaining normal first thing in the morning glucose levels and high post-meal glucose level. </w:t>
      </w:r>
      <w:r>
        <w:commentReference w:id="5"/>
      </w:r>
    </w:p>
    <w:p w14:paraId="7A40C3FC">
      <w:pPr>
        <w:spacing w:line="480" w:lineRule="auto"/>
        <w:ind w:firstLine="720"/>
        <w:rPr>
          <w:rFonts w:ascii="Times New Roman" w:hAnsi="Times New Roman" w:cs="Times New Roman"/>
          <w:sz w:val="24"/>
          <w:szCs w:val="24"/>
          <w:lang w:eastAsia="zh-CN"/>
        </w:rPr>
      </w:pPr>
      <w:r>
        <w:rPr>
          <w:rFonts w:ascii="Times New Roman" w:hAnsi="Times New Roman" w:cs="Times New Roman"/>
          <w:sz w:val="24"/>
          <w:szCs w:val="24"/>
        </w:rPr>
        <w:t>Monitoring tools like GLS and SMBG should be used when treating these conditions and it remains mandatory that people with these conditions get in touch with metabolic physicians to</w:t>
      </w:r>
      <w:r>
        <w:rPr>
          <w:rFonts w:ascii="Times New Roman" w:hAnsi="Times New Roman" w:cs="Times New Roman"/>
          <w:sz w:val="24"/>
          <w:szCs w:val="24"/>
          <w:lang w:eastAsia="zh-CN"/>
        </w:rPr>
        <w:t xml:space="preserve"> </w:t>
      </w:r>
      <w:r>
        <w:rPr>
          <w:rFonts w:ascii="Times New Roman" w:hAnsi="Times New Roman" w:cs="Times New Roman"/>
          <w:sz w:val="24"/>
          <w:szCs w:val="24"/>
        </w:rPr>
        <w:t>avoid a transfer to</w:t>
      </w:r>
      <w:r>
        <w:rPr>
          <w:rFonts w:ascii="Times New Roman" w:hAnsi="Times New Roman" w:cs="Times New Roman"/>
          <w:sz w:val="24"/>
          <w:szCs w:val="24"/>
          <w:lang w:eastAsia="zh-CN"/>
        </w:rPr>
        <w:t xml:space="preserve"> </w:t>
      </w:r>
      <w:r>
        <w:rPr>
          <w:rFonts w:ascii="Times New Roman" w:hAnsi="Times New Roman" w:cs="Times New Roman"/>
          <w:sz w:val="24"/>
          <w:szCs w:val="24"/>
        </w:rPr>
        <w:t>diabetes in case the two conditions are not well managed.</w:t>
      </w:r>
    </w:p>
    <w:p w14:paraId="21AB9582">
      <w:pPr>
        <w:spacing w:line="480" w:lineRule="auto"/>
        <w:ind w:firstLine="720"/>
        <w:rPr>
          <w:rFonts w:ascii="Times New Roman" w:hAnsi="Times New Roman" w:cs="Times New Roman"/>
          <w:sz w:val="24"/>
          <w:szCs w:val="24"/>
          <w:lang w:eastAsia="zh-CN"/>
        </w:rPr>
      </w:pPr>
      <w:r>
        <w:rPr>
          <w14:ligatures w14:val="none"/>
        </w:rPr>
        <w:drawing>
          <wp:inline distT="0" distB="0" distL="0" distR="0">
            <wp:extent cx="4277995" cy="2637790"/>
            <wp:effectExtent l="4445" t="4445" r="15240" b="9525"/>
            <wp:docPr id="13414216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E93528D">
      <w:pPr>
        <w:spacing w:line="240" w:lineRule="auto"/>
        <w:jc w:val="center"/>
        <w:rPr>
          <w:rFonts w:ascii="Times New Roman" w:hAnsi="Times New Roman" w:cs="Times New Roman"/>
          <w:i/>
          <w:iCs/>
          <w:sz w:val="24"/>
          <w:szCs w:val="24"/>
        </w:rPr>
      </w:pPr>
      <w:r>
        <w:rPr>
          <w:rFonts w:ascii="Times New Roman" w:hAnsi="Times New Roman" w:cs="Times New Roman"/>
          <w:i/>
          <w:iCs/>
          <w:sz w:val="24"/>
          <w:szCs w:val="24"/>
        </w:rPr>
        <w:t>Graph 1: Glucose Concentration Over Time (Healthy Person vs. Alicia)</w:t>
      </w:r>
    </w:p>
    <w:p w14:paraId="04D2B927">
      <w:pPr>
        <w:spacing w:line="48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2315BD0D">
      <w:pPr>
        <w:spacing w:line="480" w:lineRule="auto"/>
        <w:ind w:firstLine="720"/>
        <w:rPr>
          <w:rFonts w:ascii="Times New Roman" w:hAnsi="Times New Roman" w:cs="Times New Roman"/>
          <w:sz w:val="24"/>
          <w:szCs w:val="24"/>
        </w:rPr>
      </w:pPr>
      <w:r>
        <w:rPr>
          <w:rFonts w:ascii="Times New Roman" w:hAnsi="Times New Roman" w:cs="Times New Roman"/>
          <w:sz w:val="24"/>
          <w:szCs w:val="24"/>
        </w:rPr>
        <w:t>Observing the changes in the frequency of eating and choice of foods in relation with the glucose tolerance test results reveals important information about Alicia’s eating behavior and the current status of her metabolism. This analysis relies on her basal metabolic rate and blood glucose levels to assess her meals. A comprehensive evaluation of the glucose test and the food diary will help determine the various macronutrient components of the client’s diet and modify them to improve her metabolism. The detailed analysis presents professional advice that as adapted for her individual needs will improve her metabolic profile.</w:t>
      </w:r>
    </w:p>
    <w:p w14:paraId="140251D3">
      <w:pPr>
        <w:spacing w:line="480" w:lineRule="auto"/>
        <w:rPr>
          <w:rFonts w:ascii="Times New Roman" w:hAnsi="Times New Roman" w:cs="Times New Roman"/>
          <w:sz w:val="24"/>
          <w:szCs w:val="24"/>
        </w:rPr>
      </w:pPr>
      <w:r>
        <w:rPr>
          <w:rFonts w:ascii="Times New Roman" w:hAnsi="Times New Roman" w:cs="Times New Roman"/>
          <w:b/>
          <w:bCs/>
          <w:sz w:val="24"/>
          <w:szCs w:val="24"/>
        </w:rPr>
        <w:t>Dietary Analysis</w:t>
      </w:r>
    </w:p>
    <w:p w14:paraId="3809C4AC">
      <w:pPr>
        <w:spacing w:line="480" w:lineRule="auto"/>
        <w:ind w:firstLine="720"/>
        <w:rPr>
          <w:rFonts w:ascii="Times New Roman" w:hAnsi="Times New Roman" w:cs="Times New Roman"/>
          <w:sz w:val="24"/>
          <w:szCs w:val="24"/>
        </w:rPr>
      </w:pPr>
      <w:r>
        <w:rPr>
          <w:rFonts w:ascii="Times New Roman" w:hAnsi="Times New Roman" w:cs="Times New Roman"/>
          <w:sz w:val="24"/>
          <w:szCs w:val="24"/>
        </w:rPr>
        <w:t>A brief analysis of Alicia’s macronutrient counts over a period of three meals sampled, compared to a checklist of ADA guidelines, indicates that the consumption of macronutrients in Alicia’s diet is within the acceptable limit. Thus, Alicia’s regular intake per day is 203 calories of carbohydrate, 60 milligrams of calcium, 560 milligrams of iron, 7 grams of protein, and 62 grams of fat. Consequently, her fat intake to be around 2 grams a day is within the dietary guidelines on macronutrient distribution of 45-65% carbohydrates, 10-35% protein, and 20-35% fats. However, without any doubt, Alicia’s overall daily caloric intake is still, relatively, high and is approximately 1,615 kcal, which does not stray far from the total energy expenditure upper limit (TEE) for the sedentary AM, who typically whose daily calorie requirement ranges between 1,600- 2,400 kcal. This additional amount of calories, especially from simple sugars and saturated fats, can actually worsen her health condition. Eating starchy and calorie rich products in regular basis which contains processed foods and unhealthy fat leads to high body weight and is most often associated with metabolic diseases. Energy and nutrient rather than calorie partitioning is vital in collaborating healthy weight, and reducing risks associated to chronic diseases.</w:t>
      </w:r>
    </w:p>
    <w:p w14:paraId="69CADD16">
      <w:pPr>
        <w:spacing w:line="480" w:lineRule="auto"/>
        <w:rPr>
          <w:rFonts w:ascii="Times New Roman" w:hAnsi="Times New Roman" w:cs="Times New Roman"/>
          <w:b/>
          <w:bCs/>
          <w:sz w:val="24"/>
          <w:szCs w:val="24"/>
        </w:rPr>
      </w:pPr>
      <w:r>
        <w:rPr>
          <w:rFonts w:ascii="Times New Roman" w:hAnsi="Times New Roman" w:cs="Times New Roman"/>
          <w:b/>
          <w:bCs/>
          <w:sz w:val="24"/>
          <w:szCs w:val="24"/>
        </w:rPr>
        <w:t>Glucose Tolerance Test Results</w:t>
      </w:r>
    </w:p>
    <w:p w14:paraId="269096B2">
      <w:pPr>
        <w:spacing w:line="480" w:lineRule="auto"/>
        <w:ind w:firstLine="720"/>
        <w:rPr>
          <w:rFonts w:ascii="Times New Roman" w:hAnsi="Times New Roman" w:cs="Times New Roman"/>
          <w:sz w:val="24"/>
          <w:szCs w:val="24"/>
        </w:rPr>
      </w:pPr>
      <w:r>
        <w:rPr>
          <w:rFonts w:ascii="Times New Roman" w:hAnsi="Times New Roman" w:cs="Times New Roman"/>
          <w:sz w:val="24"/>
          <w:szCs w:val="24"/>
        </w:rPr>
        <w:t>From the results of the glucose tolerance test in Alicia, there has been a rather disturbing trend on her glucose parameters. Her initial glucose level that was assessed was a mere 56mg/dL (or 47mmol/L); a figure that is below normal. But it rose further to 102 mg/dL (60 mmol/L) as the test continued until she completed the test. The glucose values recordings gave the highest value of 15 mmol/L at the 60 th minute and slightly declined to 12 mmol/L after 180 minutes. The consistently high value of glucose right through the test may come with several indications of problems with glucose metabolism. An otherwise normal glycemic changes after eating would show comparatively elevated levels immediately after eating, followed by a drop to normal, low or below; Alicia’s Glucose results point at insulin resistance or prediabetic type of glucose metabolism problems.</w:t>
      </w:r>
    </w:p>
    <w:p w14:paraId="13F1EE41">
      <w:pPr>
        <w:spacing w:line="480" w:lineRule="auto"/>
        <w:ind w:firstLine="720"/>
        <w:rPr>
          <w:rFonts w:ascii="Times New Roman" w:hAnsi="Times New Roman" w:cs="Times New Roman"/>
          <w:sz w:val="24"/>
          <w:szCs w:val="24"/>
        </w:rPr>
      </w:pPr>
    </w:p>
    <w:p w14:paraId="434DE0F2">
      <w:pPr>
        <w:spacing w:line="480" w:lineRule="auto"/>
        <w:rPr>
          <w:rFonts w:ascii="Times New Roman" w:hAnsi="Times New Roman" w:cs="Times New Roman"/>
          <w:sz w:val="24"/>
          <w:szCs w:val="24"/>
        </w:rPr>
      </w:pPr>
      <w:r>
        <w:rPr>
          <w:rFonts w:ascii="Times New Roman" w:hAnsi="Times New Roman" w:cs="Times New Roman"/>
          <w:b/>
          <w:bCs/>
          <w:sz w:val="24"/>
          <w:szCs w:val="24"/>
        </w:rPr>
        <w:t>Recommendations</w:t>
      </w:r>
    </w:p>
    <w:p w14:paraId="1DBB79A2">
      <w:pPr>
        <w:spacing w:line="480" w:lineRule="auto"/>
        <w:ind w:firstLine="720"/>
        <w:rPr>
          <w:rFonts w:ascii="Times New Roman" w:hAnsi="Times New Roman" w:cs="Times New Roman"/>
          <w:sz w:val="24"/>
          <w:szCs w:val="24"/>
        </w:rPr>
      </w:pPr>
      <w:r>
        <w:rPr>
          <w:rFonts w:ascii="Times New Roman" w:hAnsi="Times New Roman" w:cs="Times New Roman"/>
          <w:sz w:val="24"/>
          <w:szCs w:val="24"/>
        </w:rPr>
        <w:t>It was recommended that in order to address the high blood sugar levels of Alicia, she should expand her search for the possible reasons. A considerably more detailed assessment should include new parameters like FBS and HbA1c as these will indicate short-term and, respectively, long-term glycemic control and possible metabolic derangement. Furthermore, embracing of some aspects of life style changes could boost the improvement in glycemic control greatly. This means the proportional reduction of the portion of high calorie or sugary foods while at the same time increasing the intake of the right portions of good grains, proteins, and good fats. Fitness activities could be done frequently because they affect insulin and glucose. They should consult a registered dietitian or their healthcare provider for advice on individualized meal and physical activities plan. It is also preferred to monitor these aspects repeatedly to detect other health related dangers that might arise from the future complications of macronutrient deficiency.</w:t>
      </w:r>
      <w:r>
        <w:rPr>
          <w:rFonts w:ascii="Times New Roman" w:hAnsi="Times New Roman" w:cs="Times New Roman"/>
          <w:sz w:val="24"/>
          <w:szCs w:val="24"/>
        </w:rPr>
        <w:br w:type="page"/>
      </w:r>
      <w:r>
        <w:commentReference w:id="6"/>
      </w:r>
    </w:p>
    <w:p w14:paraId="3C360DE6">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References</w:t>
      </w:r>
    </w:p>
    <w:p w14:paraId="00C0066D">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Academy of Nutrition and Dietetics. (2021). Evidence Analysis Library: Macronutrient Recommendations. Retrieved from </w:t>
      </w:r>
      <w:r>
        <w:fldChar w:fldCharType="begin"/>
      </w:r>
      <w:r>
        <w:instrText xml:space="preserve"> HYPERLINK "https://www.andeal.org" \t "_new" </w:instrText>
      </w:r>
      <w:r>
        <w:fldChar w:fldCharType="separate"/>
      </w:r>
      <w:r>
        <w:rPr>
          <w:rStyle w:val="7"/>
          <w:rFonts w:ascii="Times New Roman" w:hAnsi="Times New Roman" w:cs="Times New Roman"/>
          <w:sz w:val="24"/>
          <w:szCs w:val="24"/>
        </w:rPr>
        <w:t>https://www.andeal.org</w:t>
      </w:r>
      <w:r>
        <w:rPr>
          <w:rStyle w:val="7"/>
          <w:rFonts w:ascii="Times New Roman" w:hAnsi="Times New Roman" w:cs="Times New Roman"/>
          <w:sz w:val="24"/>
          <w:szCs w:val="24"/>
        </w:rPr>
        <w:fldChar w:fldCharType="end"/>
      </w:r>
    </w:p>
    <w:p w14:paraId="61C33D37">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Colberg, S.R., Sigal, R.J., Yardley, J.E., et al. (2016). Physical Activity/Exercise and Diabetes: A Position Statement of the American Diabetes Association. Diabetes Care, 39(11), 2065-2079. doi:10.2337/dc16-1728  </w:t>
      </w:r>
    </w:p>
    <w:p w14:paraId="1A105AF9">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Thyfault, J.P., &amp; Booth, F.W. (2011). Lack of Exercise Is a Major Cause of Chronic Diseases. Comprehensive Physiology, 2(2), 1143-1211. doi:10.1002/cphy.c110002 </w:t>
      </w:r>
    </w:p>
    <w:p w14:paraId="007EC84B">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Micha, R., Peñalvo, J.L., Cudhea, F., &amp; Mozaffarian, D. (2017). Association Between Dietary Factors and Mortality from Heart Disease, Stroke, and Type 2 Diabetes in the United States. JAMA, 317(9), 912-924. doi:10.1001/jama.2017.0947  </w:t>
      </w:r>
    </w:p>
    <w:p w14:paraId="1AD6A3D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National Institutes of Health (NIH). (2020). Dietary Guidelines for Americans 2020-2025. Retrieved from </w:t>
      </w:r>
      <w:r>
        <w:fldChar w:fldCharType="begin"/>
      </w:r>
      <w:r>
        <w:instrText xml:space="preserve"> HYPERLINK "https://www.dietaryguidelines.gov" \t "_new" </w:instrText>
      </w:r>
      <w:r>
        <w:fldChar w:fldCharType="separate"/>
      </w:r>
      <w:r>
        <w:rPr>
          <w:rStyle w:val="7"/>
          <w:rFonts w:ascii="Times New Roman" w:hAnsi="Times New Roman" w:cs="Times New Roman"/>
          <w:sz w:val="24"/>
          <w:szCs w:val="24"/>
        </w:rPr>
        <w:t>https://www.dietaryguidelines.gov</w:t>
      </w:r>
      <w:r>
        <w:rPr>
          <w:rStyle w:val="7"/>
          <w:rFonts w:ascii="Times New Roman" w:hAnsi="Times New Roman" w:cs="Times New Roman"/>
          <w:sz w:val="24"/>
          <w:szCs w:val="24"/>
        </w:rPr>
        <w:fldChar w:fldCharType="end"/>
      </w:r>
    </w:p>
    <w:p w14:paraId="37572FBE">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American Diabetes Association. (2023). Standards of Medical Care in Diabetes—2023. Diabetes Care, 46(Supplement 1), S1-S298. doi:10.2337/dc23-S001</w:t>
      </w:r>
    </w:p>
    <w:p w14:paraId="26CF4E73">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World Health Organization (WHO). (2021). Global Report on Diabetes. Retrieved from </w:t>
      </w:r>
      <w:r>
        <w:fldChar w:fldCharType="begin"/>
      </w:r>
      <w:r>
        <w:instrText xml:space="preserve"> HYPERLINK "https://www.who.int/publications/i/item/9789240062850" \t "_new" </w:instrText>
      </w:r>
      <w:r>
        <w:fldChar w:fldCharType="separate"/>
      </w:r>
      <w:r>
        <w:rPr>
          <w:rStyle w:val="7"/>
          <w:rFonts w:ascii="Times New Roman" w:hAnsi="Times New Roman" w:cs="Times New Roman"/>
          <w:sz w:val="24"/>
          <w:szCs w:val="24"/>
        </w:rPr>
        <w:t>https://www.who.int/publications/i/item/9789240062850</w:t>
      </w:r>
      <w:r>
        <w:rPr>
          <w:rStyle w:val="7"/>
          <w:rFonts w:ascii="Times New Roman" w:hAnsi="Times New Roman" w:cs="Times New Roman"/>
          <w:sz w:val="24"/>
          <w:szCs w:val="24"/>
        </w:rPr>
        <w:fldChar w:fldCharType="end"/>
      </w:r>
    </w:p>
    <w:p w14:paraId="7A015968">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Harvard T.H. Chan School of Public Health. (2022). The Nutrition Source: Carbohydrates. Retrieved from </w:t>
      </w:r>
      <w:r>
        <w:fldChar w:fldCharType="begin"/>
      </w:r>
      <w:r>
        <w:instrText xml:space="preserve"> HYPERLINK "https://www.hsph.harvard.edu/nutritionsource/carbohydrates/" \t "_new" </w:instrText>
      </w:r>
      <w:r>
        <w:fldChar w:fldCharType="separate"/>
      </w:r>
      <w:r>
        <w:rPr>
          <w:rStyle w:val="7"/>
          <w:rFonts w:ascii="Times New Roman" w:hAnsi="Times New Roman" w:cs="Times New Roman"/>
          <w:sz w:val="24"/>
          <w:szCs w:val="24"/>
        </w:rPr>
        <w:t>https://www.hsph.harvard.edu/nutritionsource/carbohydrates/</w:t>
      </w:r>
      <w:r>
        <w:rPr>
          <w:rStyle w:val="7"/>
          <w:rFonts w:ascii="Times New Roman" w:hAnsi="Times New Roman" w:cs="Times New Roman"/>
          <w:sz w:val="24"/>
          <w:szCs w:val="24"/>
        </w:rPr>
        <w:fldChar w:fldCharType="end"/>
      </w:r>
    </w:p>
    <w:p w14:paraId="20CFDD80">
      <w:pPr>
        <w:spacing w:line="480" w:lineRule="auto"/>
        <w:ind w:left="720" w:hanging="720"/>
        <w:jc w:val="both"/>
        <w:rPr>
          <w:rFonts w:ascii="Times New Roman" w:hAnsi="Times New Roman" w:cs="Times New Roman"/>
          <w:sz w:val="24"/>
          <w:szCs w:val="24"/>
        </w:rPr>
      </w:pPr>
    </w:p>
    <w:p w14:paraId="30096036"/>
    <w:p w14:paraId="18D2B041"/>
    <w:p w14:paraId="022BE0E1"/>
    <w:sectPr>
      <w:headerReference r:id="rId7" w:type="default"/>
      <w:footerReference r:id="rId8" w:type="default"/>
      <w:pgSz w:w="11906" w:h="16838"/>
      <w:pgMar w:top="1440" w:right="1440" w:bottom="1440" w:left="144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Chuanhui Zheng" w:date="2024-08-02T02:09:36Z" w:initials="C">
    <w:p w14:paraId="6F13687A">
      <w:r>
        <w:rPr>
          <w:rFonts w:hint="eastAsia"/>
          <w:sz w:val="24"/>
          <w:szCs w:val="24"/>
          <w:lang w:val="en-US" w:eastAsia="zh-CN"/>
        </w:rPr>
        <w:t>respective dietician client need</w:t>
      </w:r>
    </w:p>
  </w:comment>
  <w:comment w:id="1" w:author="Chuanhui Zheng" w:date="2024-08-02T02:11:41Z" w:initials="C">
    <w:p w14:paraId="10CEE1A9">
      <w:r>
        <w:rPr>
          <w:rFonts w:hint="eastAsia"/>
          <w:lang w:val="en-US" w:eastAsia="zh-CN"/>
        </w:rPr>
        <w:t>Important put in back!! type of macronutrient and their caloric values</w:t>
      </w:r>
    </w:p>
  </w:comment>
  <w:comment w:id="2" w:author="Chuanhui Zheng" w:date="2024-08-02T02:12:01Z" w:initials="C">
    <w:p w14:paraId="61122A1D">
      <w:pPr>
        <w:rPr>
          <w:rFonts w:hint="eastAsia"/>
          <w:i/>
          <w:iCs/>
          <w:sz w:val="28"/>
          <w:szCs w:val="28"/>
          <w:lang w:val="en-US" w:eastAsia="zh-CN"/>
        </w:rPr>
      </w:pPr>
      <w:r>
        <w:rPr>
          <w:rFonts w:hint="eastAsia"/>
          <w:i/>
          <w:iCs/>
          <w:sz w:val="28"/>
          <w:szCs w:val="28"/>
          <w:lang w:val="en-US" w:eastAsia="zh-CN"/>
        </w:rPr>
        <w:t xml:space="preserve">REF :    Evidence Analysis Library: Macronutrient Recommendations.  </w:t>
      </w:r>
      <w:r>
        <w:rPr>
          <w:rFonts w:hint="eastAsia"/>
          <w:i/>
          <w:iCs/>
          <w:sz w:val="28"/>
          <w:szCs w:val="28"/>
          <w:lang w:val="en-US" w:eastAsia="zh-CN"/>
        </w:rPr>
        <w:fldChar w:fldCharType="begin"/>
      </w:r>
      <w:r>
        <w:rPr>
          <w:rFonts w:hint="eastAsia"/>
          <w:i/>
          <w:iCs/>
          <w:sz w:val="28"/>
          <w:szCs w:val="28"/>
          <w:lang w:val="en-US" w:eastAsia="zh-CN"/>
        </w:rPr>
        <w:instrText xml:space="preserve"> HYPERLINK "https://www.andeal.org" \t "_new" </w:instrText>
      </w:r>
      <w:r>
        <w:rPr>
          <w:rFonts w:hint="eastAsia"/>
          <w:i/>
          <w:iCs/>
          <w:sz w:val="28"/>
          <w:szCs w:val="28"/>
          <w:lang w:val="en-US" w:eastAsia="zh-CN"/>
        </w:rPr>
        <w:fldChar w:fldCharType="separate"/>
      </w:r>
      <w:r>
        <w:rPr>
          <w:rFonts w:hint="eastAsia"/>
          <w:i/>
          <w:iCs/>
          <w:sz w:val="28"/>
          <w:szCs w:val="28"/>
          <w:lang w:val="en-US" w:eastAsia="zh-CN"/>
        </w:rPr>
        <w:t>https://www.andeal.org</w:t>
      </w:r>
      <w:r>
        <w:rPr>
          <w:rFonts w:hint="eastAsia"/>
          <w:i/>
          <w:iCs/>
          <w:sz w:val="28"/>
          <w:szCs w:val="28"/>
          <w:lang w:val="en-US" w:eastAsia="zh-CN"/>
        </w:rPr>
        <w:fldChar w:fldCharType="end"/>
      </w:r>
    </w:p>
    <w:p w14:paraId="61F4B5E3">
      <w:pPr>
        <w:pStyle w:val="4"/>
      </w:pPr>
    </w:p>
  </w:comment>
  <w:comment w:id="3" w:author="Chuanhui Zheng" w:date="2024-08-02T02:06:46Z" w:initials="C">
    <w:p w14:paraId="48F0C2A5">
      <w:pPr>
        <w:rPr>
          <w:rFonts w:hint="eastAsia" w:ascii="Times New Roman" w:hAnsi="Times New Roman" w:cs="Times New Roman"/>
          <w:sz w:val="24"/>
          <w:szCs w:val="24"/>
          <w:highlight w:val="yellow"/>
          <w:lang w:val="en-US" w:eastAsia="zh-CN"/>
        </w:rPr>
      </w:pPr>
      <w:r>
        <w:rPr>
          <w:rFonts w:hint="eastAsia" w:ascii="Times New Roman" w:hAnsi="Times New Roman" w:cs="Times New Roman"/>
          <w:sz w:val="24"/>
          <w:szCs w:val="24"/>
          <w:highlight w:val="yellow"/>
          <w:lang w:val="en-US" w:eastAsia="zh-CN"/>
        </w:rPr>
        <w:t>Kal(car) = car*4</w:t>
      </w:r>
    </w:p>
    <w:p w14:paraId="5A205D25">
      <w:pPr>
        <w:rPr>
          <w:rFonts w:hint="eastAsia" w:ascii="Times New Roman" w:hAnsi="Times New Roman" w:cs="Times New Roman"/>
          <w:sz w:val="24"/>
          <w:szCs w:val="24"/>
          <w:highlight w:val="yellow"/>
          <w:lang w:val="en-US" w:eastAsia="zh-CN"/>
        </w:rPr>
      </w:pPr>
      <w:r>
        <w:rPr>
          <w:rFonts w:hint="eastAsia" w:ascii="Times New Roman" w:hAnsi="Times New Roman" w:cs="Times New Roman"/>
          <w:sz w:val="24"/>
          <w:szCs w:val="24"/>
          <w:highlight w:val="yellow"/>
          <w:lang w:val="en-US" w:eastAsia="zh-CN"/>
        </w:rPr>
        <w:t>Kal(pro) = pro*4</w:t>
      </w:r>
    </w:p>
    <w:p w14:paraId="2930991C">
      <w:pPr>
        <w:rPr>
          <w:rFonts w:hint="eastAsia" w:ascii="Times New Roman" w:hAnsi="Times New Roman" w:cs="Times New Roman"/>
          <w:sz w:val="24"/>
          <w:szCs w:val="24"/>
          <w:highlight w:val="yellow"/>
          <w:lang w:val="en-US" w:eastAsia="zh-CN"/>
        </w:rPr>
      </w:pPr>
      <w:r>
        <w:rPr>
          <w:rFonts w:hint="eastAsia" w:ascii="Times New Roman" w:hAnsi="Times New Roman" w:cs="Times New Roman"/>
          <w:sz w:val="24"/>
          <w:szCs w:val="24"/>
          <w:highlight w:val="yellow"/>
          <w:lang w:val="en-US" w:eastAsia="zh-CN"/>
        </w:rPr>
        <w:t>Kal(fat) = fat*9</w:t>
      </w:r>
    </w:p>
    <w:p w14:paraId="1DEFE803">
      <w:pPr>
        <w:pStyle w:val="4"/>
      </w:pPr>
    </w:p>
  </w:comment>
  <w:comment w:id="4" w:author="Chuanhui Zheng" w:date="2024-08-02T02:12:29Z" w:initials="C">
    <w:p w14:paraId="3AE53F15">
      <w:pPr>
        <w:rPr>
          <w:rFonts w:hint="eastAsia"/>
          <w:sz w:val="24"/>
          <w:szCs w:val="24"/>
          <w:lang w:val="en-US" w:eastAsia="zh-CN"/>
        </w:rPr>
      </w:pPr>
      <w:r>
        <w:rPr>
          <w:rFonts w:hint="eastAsia"/>
          <w:sz w:val="24"/>
          <w:szCs w:val="24"/>
          <w:lang w:val="en-US" w:eastAsia="zh-CN"/>
        </w:rPr>
        <w:t xml:space="preserve">60min glucose </w:t>
      </w:r>
      <w:r>
        <w:rPr>
          <w:rFonts w:hint="eastAsia"/>
          <w:sz w:val="24"/>
          <w:szCs w:val="24"/>
          <w:highlight w:val="yellow"/>
          <w:lang w:val="en-US" w:eastAsia="zh-CN"/>
        </w:rPr>
        <w:t>high</w:t>
      </w:r>
      <w:r>
        <w:rPr>
          <w:rFonts w:hint="eastAsia"/>
          <w:sz w:val="24"/>
          <w:szCs w:val="24"/>
          <w:lang w:val="en-US" w:eastAsia="zh-CN"/>
        </w:rPr>
        <w:t>!!</w:t>
      </w:r>
    </w:p>
    <w:p w14:paraId="0DFB82D8">
      <w:r>
        <w:rPr>
          <w:rFonts w:hint="eastAsia"/>
          <w:sz w:val="24"/>
          <w:szCs w:val="24"/>
          <w:lang w:val="en-US" w:eastAsia="zh-CN"/>
        </w:rPr>
        <w:t>-&gt; 葡萄糖代谢受损， 胰岛素抵抗/</w:t>
      </w:r>
      <w:r>
        <w:rPr>
          <w:rFonts w:hint="eastAsia"/>
          <w:sz w:val="24"/>
          <w:szCs w:val="24"/>
          <w:highlight w:val="yellow"/>
          <w:lang w:val="en-US" w:eastAsia="zh-CN"/>
        </w:rPr>
        <w:t>diabetes</w:t>
      </w:r>
    </w:p>
  </w:comment>
  <w:comment w:id="5" w:author="Chuanhui Zheng" w:date="2024-08-02T02:12:41Z" w:initials="C">
    <w:p w14:paraId="4ADC4818">
      <w:pPr>
        <w:rPr>
          <w:rFonts w:hint="default"/>
          <w:sz w:val="24"/>
          <w:szCs w:val="24"/>
          <w:highlight w:val="yellow"/>
          <w:lang w:val="en-US" w:eastAsia="zh-CN"/>
        </w:rPr>
      </w:pPr>
      <w:r>
        <w:rPr>
          <w:rFonts w:hint="eastAsia"/>
          <w:sz w:val="24"/>
          <w:szCs w:val="24"/>
          <w:highlight w:val="yellow"/>
          <w:lang w:val="en-US" w:eastAsia="zh-CN"/>
        </w:rPr>
        <w:t>Glucose go up constantly!!</w:t>
      </w:r>
    </w:p>
    <w:p w14:paraId="7D0DB9E9">
      <w:pPr>
        <w:rPr>
          <w:rFonts w:hint="eastAsia"/>
          <w:sz w:val="24"/>
          <w:szCs w:val="24"/>
          <w:highlight w:val="none"/>
          <w:lang w:val="en-US" w:eastAsia="zh-CN"/>
        </w:rPr>
      </w:pPr>
      <w:r>
        <w:rPr>
          <w:rFonts w:hint="eastAsia"/>
          <w:sz w:val="24"/>
          <w:szCs w:val="24"/>
          <w:highlight w:val="none"/>
          <w:lang w:val="en-US" w:eastAsia="zh-CN"/>
        </w:rPr>
        <w:t>-&gt; abnormal people: 血糖浓度波动相对较小，</w:t>
      </w:r>
    </w:p>
    <w:p w14:paraId="253CE074">
      <w:pPr>
        <w:rPr>
          <w:rFonts w:hint="eastAsia"/>
          <w:sz w:val="24"/>
          <w:szCs w:val="24"/>
          <w:highlight w:val="none"/>
          <w:lang w:val="en-US" w:eastAsia="zh-CN"/>
        </w:rPr>
      </w:pPr>
      <w:r>
        <w:rPr>
          <w:rFonts w:hint="eastAsia"/>
          <w:sz w:val="24"/>
          <w:szCs w:val="24"/>
          <w:highlight w:val="none"/>
          <w:lang w:val="en-US" w:eastAsia="zh-CN"/>
        </w:rPr>
        <w:tab/>
      </w:r>
      <w:r>
        <w:rPr>
          <w:rFonts w:hint="eastAsia"/>
          <w:sz w:val="24"/>
          <w:szCs w:val="24"/>
          <w:highlight w:val="none"/>
          <w:lang w:val="en-US" w:eastAsia="zh-CN"/>
        </w:rPr>
        <w:tab/>
      </w:r>
      <w:r>
        <w:rPr>
          <w:rFonts w:hint="eastAsia"/>
          <w:sz w:val="24"/>
          <w:szCs w:val="24"/>
          <w:highlight w:val="none"/>
          <w:lang w:val="en-US" w:eastAsia="zh-CN"/>
        </w:rPr>
        <w:t>Alicia一直往上涨</w:t>
      </w:r>
    </w:p>
    <w:p w14:paraId="140CFB9C">
      <w:r>
        <w:rPr>
          <w:rFonts w:hint="eastAsia"/>
          <w:sz w:val="24"/>
          <w:szCs w:val="24"/>
          <w:highlight w:val="none"/>
          <w:lang w:val="en-US" w:eastAsia="zh-CN"/>
        </w:rPr>
        <w:t>-&gt; metabolism damage/diabetes</w:t>
      </w:r>
    </w:p>
  </w:comment>
  <w:comment w:id="6" w:author="Chuanhui Zheng" w:date="2024-08-02T02:13:14Z" w:initials="C">
    <w:p w14:paraId="39CEA469">
      <w:r>
        <w:rPr>
          <w:rFonts w:hint="eastAsia"/>
          <w:sz w:val="24"/>
          <w:szCs w:val="24"/>
          <w:highlight w:val="none"/>
          <w:lang w:val="en-US" w:eastAsia="zh-CN"/>
        </w:rPr>
        <w:t>Suggestion : GLS = SMBG</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13687A" w15:done="0"/>
  <w15:commentEx w15:paraId="10CEE1A9" w15:done="0"/>
  <w15:commentEx w15:paraId="61F4B5E3" w15:done="0"/>
  <w15:commentEx w15:paraId="1DEFE803" w15:done="0"/>
  <w15:commentEx w15:paraId="0DFB82D8" w15:done="0"/>
  <w15:commentEx w15:paraId="140CFB9C" w15:done="0"/>
  <w15:commentEx w15:paraId="39CEA46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90C5D">
    <w:pPr>
      <w:pStyle w:val="5"/>
      <w:rPr>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4B785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F4B785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B5584">
    <w:pPr>
      <w:pStyle w:val="6"/>
      <w:rPr>
        <w:rFonts w:hint="eastAsia"/>
        <w:lang w:val="en-US" w:eastAsia="zh-CN"/>
      </w:rPr>
    </w:pPr>
    <w:r>
      <w:rPr>
        <w:rFonts w:hint="eastAsia"/>
        <w:lang w:val="en-US" w:eastAsia="zh-CN"/>
      </w:rPr>
      <w:t>1</w:t>
    </w: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huanhui Zheng">
    <w15:presenceInfo w15:providerId="None" w15:userId="Chuanhui Zhe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9C7C9E"/>
    <w:rsid w:val="393051E4"/>
    <w:rsid w:val="3BFE7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eastAsia="宋体" w:asciiTheme="minorHAnsi" w:hAnsiTheme="minorHAnsi" w:cstheme="minorBidi"/>
      <w:kern w:val="2"/>
      <w:sz w:val="22"/>
      <w:szCs w:val="22"/>
      <w:lang w:val="en-US"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annotation text"/>
    <w:basedOn w:val="1"/>
    <w:uiPriority w:val="0"/>
    <w:pPr>
      <w:jc w:val="left"/>
    </w:p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qFormat/>
    <w:uiPriority w:val="0"/>
    <w:pPr>
      <w:tabs>
        <w:tab w:val="center" w:pos="4153"/>
        <w:tab w:val="right" w:pos="8306"/>
      </w:tabs>
      <w:snapToGrid w:val="0"/>
    </w:pPr>
    <w:rPr>
      <w:sz w:val="18"/>
      <w:szCs w:val="18"/>
    </w:rPr>
  </w:style>
  <w:style w:type="character" w:styleId="7">
    <w:name w:val="Hyperlink"/>
    <w:basedOn w:val="2"/>
    <w:semiHidden/>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chart" Target="charts/chart1.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ll\Downloads\3-Alicias_Glucose_Tolerance_Data_-_BFM_T2_2024_1.xlsx669e2e6e41b9c31427-17216822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cap="all" spc="120" normalizeH="0" baseline="0">
                <a:solidFill>
                  <a:schemeClr val="tx1">
                    <a:lumMod val="65000"/>
                    <a:lumOff val="35000"/>
                  </a:schemeClr>
                </a:solidFill>
                <a:latin typeface="+mn-lt"/>
                <a:ea typeface="+mn-ea"/>
                <a:cs typeface="+mn-cs"/>
              </a:defRPr>
            </a:pPr>
            <a:r>
              <a:rPr lang="en-US"/>
              <a:t>Glucose Levels of Individuals</a:t>
            </a:r>
            <a:endParaRPr lang="en-US"/>
          </a:p>
        </c:rich>
      </c:tx>
      <c:layout/>
      <c:overlay val="0"/>
      <c:spPr>
        <a:noFill/>
        <a:ln>
          <a:noFill/>
        </a:ln>
        <a:effectLst/>
      </c:spPr>
    </c:title>
    <c:autoTitleDeleted val="0"/>
    <c:plotArea>
      <c:layout/>
      <c:scatterChart>
        <c:scatterStyle val="smoothMarker"/>
        <c:varyColors val="0"/>
        <c:ser>
          <c:idx val="0"/>
          <c:order val="0"/>
          <c:tx>
            <c:strRef>
              <c:f>Sheet1!$D$39:$D$45</c:f>
              <c:strCache>
                <c:ptCount val="1"/>
                <c:pt idx="0">
                  <c:v>0 30 60 90 120 150 180</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elete val="1"/>
          </c:dLbls>
          <c:xVal>
            <c:numRef>
              <c:f>Sheet1!$D$39:$D$45</c:f>
              <c:numCache>
                <c:formatCode>General</c:formatCode>
                <c:ptCount val="7"/>
                <c:pt idx="0">
                  <c:v>0</c:v>
                </c:pt>
                <c:pt idx="1">
                  <c:v>30</c:v>
                </c:pt>
                <c:pt idx="2">
                  <c:v>60</c:v>
                </c:pt>
                <c:pt idx="3">
                  <c:v>90</c:v>
                </c:pt>
                <c:pt idx="4">
                  <c:v>120</c:v>
                </c:pt>
                <c:pt idx="5">
                  <c:v>150</c:v>
                </c:pt>
                <c:pt idx="6">
                  <c:v>180</c:v>
                </c:pt>
              </c:numCache>
            </c:numRef>
          </c:xVal>
          <c:yVal>
            <c:numRef>
              <c:f>Sheet1!$E$39:$E$45</c:f>
              <c:numCache>
                <c:formatCode>0.0</c:formatCode>
                <c:ptCount val="7"/>
                <c:pt idx="0">
                  <c:v>55765.8080582782</c:v>
                </c:pt>
                <c:pt idx="1">
                  <c:v>88984.620955023</c:v>
                </c:pt>
                <c:pt idx="2">
                  <c:v>99998.684752011</c:v>
                </c:pt>
                <c:pt idx="3">
                  <c:v>92723.5618881297</c:v>
                </c:pt>
                <c:pt idx="4">
                  <c:v>66795.6929780717</c:v>
                </c:pt>
                <c:pt idx="5">
                  <c:v>67041.5017116784</c:v>
                </c:pt>
                <c:pt idx="6">
                  <c:v>66334.9351966926</c:v>
                </c:pt>
              </c:numCache>
            </c:numRef>
          </c:yVal>
          <c:smooth val="1"/>
        </c:ser>
        <c:ser>
          <c:idx val="1"/>
          <c:order val="1"/>
          <c:tx>
            <c:strRef>
              <c:f>Alicia</c:f>
              <c:strCache>
                <c:ptCount val="1"/>
                <c:pt idx="0">
                  <c:v>Alicia</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dLbls>
            <c:delete val="1"/>
          </c:dLbls>
          <c:xVal>
            <c:numRef>
              <c:f>Sheet1!$D$39:$D$45</c:f>
              <c:numCache>
                <c:formatCode>General</c:formatCode>
                <c:ptCount val="7"/>
                <c:pt idx="0">
                  <c:v>0</c:v>
                </c:pt>
                <c:pt idx="1">
                  <c:v>30</c:v>
                </c:pt>
                <c:pt idx="2">
                  <c:v>60</c:v>
                </c:pt>
                <c:pt idx="3">
                  <c:v>90</c:v>
                </c:pt>
                <c:pt idx="4">
                  <c:v>120</c:v>
                </c:pt>
                <c:pt idx="5">
                  <c:v>150</c:v>
                </c:pt>
                <c:pt idx="6">
                  <c:v>180</c:v>
                </c:pt>
              </c:numCache>
            </c:numRef>
          </c:xVal>
          <c:yVal>
            <c:numRef>
              <c:f>Sheet1!$F$39:$F$45</c:f>
              <c:numCache>
                <c:formatCode>0.0</c:formatCode>
                <c:ptCount val="7"/>
                <c:pt idx="0">
                  <c:v>56466.0376186523</c:v>
                </c:pt>
                <c:pt idx="1">
                  <c:v>91510.5246019512</c:v>
                </c:pt>
                <c:pt idx="2">
                  <c:v>102154.42357029</c:v>
                </c:pt>
                <c:pt idx="3">
                  <c:v>94730.8288112273</c:v>
                </c:pt>
                <c:pt idx="4">
                  <c:v>68273.8197193314</c:v>
                </c:pt>
                <c:pt idx="5">
                  <c:v>68968.3951370184</c:v>
                </c:pt>
                <c:pt idx="6">
                  <c:v>67803.6587179241</c:v>
                </c:pt>
              </c:numCache>
            </c:numRef>
          </c:yVal>
          <c:smooth val="1"/>
        </c:ser>
        <c:dLbls>
          <c:showLegendKey val="0"/>
          <c:showVal val="0"/>
          <c:showCatName val="0"/>
          <c:showSerName val="0"/>
          <c:showPercent val="0"/>
          <c:showBubbleSize val="0"/>
        </c:dLbls>
        <c:axId val="587657600"/>
        <c:axId val="587659040"/>
      </c:scatterChart>
      <c:valAx>
        <c:axId val="5876576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Time (Minutes)</a:t>
                </a:r>
                <a:endParaRPr lang="en-US"/>
              </a:p>
            </c:rich>
          </c:tx>
          <c:layout/>
          <c:overlay val="0"/>
          <c:spPr>
            <a:noFill/>
            <a:ln>
              <a:noFill/>
            </a:ln>
            <a:effectLst/>
          </c:sp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7659040"/>
        <c:crosses val="autoZero"/>
        <c:crossBetween val="midCat"/>
      </c:valAx>
      <c:valAx>
        <c:axId val="5876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900" b="0" i="0" u="none" strike="noStrike" kern="1200" cap="all" baseline="0">
                    <a:solidFill>
                      <a:schemeClr val="tx1">
                        <a:lumMod val="65000"/>
                        <a:lumOff val="35000"/>
                      </a:schemeClr>
                    </a:solidFill>
                    <a:latin typeface="+mn-lt"/>
                    <a:ea typeface="+mn-ea"/>
                    <a:cs typeface="+mn-cs"/>
                  </a:defRPr>
                </a:pPr>
                <a:r>
                  <a:rPr lang="en-US"/>
                  <a:t>Concentration of Glucose  (mmol)</a:t>
                </a:r>
                <a:endParaRPr lang="en-US"/>
              </a:p>
            </c:rich>
          </c:tx>
          <c:layout/>
          <c:overlay val="0"/>
          <c:spPr>
            <a:noFill/>
            <a:ln>
              <a:noFill/>
            </a:ln>
            <a:effectLst/>
          </c:spPr>
        </c:title>
        <c:numFmt formatCode="0.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7657600"/>
        <c:crosses val="autoZero"/>
        <c:crossBetween val="midCat"/>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b9ed849-e680-4a65-8889-0e49be791776}"/>
      </c:ext>
    </c:extLst>
  </c:chart>
  <c:spPr>
    <a:solidFill>
      <a:schemeClr val="lt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1126</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2024-07-24T05:20:00Z</dcterms:created>
  <dc:creator>bobo</dc:creator>
  <cp:lastModifiedBy>Chuanhui Zheng</cp:lastModifiedBy>
  <dcterms:modified xsi:type="dcterms:W3CDTF">2024-08-01T08:58:57Z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2B13067F011E4F4F8288C20486A58EB9_12</vt:lpwstr>
  </property>
</Properties>
</file>