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/>
          <w:b/>
          <w:b/>
          <w:sz w:val="28"/>
          <w:szCs w:val="28"/>
        </w:rPr>
      </w:pPr>
      <w:bookmarkStart w:id="0" w:name="_Toc368331994"/>
      <w:bookmarkEnd w:id="0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28575</wp:posOffset>
            </wp:positionH>
            <wp:positionV relativeFrom="paragraph">
              <wp:posOffset>-72390</wp:posOffset>
            </wp:positionV>
            <wp:extent cx="1285875" cy="68580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sz w:val="28"/>
          <w:szCs w:val="28"/>
        </w:rPr>
        <w:t>Н</w:t>
      </w:r>
      <w:r>
        <w:rPr>
          <w:rFonts w:ascii="Calibri" w:hAnsi="Calibri"/>
          <w:b/>
          <w:sz w:val="28"/>
          <w:szCs w:val="28"/>
        </w:rPr>
        <w:t xml:space="preserve">АЦИОНАЛЬНЫЙ ИССЛЕДОВАТЕЛЬСКИЙ </w:t>
      </w:r>
    </w:p>
    <w:p>
      <w:pPr>
        <w:pStyle w:val="Normal"/>
        <w:jc w:val="center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ЯДЕРНЫЙ УНИВЕРСИТЕТ</w:t>
      </w:r>
    </w:p>
    <w:p>
      <w:pPr>
        <w:pStyle w:val="Normal"/>
        <w:jc w:val="center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«МИФИ»</w:t>
      </w:r>
    </w:p>
    <w:p>
      <w:pPr>
        <w:pStyle w:val="Normal"/>
        <w:spacing w:lineRule="auto" w:line="360"/>
        <w:jc w:val="center"/>
        <w:rPr>
          <w:rFonts w:ascii="Calibri" w:hAnsi="Calibri"/>
          <w:b/>
          <w:b/>
        </w:rPr>
      </w:pPr>
      <w:r>
        <w:rPr>
          <w:rFonts w:eastAsia="Symbol" w:cs="Symbol" w:ascii="Symbol" w:hAnsi="Symbol"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  <w:r>
        <w:rPr>
          <w:rFonts w:eastAsia="Symbol" w:cs="Symbol" w:ascii="Symbol" w:hAnsi="Symbol"/>
          <w:b/>
        </w:rPr>
        <w:t>¾</w:t>
      </w:r>
      <w:r>
        <w:rPr>
          <w:rFonts w:ascii="Calibri" w:hAnsi="Calibri"/>
          <w:b/>
        </w:rPr>
        <w:t>ѕ</w:t>
      </w:r>
    </w:p>
    <w:p>
      <w:pPr>
        <w:pStyle w:val="1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p>
      <w:pPr>
        <w:pStyle w:val="4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Институт интеллектуальных кибернетических систем</w:t>
      </w:r>
    </w:p>
    <w:p>
      <w:pPr>
        <w:pStyle w:val="4"/>
        <w:jc w:val="center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Кафедра № 22</w:t>
      </w:r>
    </w:p>
    <w:p>
      <w:pPr>
        <w:pStyle w:val="Style18"/>
        <w:rPr>
          <w:rFonts w:ascii="Calibri" w:hAnsi="Calibri"/>
          <w:sz w:val="28"/>
          <w:lang w:val="ru-RU"/>
        </w:rPr>
      </w:pPr>
      <w:r>
        <w:rPr>
          <w:rFonts w:ascii="Calibri" w:hAnsi="Calibri"/>
          <w:sz w:val="28"/>
          <w:lang w:val="ru-RU"/>
        </w:rPr>
      </w:r>
    </w:p>
    <w:p>
      <w:pPr>
        <w:pStyle w:val="Style18"/>
        <w:rPr>
          <w:rFonts w:ascii="Calibri" w:hAnsi="Calibri"/>
          <w:b/>
          <w:b/>
          <w:sz w:val="28"/>
          <w:lang w:val="ru-RU"/>
        </w:rPr>
      </w:pPr>
      <w:r>
        <w:rPr>
          <w:rFonts w:ascii="Calibri" w:hAnsi="Calibri"/>
          <w:b/>
          <w:sz w:val="28"/>
          <w:lang w:val="ru-RU"/>
        </w:rPr>
      </w:r>
    </w:p>
    <w:p>
      <w:pPr>
        <w:pStyle w:val="Style18"/>
        <w:rPr>
          <w:rFonts w:ascii="Calibri" w:hAnsi="Calibri"/>
          <w:b/>
          <w:b/>
          <w:sz w:val="28"/>
          <w:lang w:val="ru-RU"/>
        </w:rPr>
      </w:pPr>
      <w:r>
        <w:rPr>
          <w:rFonts w:ascii="Calibri" w:hAnsi="Calibri"/>
          <w:b/>
          <w:sz w:val="28"/>
          <w:lang w:val="ru-RU"/>
        </w:rPr>
      </w:r>
    </w:p>
    <w:p>
      <w:pPr>
        <w:pStyle w:val="Style18"/>
        <w:rPr>
          <w:rFonts w:ascii="Calibri" w:hAnsi="Calibri"/>
          <w:b/>
          <w:b/>
          <w:sz w:val="28"/>
          <w:lang w:val="ru-RU"/>
        </w:rPr>
      </w:pPr>
      <w:r>
        <w:rPr>
          <w:rFonts w:ascii="Calibri" w:hAnsi="Calibri"/>
          <w:b/>
          <w:sz w:val="28"/>
          <w:lang w:val="ru-RU"/>
        </w:rPr>
      </w:r>
    </w:p>
    <w:p>
      <w:pPr>
        <w:pStyle w:val="Style18"/>
        <w:rPr>
          <w:rFonts w:ascii="Calibri" w:hAnsi="Calibri"/>
          <w:b/>
          <w:b/>
          <w:sz w:val="28"/>
          <w:lang w:val="ru-RU"/>
        </w:rPr>
      </w:pPr>
      <w:r>
        <w:rPr>
          <w:rFonts w:ascii="Calibri" w:hAnsi="Calibri"/>
          <w:b/>
          <w:sz w:val="28"/>
          <w:lang w:val="ru-RU"/>
        </w:rPr>
        <w:t xml:space="preserve">Курсовая работа по моделированию предметных сред </w:t>
      </w:r>
    </w:p>
    <w:p>
      <w:pPr>
        <w:pStyle w:val="Style18"/>
        <w:rPr>
          <w:rFonts w:ascii="Calibri" w:hAnsi="Calibri"/>
          <w:b/>
          <w:b/>
          <w:sz w:val="28"/>
          <w:lang w:val="ru-RU"/>
        </w:rPr>
      </w:pPr>
      <w:r>
        <w:rPr>
          <w:rFonts w:ascii="Calibri" w:hAnsi="Calibri"/>
          <w:b/>
          <w:sz w:val="28"/>
          <w:lang w:val="ru-RU"/>
        </w:rPr>
        <w:t>и проектированию баз данных</w:t>
      </w:r>
    </w:p>
    <w:p>
      <w:pPr>
        <w:pStyle w:val="Style18"/>
        <w:rPr>
          <w:rFonts w:ascii="Calibri" w:hAnsi="Calibri"/>
          <w:sz w:val="28"/>
          <w:lang w:val="ru-RU"/>
        </w:rPr>
      </w:pPr>
      <w:r>
        <w:rPr>
          <w:rFonts w:ascii="Calibri" w:hAnsi="Calibri"/>
          <w:sz w:val="28"/>
          <w:lang w:val="ru-RU"/>
        </w:rPr>
      </w:r>
    </w:p>
    <w:p>
      <w:pPr>
        <w:pStyle w:val="Style18"/>
        <w:rPr>
          <w:rFonts w:ascii="Calibri" w:hAnsi="Calibri"/>
          <w:b/>
          <w:b/>
          <w:i/>
          <w:i/>
          <w:sz w:val="28"/>
          <w:lang w:val="ru-RU"/>
        </w:rPr>
      </w:pPr>
      <w:r>
        <w:rPr>
          <w:rFonts w:ascii="Calibri" w:hAnsi="Calibri"/>
          <w:i/>
          <w:sz w:val="28"/>
          <w:lang w:val="ru-RU"/>
        </w:rPr>
        <w:t xml:space="preserve">«Создание базы данных для терминалов самообслуживания на </w:t>
      </w:r>
      <w:r>
        <w:rPr>
          <w:rFonts w:eastAsia="Times New Roman" w:cs="Times New Roman" w:ascii="Calibri" w:hAnsi="Calibri"/>
          <w:i/>
          <w:sz w:val="28"/>
          <w:szCs w:val="20"/>
          <w:lang w:val="ru-RU" w:eastAsia="ru-RU"/>
        </w:rPr>
        <w:t>а</w:t>
      </w:r>
      <w:r>
        <w:rPr>
          <w:rFonts w:ascii="Calibri" w:hAnsi="Calibri"/>
          <w:i/>
          <w:sz w:val="28"/>
          <w:lang w:val="ru-RU"/>
        </w:rPr>
        <w:t>втозаправочн</w:t>
      </w:r>
      <w:r>
        <w:rPr>
          <w:rFonts w:eastAsia="Times New Roman" w:cs="Times New Roman" w:ascii="Calibri" w:hAnsi="Calibri"/>
          <w:i/>
          <w:sz w:val="28"/>
          <w:szCs w:val="20"/>
          <w:lang w:val="ru-RU" w:eastAsia="ru-RU"/>
        </w:rPr>
        <w:t>ой</w:t>
      </w:r>
      <w:r>
        <w:rPr>
          <w:rFonts w:ascii="Calibri" w:hAnsi="Calibri"/>
          <w:i/>
          <w:sz w:val="28"/>
          <w:lang w:val="ru-RU"/>
        </w:rPr>
        <w:t xml:space="preserve"> станци</w:t>
      </w:r>
      <w:r>
        <w:rPr>
          <w:rFonts w:eastAsia="Times New Roman" w:cs="Times New Roman" w:ascii="Calibri" w:hAnsi="Calibri"/>
          <w:i/>
          <w:sz w:val="28"/>
          <w:szCs w:val="20"/>
          <w:lang w:val="ru-RU" w:eastAsia="ru-RU"/>
        </w:rPr>
        <w:t>и</w:t>
      </w:r>
      <w:r>
        <w:rPr>
          <w:rFonts w:ascii="Calibri" w:hAnsi="Calibri"/>
          <w:i/>
          <w:sz w:val="28"/>
          <w:lang w:val="ru-RU"/>
        </w:rPr>
        <w:t>»</w:t>
      </w:r>
    </w:p>
    <w:p>
      <w:pPr>
        <w:pStyle w:val="Style18"/>
        <w:rPr>
          <w:rFonts w:ascii="Calibri" w:hAnsi="Calibri"/>
          <w:b/>
          <w:b/>
          <w:sz w:val="28"/>
          <w:lang w:val="ru-RU"/>
        </w:rPr>
      </w:pPr>
      <w:r>
        <w:rPr>
          <w:rFonts w:ascii="Calibri" w:hAnsi="Calibri"/>
          <w:b/>
          <w:sz w:val="28"/>
          <w:lang w:val="ru-RU"/>
        </w:rPr>
      </w:r>
    </w:p>
    <w:p>
      <w:pPr>
        <w:pStyle w:val="Normal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jc w:val="right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tbl>
      <w:tblPr>
        <w:tblW w:w="4140" w:type="dxa"/>
        <w:jc w:val="left"/>
        <w:tblInd w:w="586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89"/>
        <w:gridCol w:w="2350"/>
      </w:tblGrid>
      <w:tr>
        <w:trPr>
          <w:trHeight w:val="180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Выполнил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Чудновец И.В.</w:t>
            </w:r>
          </w:p>
        </w:tc>
      </w:tr>
      <w:tr>
        <w:trPr>
          <w:trHeight w:val="180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Группа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М21-534</w:t>
            </w:r>
          </w:p>
        </w:tc>
      </w:tr>
      <w:tr>
        <w:trPr>
          <w:trHeight w:val="180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Вариант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Times New Roman" w:cs="Times New Roman"/>
                <w:sz w:val="24"/>
                <w:szCs w:val="20"/>
                <w:lang w:eastAsia="ru-RU"/>
              </w:rPr>
            </w:pPr>
            <w:r>
              <w:rPr>
                <w:rFonts w:eastAsia="Times New Roman" w:cs="Times New Roman" w:ascii="Calibri" w:hAnsi="Calibri"/>
                <w:sz w:val="24"/>
                <w:szCs w:val="20"/>
                <w:lang w:eastAsia="ru-RU"/>
              </w:rPr>
              <w:t>15</w:t>
            </w:r>
          </w:p>
        </w:tc>
      </w:tr>
      <w:tr>
        <w:trPr>
          <w:trHeight w:val="180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Преподаватель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</w:rPr>
              <w:t>Тихомирова Д.В.</w:t>
            </w:r>
          </w:p>
        </w:tc>
      </w:tr>
      <w:tr>
        <w:trPr>
          <w:trHeight w:val="180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Проверяющий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</w:rPr>
              <w:t>Дадтеев К. М</w:t>
            </w:r>
            <w:r>
              <w:rPr>
                <w:rFonts w:ascii="Calibri" w:hAnsi="Calibri"/>
                <w:sz w:val="24"/>
                <w:lang w:val="en-US"/>
              </w:rPr>
              <w:t>.</w:t>
            </w:r>
          </w:p>
        </w:tc>
      </w:tr>
      <w:tr>
        <w:trPr>
          <w:trHeight w:val="180" w:hRule="atLeast"/>
        </w:trPr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Оценка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/>
                <w:sz w:val="24"/>
                <w:lang w:val="en-US"/>
              </w:rPr>
            </w:pPr>
            <w:r>
              <w:rPr>
                <w:rFonts w:ascii="Calibri" w:hAnsi="Calibri"/>
                <w:sz w:val="24"/>
                <w:lang w:val="en-US"/>
              </w:rPr>
            </w:r>
          </w:p>
        </w:tc>
      </w:tr>
    </w:tbl>
    <w:p>
      <w:pPr>
        <w:pStyle w:val="4"/>
        <w:ind w:left="2832" w:firstLine="708"/>
        <w:rPr>
          <w:rFonts w:ascii="Calibri" w:hAnsi="Calibri"/>
          <w:sz w:val="32"/>
          <w:szCs w:val="32"/>
          <w:lang w:val="en-US"/>
        </w:rPr>
      </w:pPr>
      <w:r>
        <w:rPr>
          <w:rFonts w:ascii="Calibri" w:hAnsi="Calibri"/>
          <w:sz w:val="32"/>
          <w:szCs w:val="32"/>
          <w:lang w:val="en-US"/>
        </w:rPr>
      </w:r>
    </w:p>
    <w:p>
      <w:pPr>
        <w:pStyle w:val="4"/>
        <w:ind w:left="2832" w:firstLine="708"/>
        <w:rPr>
          <w:rFonts w:ascii="Calibri" w:hAnsi="Calibri"/>
          <w:sz w:val="32"/>
          <w:szCs w:val="32"/>
          <w:lang w:val="en-US"/>
        </w:rPr>
      </w:pPr>
      <w:r>
        <w:rPr>
          <w:rFonts w:ascii="Calibri" w:hAnsi="Calibri"/>
          <w:sz w:val="32"/>
          <w:szCs w:val="32"/>
          <w:lang w:val="en-US"/>
        </w:rPr>
      </w:r>
    </w:p>
    <w:p>
      <w:pPr>
        <w:pStyle w:val="4"/>
        <w:ind w:left="2832" w:firstLine="708"/>
        <w:rPr>
          <w:rFonts w:ascii="Calibri" w:hAnsi="Calibri"/>
          <w:sz w:val="32"/>
          <w:szCs w:val="32"/>
          <w:lang w:val="en-US"/>
        </w:rPr>
      </w:pPr>
      <w:r>
        <w:rPr>
          <w:rFonts w:ascii="Calibri" w:hAnsi="Calibri"/>
          <w:sz w:val="32"/>
          <w:szCs w:val="32"/>
          <w:lang w:val="en-US"/>
        </w:rPr>
      </w:r>
    </w:p>
    <w:p>
      <w:pPr>
        <w:pStyle w:val="4"/>
        <w:ind w:left="2832" w:firstLine="708"/>
        <w:rPr>
          <w:rFonts w:ascii="Calibri" w:hAnsi="Calibri"/>
          <w:sz w:val="32"/>
          <w:szCs w:val="32"/>
          <w:lang w:val="en-US"/>
        </w:rPr>
      </w:pPr>
      <w:r>
        <w:rPr>
          <w:rFonts w:ascii="Calibri" w:hAnsi="Calibri"/>
          <w:sz w:val="32"/>
          <w:szCs w:val="32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ind w:left="2832" w:firstLine="708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Москва 2021</w:t>
      </w:r>
      <w:r>
        <w:br w:type="page"/>
      </w:r>
    </w:p>
    <w:p>
      <w:pPr>
        <w:pStyle w:val="1"/>
        <w:numPr>
          <w:ilvl w:val="0"/>
          <w:numId w:val="1"/>
        </w:numPr>
        <w:rPr>
          <w:rFonts w:ascii="Calibri" w:hAnsi="Calibri"/>
          <w:b/>
          <w:b/>
          <w:lang w:val="en-US"/>
        </w:rPr>
      </w:pPr>
      <w:bookmarkStart w:id="1" w:name="_Toc368331995"/>
      <w:r>
        <w:rPr>
          <w:rFonts w:ascii="Calibri" w:hAnsi="Calibri"/>
          <w:b/>
        </w:rPr>
        <w:t>Описание предметной области</w:t>
      </w:r>
      <w:bookmarkEnd w:id="1"/>
    </w:p>
    <w:p>
      <w:pPr>
        <w:pStyle w:val="Style19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</w:r>
    </w:p>
    <w:p>
      <w:pPr>
        <w:pStyle w:val="3"/>
        <w:keepLines w:val="false"/>
        <w:numPr>
          <w:ilvl w:val="1"/>
          <w:numId w:val="1"/>
        </w:numPr>
        <w:spacing w:before="0" w:after="0"/>
        <w:rPr>
          <w:rFonts w:ascii="Calibri" w:hAnsi="Calibri"/>
          <w:b/>
          <w:b/>
        </w:rPr>
      </w:pPr>
      <w:bookmarkStart w:id="2" w:name="_Toc59097174"/>
      <w:bookmarkStart w:id="3" w:name="_Toc122284186"/>
      <w:bookmarkStart w:id="4" w:name="_Toc368331996"/>
      <w:r>
        <w:rPr>
          <w:rFonts w:ascii="Calibri" w:hAnsi="Calibri"/>
          <w:b/>
        </w:rPr>
        <w:t>Формулировка задания</w:t>
      </w:r>
      <w:bookmarkEnd w:id="2"/>
      <w:bookmarkEnd w:id="3"/>
      <w:bookmarkEnd w:id="4"/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Спроектируйте базу данных на основе модели ключ-значение для терминалов самообслуживания на автозаправочной станции.</w:t>
      </w:r>
    </w:p>
    <w:p>
      <w:pPr>
        <w:pStyle w:val="3"/>
        <w:keepLines w:val="false"/>
        <w:numPr>
          <w:ilvl w:val="1"/>
          <w:numId w:val="1"/>
        </w:numPr>
        <w:spacing w:before="0" w:after="0"/>
        <w:rPr>
          <w:rFonts w:ascii="Calibri" w:hAnsi="Calibri"/>
          <w:b/>
          <w:b/>
        </w:rPr>
      </w:pPr>
      <w:bookmarkStart w:id="5" w:name="_Toc368331997"/>
      <w:r>
        <w:rPr>
          <w:rFonts w:ascii="Calibri" w:hAnsi="Calibri"/>
          <w:b/>
        </w:rPr>
        <w:t>Конкретизация предметной области</w:t>
      </w:r>
      <w:bookmarkEnd w:id="5"/>
    </w:p>
    <w:p>
      <w:pPr>
        <w:pStyle w:val="Default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>Автозаправочная станция (АЗС) - комплекс оборудования на придорожной территории, предназначенный для заправки топливом транспортных средств. До середины нулевых оплата заказа на АЗС осуществлялась исключительно через кассы, в которых требовалось участие продавца. К началу 10-х годов XXI века был замечен устойчивый рост использования терминалов самообслуживания (ТСО) в различных сферах бизнеса, в частности на АЗС. ТСО представляет собой довольно простое устройство, позволяющее принимать денежные средства для оплаты различного рода услуг, наиболее популярными из которых</w:t>
      </w:r>
    </w:p>
    <w:p>
      <w:pPr>
        <w:pStyle w:val="Default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 xml:space="preserve">являются плата за мобильную связь, Интернет и погашение кредитов. </w:t>
      </w:r>
    </w:p>
    <w:p>
      <w:pPr>
        <w:pStyle w:val="Default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>В рамках курсовой работы будут рассмотрена БД для АИС терминал</w:t>
      </w:r>
      <w:r>
        <w:rPr>
          <w:rFonts w:cs="Times New Roman"/>
          <w:color w:val="auto"/>
          <w:sz w:val="23"/>
          <w:szCs w:val="23"/>
        </w:rPr>
        <w:t>ов</w:t>
      </w:r>
      <w:r>
        <w:rPr>
          <w:color w:val="auto"/>
          <w:sz w:val="23"/>
          <w:szCs w:val="23"/>
        </w:rPr>
        <w:t xml:space="preserve"> самообслуживания на АЗС. Рассмотрим взаимодействие пользователя с ТСО, расположенным на АЗС. ПО, установленное на ТСО выполняет функции приёма платежей клиентов, желающих приобрести нефтепродукт (НП) или сопутствующие товары на АЗС. В сеансе работы пользователя с ТСО </w:t>
      </w:r>
      <w:r>
        <w:rPr>
          <w:rFonts w:cs="Times New Roman"/>
          <w:color w:val="auto"/>
          <w:sz w:val="23"/>
          <w:szCs w:val="23"/>
        </w:rPr>
        <w:t xml:space="preserve">необходимо владеть </w:t>
      </w:r>
      <w:r>
        <w:rPr>
          <w:color w:val="auto"/>
          <w:sz w:val="23"/>
          <w:szCs w:val="23"/>
        </w:rPr>
        <w:t xml:space="preserve">актуальной информации о ценах и видах НП, а также доступных топливораздаточных колонках (ТРК) из БД. После успешной оплаты клиент получает чек с необходимой информацией о заказе. </w:t>
      </w:r>
    </w:p>
    <w:p>
      <w:pPr>
        <w:pStyle w:val="Default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 xml:space="preserve">В случае недолива топлива (ситуации, когда клиент оплатил большее количество литров НП, чем его </w:t>
      </w:r>
      <w:r>
        <w:rPr>
          <w:rFonts w:cs="Times New Roman"/>
          <w:color w:val="auto"/>
          <w:sz w:val="23"/>
          <w:szCs w:val="23"/>
        </w:rPr>
        <w:t>топливный бак</w:t>
      </w:r>
      <w:r>
        <w:rPr>
          <w:color w:val="auto"/>
          <w:sz w:val="23"/>
          <w:szCs w:val="23"/>
        </w:rPr>
        <w:t xml:space="preserve"> смог принять) клиент может оформить возврата средств с помощью сканировани</w:t>
      </w:r>
      <w:r>
        <w:rPr>
          <w:rFonts w:cs="Times New Roman"/>
          <w:color w:val="auto"/>
          <w:sz w:val="23"/>
          <w:szCs w:val="23"/>
        </w:rPr>
        <w:t xml:space="preserve">я </w:t>
      </w:r>
      <w:r>
        <w:rPr>
          <w:color w:val="auto"/>
          <w:sz w:val="23"/>
          <w:szCs w:val="23"/>
        </w:rPr>
        <w:t>штрих-кода.</w:t>
      </w:r>
    </w:p>
    <w:p>
      <w:pPr>
        <w:pStyle w:val="Default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 xml:space="preserve">Всего в базе 10 таблиц. В таблице Petrols хранятся объекты НП, CustomerDetails хранит информацию о пользователе. Часть таблиц создана для удобной связи между объектами. Например, таблица Orders хранит общую информацию о заказах OrderOther и OrderPetrol. В таблицах OrderOther и OrderPetrol введено поле change, отражающее была ли произведена выплата сдачи по данному заказу. По умолчанию значение поля NULL. В случае, если по заказу происходит выплата сдачи, то поле change принимает значение первичного ключа заказа OrderOther, который осуществлял этот перевод. </w:t>
      </w:r>
    </w:p>
    <w:p>
      <w:pPr>
        <w:pStyle w:val="Default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>Между таблицами установлены различные виды связей. Связь один-ко-многим мы можем наблюдать между таблицами Terminals и Errors. Связь один-к-одному продемонстрирована между таблицами Orders и OrderOther. Также можно заметить неочевидную связь между двумя экземплярами одной сущности OrderOther. Это замыкание поля change на самой сущности, на случай множественного перевода сдачи.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keepLines w:val="false"/>
        <w:numPr>
          <w:ilvl w:val="1"/>
          <w:numId w:val="1"/>
        </w:numPr>
        <w:spacing w:before="0" w:after="0"/>
        <w:rPr>
          <w:rFonts w:ascii="Calibri" w:hAnsi="Calibri"/>
          <w:b/>
          <w:b/>
        </w:rPr>
      </w:pPr>
      <w:r>
        <w:rPr>
          <w:rFonts w:ascii="Calibri" w:hAnsi="Calibri"/>
          <w:b/>
        </w:rPr>
        <w:t>Пользователи системы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color w:val="auto"/>
          <w:sz w:val="23"/>
          <w:szCs w:val="23"/>
        </w:rPr>
        <w:t>Клиент - пользователь системы, имеющий возможность осуществить покупку нефтепродукта. В случае недолива топлива может инициализировать процедуру возврата средств, отсканировав штрих-код с чека. При желании, может оставить свои персональные данные.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color w:val="auto"/>
          <w:sz w:val="23"/>
          <w:szCs w:val="23"/>
        </w:rPr>
        <w:t>Менеджер по закупкам - пользователь системы, имеющий право просматривать заказы клиентов в системе. Также, в зависимости от текущей повестки в компании, принимает решение об обновлении списка доступных нефтепродуктов. В начале рабочего дня утверждает актуальную стоимость нефтепродуктов.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40" w:before="0" w:after="0"/>
        <w:jc w:val="left"/>
        <w:rPr/>
      </w:pPr>
      <w:r>
        <w:rPr>
          <w:color w:val="auto"/>
          <w:sz w:val="23"/>
          <w:szCs w:val="23"/>
        </w:rPr>
        <w:t>Администратор - пользователь системы, имеющий права менеджера по закупкам, а также, в зависимости от ситуации на АЗС, возможность обновлять список рабочих терминалов и колонок (ТРК).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keepLines w:val="false"/>
        <w:numPr>
          <w:ilvl w:val="1"/>
          <w:numId w:val="1"/>
        </w:numPr>
        <w:spacing w:before="0" w:after="0"/>
        <w:rPr>
          <w:rFonts w:ascii="Calibri" w:hAnsi="Calibri"/>
          <w:b/>
          <w:b/>
        </w:rPr>
      </w:pPr>
      <w:r>
        <w:rPr>
          <w:rFonts w:ascii="Calibri" w:hAnsi="Calibri"/>
          <w:b/>
          <w:sz w:val="24"/>
          <w:szCs w:val="24"/>
        </w:rPr>
        <w:t>Сроки хранения информации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>Информация о нефтепродукте хранится в течении 3-х лет, после чего удаляется.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>Информация о заказах хранится в течении 5-ти лет, после чего удаляется.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>Информация об операциях возврата хранится в течении 5-ти лет, после чего удаляется.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>Информация о пользователях хранится до момента её принудительного удаления вручную.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>Информация об ошибках на терминалах хранится в течении 5-ти лет, после чего удаляется.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>Информация о терминалах - хранится в течении 3-х лет, после чего удаляется.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color w:val="auto"/>
          <w:sz w:val="23"/>
          <w:szCs w:val="23"/>
        </w:rPr>
        <w:t>Информация о ТРК - хранится в течении 3-х лет, после чего удаляется.</w:t>
      </w:r>
    </w:p>
    <w:p>
      <w:pPr>
        <w:pStyle w:val="Default"/>
        <w:widowControl/>
        <w:bidi w:val="0"/>
        <w:spacing w:lineRule="auto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3"/>
        <w:keepLines w:val="false"/>
        <w:widowControl/>
        <w:numPr>
          <w:ilvl w:val="1"/>
          <w:numId w:val="1"/>
        </w:numPr>
        <w:bidi w:val="0"/>
        <w:spacing w:lineRule="auto" w:line="240" w:before="0" w:after="0"/>
        <w:ind w:left="0" w:right="0" w:hanging="0"/>
        <w:jc w:val="left"/>
        <w:rPr>
          <w:color w:val="1F3763"/>
          <w:sz w:val="24"/>
          <w:szCs w:val="24"/>
        </w:rPr>
      </w:pPr>
      <w:r>
        <w:rPr>
          <w:rFonts w:ascii="Calibri" w:hAnsi="Calibri"/>
          <w:b/>
          <w:color w:val="1F3763"/>
          <w:sz w:val="24"/>
          <w:szCs w:val="24"/>
        </w:rPr>
        <w:t>События, изменяющие состояния Базы Данных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sz w:val="23"/>
          <w:szCs w:val="23"/>
          <w:lang w:eastAsia="ru-RU"/>
        </w:rPr>
        <w:t>Изменение информации о НП (обновление списка доступных НП, цен на НП)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sz w:val="23"/>
          <w:szCs w:val="23"/>
          <w:lang w:eastAsia="ru-RU"/>
        </w:rPr>
        <w:t>Покупка НП клиентом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sz w:val="23"/>
          <w:szCs w:val="23"/>
          <w:lang w:eastAsia="ru-RU"/>
        </w:rPr>
        <w:t>Сканирование штрих-кода для инициации возврата средств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sz w:val="23"/>
          <w:szCs w:val="23"/>
          <w:lang w:eastAsia="ru-RU"/>
        </w:rPr>
        <w:t>Оформление возврата средств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sz w:val="23"/>
          <w:szCs w:val="23"/>
          <w:lang w:eastAsia="ru-RU"/>
        </w:rPr>
        <w:t>Пользователь оставил персональные данные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sz w:val="23"/>
          <w:szCs w:val="23"/>
          <w:lang w:eastAsia="ru-RU"/>
        </w:rPr>
        <w:t>Неполадки на терминале (отказ работы сканера, отказ работы валидатора, отказ работы ТУ, закончилась бумага, закончилась краска)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sz w:val="23"/>
          <w:szCs w:val="23"/>
          <w:lang w:eastAsia="ru-RU"/>
        </w:rPr>
        <w:t>Терминал вышел из строя/установлен новый терминал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color w:val="auto"/>
          <w:sz w:val="23"/>
          <w:szCs w:val="23"/>
          <w:lang w:eastAsia="ru-RU"/>
        </w:rPr>
        <w:t>ТРК вышла из строя/установлена новая ТРК</w:t>
      </w:r>
    </w:p>
    <w:p>
      <w:pPr>
        <w:pStyle w:val="3"/>
        <w:keepLines w:val="false"/>
        <w:widowControl/>
        <w:numPr>
          <w:ilvl w:val="1"/>
          <w:numId w:val="1"/>
        </w:numPr>
        <w:bidi w:val="0"/>
        <w:spacing w:lineRule="auto" w:line="240" w:before="0" w:after="0"/>
        <w:ind w:left="0" w:right="0" w:hanging="0"/>
        <w:jc w:val="left"/>
        <w:rPr>
          <w:color w:val="1F3763"/>
          <w:sz w:val="24"/>
          <w:szCs w:val="24"/>
        </w:rPr>
      </w:pPr>
      <w:r>
        <w:rPr>
          <w:rFonts w:ascii="Calibri" w:hAnsi="Calibri"/>
          <w:b/>
          <w:color w:val="1F3763"/>
          <w:sz w:val="24"/>
          <w:szCs w:val="24"/>
        </w:rPr>
        <w:t>Основные запросы к Базе Данных (на естественном языке)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sz w:val="24"/>
          <w:szCs w:val="24"/>
        </w:rPr>
        <w:t>Вывести все заказы за указанный период времени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sz w:val="24"/>
          <w:szCs w:val="24"/>
        </w:rPr>
        <w:t>Вывести только заказы определённого типа (фильтрация по типу - НП или возврат)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sz w:val="24"/>
          <w:szCs w:val="24"/>
        </w:rPr>
        <w:t>Вывести все заказы пользователя с указанным номером телефона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sz w:val="24"/>
          <w:szCs w:val="24"/>
        </w:rPr>
        <w:t>Вывести операции сканирования за указанный период времени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sz w:val="24"/>
          <w:szCs w:val="24"/>
        </w:rPr>
        <w:t>Вывести актуальные статусы ТРК</w:t>
      </w:r>
    </w:p>
    <w:p>
      <w:pPr>
        <w:pStyle w:val="Normal"/>
        <w:widowControl/>
        <w:bidi w:val="0"/>
        <w:spacing w:lineRule="auto" w:line="240" w:before="0" w:after="0"/>
        <w:ind w:left="0" w:right="0" w:hanging="0"/>
        <w:jc w:val="both"/>
        <w:rPr/>
      </w:pPr>
      <w:r>
        <w:rPr>
          <w:sz w:val="24"/>
          <w:szCs w:val="24"/>
        </w:rPr>
        <w:t>Вывести актуальную информацию о видах и ценах НП</w:t>
      </w:r>
    </w:p>
    <w:p>
      <w:pPr>
        <w:pStyle w:val="1"/>
        <w:widowControl/>
        <w:numPr>
          <w:ilvl w:val="0"/>
          <w:numId w:val="0"/>
        </w:numPr>
        <w:bidi w:val="0"/>
        <w:spacing w:lineRule="auto" w:line="240" w:before="0" w:after="0"/>
        <w:ind w:left="390" w:right="0" w:hanging="0"/>
        <w:jc w:val="left"/>
        <w:rPr>
          <w:rFonts w:ascii="Calibri" w:hAnsi="Calibri"/>
          <w:b/>
          <w:b/>
          <w:lang w:val="en-US"/>
        </w:rPr>
      </w:pPr>
      <w:r>
        <w:rPr>
          <w:rFonts w:ascii="Calibri" w:hAnsi="Calibri"/>
          <w:b/>
          <w:lang w:val="en-US"/>
        </w:rPr>
      </w:r>
    </w:p>
    <w:p>
      <w:pPr>
        <w:pStyle w:val="1"/>
        <w:widowControl/>
        <w:numPr>
          <w:ilvl w:val="0"/>
          <w:numId w:val="1"/>
        </w:numPr>
        <w:bidi w:val="0"/>
        <w:spacing w:lineRule="auto" w:line="240" w:before="0" w:after="0"/>
        <w:ind w:left="0" w:right="0" w:hanging="0"/>
        <w:jc w:val="left"/>
        <w:rPr>
          <w:rFonts w:ascii="Calibri" w:hAnsi="Calibri"/>
          <w:b/>
          <w:b/>
          <w:lang w:val="en-US"/>
        </w:rPr>
      </w:pPr>
      <w:r>
        <w:rPr>
          <w:rFonts w:ascii="Calibri" w:hAnsi="Calibri"/>
          <w:b/>
          <w:sz w:val="24"/>
          <w:szCs w:val="24"/>
        </w:rPr>
        <w:t>Концептуально-информационная модель предметной области</w:t>
      </w:r>
    </w:p>
    <w:p>
      <w:pPr>
        <w:pStyle w:val="1"/>
        <w:widowControl/>
        <w:numPr>
          <w:ilvl w:val="0"/>
          <w:numId w:val="0"/>
        </w:numPr>
        <w:bidi w:val="0"/>
        <w:spacing w:lineRule="auto" w:line="240" w:before="0" w:after="0"/>
        <w:ind w:left="390" w:right="0" w:hanging="0"/>
        <w:jc w:val="left"/>
        <w:rPr>
          <w:rFonts w:ascii="Calibri" w:hAnsi="Calibri"/>
          <w:b/>
          <w:b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2775" cy="263144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90" w:hanging="39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5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7f5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rsid w:val="006c7f57"/>
    <w:pPr>
      <w:keepNext w:val="true"/>
      <w:outlineLvl w:val="0"/>
    </w:pPr>
    <w:rPr>
      <w:rFonts w:ascii="Arial" w:hAnsi="Arial"/>
      <w:sz w:val="24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4516e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4">
    <w:name w:val="Heading 4"/>
    <w:basedOn w:val="Normal"/>
    <w:next w:val="Normal"/>
    <w:link w:val="40"/>
    <w:qFormat/>
    <w:rsid w:val="006c7f57"/>
    <w:pPr>
      <w:keepNext w:val="true"/>
      <w:spacing w:before="240" w:after="60"/>
      <w:outlineLvl w:val="3"/>
    </w:pPr>
    <w:rPr>
      <w:rFonts w:ascii="Arial" w:hAnsi="Arial"/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6c7f57"/>
    <w:rPr>
      <w:rFonts w:ascii="Arial" w:hAnsi="Arial" w:eastAsia="Times New Roman" w:cs="Times New Roman"/>
      <w:sz w:val="24"/>
      <w:szCs w:val="20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6c7f57"/>
    <w:rPr>
      <w:rFonts w:ascii="Arial" w:hAnsi="Arial" w:eastAsia="Times New Roman" w:cs="Times New Roman"/>
      <w:b/>
      <w:sz w:val="24"/>
      <w:szCs w:val="20"/>
      <w:lang w:eastAsia="ru-RU"/>
    </w:rPr>
  </w:style>
  <w:style w:type="character" w:styleId="Style11" w:customStyle="1">
    <w:name w:val="Название Знак"/>
    <w:basedOn w:val="DefaultParagraphFont"/>
    <w:link w:val="a3"/>
    <w:qFormat/>
    <w:rsid w:val="006c7f57"/>
    <w:rPr>
      <w:rFonts w:ascii="Arial" w:hAnsi="Arial" w:eastAsia="Times New Roman" w:cs="Times New Roman"/>
      <w:sz w:val="24"/>
      <w:szCs w:val="20"/>
      <w:lang w:val="en-US"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4516e8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ru-RU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link w:val="a4"/>
    <w:qFormat/>
    <w:rsid w:val="006c7f57"/>
    <w:pPr>
      <w:jc w:val="center"/>
    </w:pPr>
    <w:rPr>
      <w:rFonts w:ascii="Arial" w:hAnsi="Arial"/>
      <w:sz w:val="24"/>
      <w:lang w:val="en-US"/>
    </w:rPr>
  </w:style>
  <w:style w:type="paragraph" w:styleId="Style19" w:customStyle="1">
    <w:name w:val="Средний заголовок"/>
    <w:basedOn w:val="Normal"/>
    <w:next w:val="Normal"/>
    <w:qFormat/>
    <w:rsid w:val="004516e8"/>
    <w:pPr>
      <w:jc w:val="both"/>
    </w:pPr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4516e8"/>
    <w:pPr>
      <w:spacing w:before="0" w:after="0"/>
      <w:ind w:left="720" w:hanging="0"/>
      <w:contextualSpacing/>
    </w:pPr>
    <w:rPr/>
  </w:style>
  <w:style w:type="paragraph" w:styleId="Default" w:customStyle="1">
    <w:name w:val="Default"/>
    <w:qFormat/>
    <w:rsid w:val="0036066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Application>LibreOffice/6.4.7.2$Linux_X86_64 LibreOffice_project/40$Build-2</Application>
  <Pages>3</Pages>
  <Words>736</Words>
  <Characters>4558</Characters>
  <CharactersWithSpaces>5173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2021-10-06T09:22:00Z</dcterms:created>
  <dc:creator>Alexander Myshkin</dc:creator>
  <dc:description/>
  <dc:language>ru-RU</dc:language>
  <cp:lastModifiedBy/>
  <dcterms:modified xsi:type="dcterms:W3CDTF">2021-10-27T12:15:42Z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