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НАУКИ И ВЫСШЕГО ОБРАЗОВАНИЯ РОССИЙСКОЙ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«Национальный исследовательский ядерный университет «МИФИ»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Институт Интеллектуальных Кибернетических Систем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Кибернетики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 w:before="0" w:after="0"/>
        <w:jc w:val="center"/>
        <w:rPr>
          <w:sz w:val="20"/>
          <w:szCs w:val="20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</w:t>
      </w:r>
    </w:p>
    <w:p>
      <w:pPr>
        <w:pStyle w:val="Standard"/>
        <w:spacing w:lineRule="auto" w:line="360" w:before="0" w:after="0"/>
        <w:jc w:val="center"/>
        <w:rPr>
          <w:sz w:val="20"/>
          <w:szCs w:val="20"/>
        </w:rPr>
      </w:pPr>
      <w:r>
        <w:rPr>
          <w:rFonts w:cs="Times New Roman" w:ascii="Times New Roman" w:hAnsi="Times New Roman"/>
          <w:b/>
          <w:sz w:val="28"/>
          <w:szCs w:val="28"/>
        </w:rPr>
        <w:t>«Оценивание параметров линейного стационарного объекта методом наименьших квадратов»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Работу выполнил студент группы Б17-511:                                                         Чудновец И.В.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                                                                                                              Рамазанов Р. Н.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Москва 2020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Исследование свойств метода наименьших квадратов для оценки параметров линейного регрессионного объекта, исследование точности оценки в зависимости от дисперсии входных данных и дисперсии шума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данной работе моделируется объект: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sSub>
          <m:e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метода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Регрессионный объект и соответствующая ему модель имеют вид: 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b</m:t>
            </m: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η</m:t>
            </m:r>
          </m:e>
        </m:bar>
      </m:oMath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Критерий качества, соответствующий методу наименьших квадратов, и, записанный в векторной форме, имеет вид: 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~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d>
              <m:dPr>
                <m:begChr m:val="("/>
                <m:endChr m:val=")"/>
              </m:dPr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</m:d>
      </m:oMath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нахождения оценки коэффициентов подставим уравнение модели и найдем минимум критерия качества. Для этого необходимо решить уравнение: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Решая данное уравнение, получим: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RU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R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Если в модели присутствует свободный член, или при большом количестве измерений используется центрированная форма. При этом свободный член может быть определен по формуле: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cp</m:t>
            </m:r>
          </m:sup>
        </m:s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cp</m:t>
            </m:r>
          </m:sup>
        </m:sSubSup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  <m:sup>
            <m:r>
              <w:rPr>
                <w:rFonts w:ascii="Cambria Math" w:hAnsi="Cambria Math"/>
              </w:rPr>
              <m:t xml:space="preserve">cp</m:t>
            </m:r>
          </m:sup>
        </m:sSubSup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этом оценка свободного члена получается наименее точной, так как содержит в себе ошибки оценки других параметров и среднее значение шума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выполнения работы</w:t>
      </w:r>
    </w:p>
    <w:tbl>
      <w:tblPr>
        <w:tblStyle w:val="a4"/>
        <w:tblW w:w="10632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1091"/>
        <w:gridCol w:w="1037"/>
        <w:gridCol w:w="993"/>
        <w:gridCol w:w="993"/>
        <w:gridCol w:w="992"/>
        <w:gridCol w:w="1160"/>
        <w:gridCol w:w="1391"/>
        <w:gridCol w:w="1416"/>
      </w:tblGrid>
      <w:tr>
        <w:trPr/>
        <w:tc>
          <w:tcPr>
            <w:tcW w:w="2649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Исходные данные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тестового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моделирования</w:t>
            </w:r>
          </w:p>
        </w:tc>
        <w:tc>
          <w:tcPr>
            <w:tcW w:w="6566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Ошибки оценки параметров</w:t>
            </w:r>
          </w:p>
        </w:tc>
        <w:tc>
          <w:tcPr>
            <w:tcW w:w="14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Критерий фишера</w:t>
            </w:r>
          </w:p>
        </w:tc>
      </w:tr>
      <w:tr>
        <w:trPr>
          <w:trHeight w:val="710" w:hRule="atLeast"/>
        </w:trPr>
        <w:tc>
          <w:tcPr>
            <w:tcW w:w="2649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</m:oMath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oMath>
          </w:p>
        </w:tc>
        <w:tc>
          <w:tcPr>
            <w:tcW w:w="9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oMath>
          </w:p>
        </w:tc>
        <w:tc>
          <w:tcPr>
            <w:tcW w:w="9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oMath>
          </w:p>
        </w:tc>
        <w:tc>
          <w:tcPr>
            <w:tcW w:w="11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d>
            </m:oMath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oMath>
          </w:p>
        </w:tc>
        <w:tc>
          <w:tcPr>
            <w:tcW w:w="14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874" w:hRule="atLeast"/>
        </w:trPr>
        <w:tc>
          <w:tcPr>
            <w:tcW w:w="155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μ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=0.5</w:t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=0.5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  <w:p>
            <w:pPr>
              <w:pStyle w:val="Style19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0.0102</w:t>
            </w:r>
          </w:p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0.1835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0.1017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0.0151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0.0603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0.0032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1.0013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73" w:hRule="atLeast"/>
        </w:trPr>
        <w:tc>
          <w:tcPr>
            <w:tcW w:w="155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0.0191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0.0033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0.0028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0.000002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0.000078</w:t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1.0000009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840" w:hRule="atLeast"/>
        </w:trPr>
        <w:tc>
          <w:tcPr>
            <w:tcW w:w="155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=50</w:t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0.0358</w:t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0.0004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0.0011</w:t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0.0002</w:t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0.00068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1.0000002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155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μ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=10</w:t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=0.5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0.2345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0.0481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0.2704</w:t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2.2832</w:t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4.5714</w:t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1.9830</w:t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2.1042</w:t>
            </w:r>
          </w:p>
        </w:tc>
      </w:tr>
      <w:tr>
        <w:trPr/>
        <w:tc>
          <w:tcPr>
            <w:tcW w:w="155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0.8089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0.0658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0.0228</w:t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0.0031</w:t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0.0066</w:t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0.1331</w:t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1.000406</w:t>
            </w:r>
          </w:p>
        </w:tc>
      </w:tr>
      <w:tr>
        <w:trPr/>
        <w:tc>
          <w:tcPr>
            <w:tcW w:w="155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1.6631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0.0152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0.0283</w:t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0.0250</w:t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0.0232</w:t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0.5582</w:t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spacing w:lineRule="auto" w:line="240" w:before="0" w:after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1.000059</w:t>
            </w:r>
          </w:p>
        </w:tc>
      </w:tr>
      <w:tr>
        <w:trPr/>
        <w:tc>
          <w:tcPr>
            <w:tcW w:w="155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μ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=20</w:t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=0.5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1.904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5.114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9.5994</w:t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2.5914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2.142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25.3007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3.0654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155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0.631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0.0802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0.1651</w:t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0.1506</w:t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0.01961</w:t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0.09493</w:t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1.0017</w:t>
            </w:r>
          </w:p>
        </w:tc>
      </w:tr>
      <w:tr>
        <w:trPr/>
        <w:tc>
          <w:tcPr>
            <w:tcW w:w="155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1.6664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0.0044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0.0576</w:t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widowControl/>
              <w:pBdr/>
              <w:shd w:fill="FFFFFF" w:val="clear"/>
              <w:spacing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0.0218</w:t>
            </w:r>
          </w:p>
          <w:p>
            <w:pPr>
              <w:pStyle w:val="HTMLPreformatted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0.0071</w:t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0.5547</w:t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1.0001580</w:t>
            </w:r>
          </w:p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μ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=0.5</w:t>
            </w:r>
          </w:p>
        </w:tc>
        <w:tc>
          <w:tcPr>
            <w:tcW w:w="1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σ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2.9726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0.000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0.000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0.001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60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0.0002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1391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1.7673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416" w:type="dxa"/>
            <w:tcBorders/>
          </w:tcPr>
          <w:p>
            <w:pPr>
              <w:pStyle w:val="HTMLPreformatted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Style19"/>
              <w:shd w:val="clear" w:color="auto" w:fill="FFFFFF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1.00000011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 полученных результатов видно, что оценки параметров достаточно точны в случаях, когда дисперсия шума меньше дисперсии входных параметров. При одинаковой дисперсии входных параметров оценки точнее при меньших значениях дисперсии шума.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Математическое ожидание шума уменьшило точность оценки свободного члена, но при этом точность оценки остальных параметров осталась высокой.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Модель становится неадекватной тестовому объекту в случаях, когда дисперсия шума больше дисперсии входных параметров.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2bd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a013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602bd4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ahoma" w:eastAsiaTheme="minorHAnsi"/>
      <w:color w:val="auto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Standard"/>
    <w:qFormat/>
    <w:rsid w:val="00602bd4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2a01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02b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LibreOffice/6.4.6.2$Linux_X86_64 LibreOffice_project/40$Build-2</Application>
  <Pages>4</Pages>
  <Words>330</Words>
  <Characters>2320</Characters>
  <CharactersWithSpaces>2707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2020-10-28T10:13:00Z</dcterms:created>
  <dc:creator>леонид</dc:creator>
  <dc:description/>
  <dc:language>ru-RU</dc:language>
  <cp:lastModifiedBy/>
  <dcterms:modified xsi:type="dcterms:W3CDTF">2020-12-29T16:22:39Z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