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13D8B" w14:textId="77777777" w:rsidR="00162921" w:rsidRDefault="00000000">
      <w:pPr>
        <w:pStyle w:val="Heading1"/>
      </w:pPr>
      <w:bookmarkStart w:id="0" w:name="Xa490b437f1d2b3c94cce076c47895053d2e3118"/>
      <w:r>
        <w:t>The fairness methods that win benchmarks cannot be deployed: a lifecycle evaluation of 26 bias mitigation methods in healthcare AI</w:t>
      </w:r>
    </w:p>
    <w:p w14:paraId="35E2D96F" w14:textId="58A0D44F" w:rsidR="00162921" w:rsidRDefault="00000000">
      <w:pPr>
        <w:pStyle w:val="FirstParagraph"/>
      </w:pPr>
      <w:r>
        <w:rPr>
          <w:i/>
          <w:iCs/>
        </w:rPr>
        <w:t>Short title: Benchmark-winning fairness methods cannot be deployed</w:t>
      </w:r>
    </w:p>
    <w:p w14:paraId="5ABC4C4B" w14:textId="77777777" w:rsidR="00162921" w:rsidRDefault="00000000">
      <w:pPr>
        <w:pStyle w:val="BodyText"/>
      </w:pPr>
      <w:r>
        <w:t>[Author 1]¹, [Author 2]², [Author 3]¹·³*</w:t>
      </w:r>
    </w:p>
    <w:p w14:paraId="04C7B257" w14:textId="77777777" w:rsidR="00162921" w:rsidRDefault="00000000">
      <w:pPr>
        <w:pStyle w:val="BodyText"/>
      </w:pPr>
      <w:r>
        <w:t>¹ [Affiliation 1]</w:t>
      </w:r>
    </w:p>
    <w:p w14:paraId="7C1165F4" w14:textId="77777777" w:rsidR="00162921" w:rsidRDefault="00000000">
      <w:pPr>
        <w:pStyle w:val="BodyText"/>
      </w:pPr>
      <w:r>
        <w:t>² [Affiliation 2]</w:t>
      </w:r>
    </w:p>
    <w:p w14:paraId="4281443E" w14:textId="77777777" w:rsidR="00162921" w:rsidRDefault="00000000">
      <w:pPr>
        <w:pStyle w:val="BodyText"/>
      </w:pPr>
      <w:r>
        <w:t>³ [Affiliation 3]</w:t>
      </w:r>
    </w:p>
    <w:p w14:paraId="7423C913" w14:textId="77777777" w:rsidR="00162921" w:rsidRDefault="00000000">
      <w:pPr>
        <w:pStyle w:val="Compact"/>
        <w:numPr>
          <w:ilvl w:val="0"/>
          <w:numId w:val="2"/>
        </w:numPr>
      </w:pPr>
      <w:r>
        <w:t>Corresponding author: [email@institution.edu]</w:t>
      </w:r>
    </w:p>
    <w:p w14:paraId="1BE5D3D8" w14:textId="77777777" w:rsidR="00162921" w:rsidRDefault="00000000">
      <w:pPr>
        <w:pStyle w:val="Heading1"/>
      </w:pPr>
      <w:bookmarkStart w:id="1" w:name="abstract"/>
      <w:bookmarkEnd w:id="0"/>
      <w:r>
        <w:t>Abstract</w:t>
      </w:r>
    </w:p>
    <w:p w14:paraId="5AFCB532" w14:textId="281A3A4D" w:rsidR="00162921" w:rsidRDefault="00000000">
      <w:pPr>
        <w:pStyle w:val="FirstParagraph"/>
      </w:pPr>
      <w:r>
        <w:t>The algorithmic fairness field evaluates bias mitigation methods by benchmark performance — how much they reduce group disparities in held-out evaluation, and at what accuracy cost. We show that benchmark performance is a misleading guide to deployable fairness. Using data from 51,720 respondents from the Survey of Health, Ageing and Retirement in Europe (SHARE Wave 9), we benchmark 26 bias mitigation methods on four health outcomes for older adults — depression (EURO-D), life satisfaction, quality of life (CASP-12), and self-rated health (SRH) — and then subject each method to a ten-stage lifecycle evaluation incorporating deployability under European data protection law, accuracy preservation, cross-fold stability, calibration integrity, and threshold robustness. Baseline models exhibit true positive rate (TPR) gaps of 17–30 percentage points between the lowest- and highest-income quintiles. Post-processing methods achieve the strongest benchmark performance (up to 90% gap reduction at zero accuracy cost), and a benchmark-only study would recommend them. However, all six post-processing methods require protected-attribute information at prediction time to apply group-conditional decision rules. In many European healthcare settings, this is difficult to operationalise and may conflict with the GDPR’s data-minimisation principle. Of 26 methods, only 3 survive the full lifecycle: ExpGrad_TPR, ExpGrad_EO, and Reweighing — none of which a benchmark study would have ranked first. The two strongest survivors achieve 86–94% disparity reductions at 1–3 percentage points of AUROC cost, with a projected impact of approximately 1,723 additional correct identifications per screening wave. The methods that win benchmarks are often impractical to deploy; the methods that are deployable are rarely benchmark winners. Fairness is not a model property measured at the benchmark — it is a lifecycle property that must be evaluated end-to-end.</w:t>
      </w:r>
    </w:p>
    <w:p w14:paraId="2BC0340E" w14:textId="77777777" w:rsidR="00162921" w:rsidRDefault="00000000">
      <w:pPr>
        <w:pStyle w:val="Heading1"/>
      </w:pPr>
      <w:bookmarkStart w:id="15" w:name="author-summary"/>
      <w:bookmarkEnd w:id="1"/>
      <w:r>
        <w:t>Author summary</w:t>
      </w:r>
    </w:p>
    <w:p w14:paraId="0799BE5A" w14:textId="77777777" w:rsidR="00162921" w:rsidRDefault="00000000">
      <w:pPr>
        <w:pStyle w:val="FirstParagraph"/>
      </w:pPr>
      <w:r>
        <w:t>When AI models screen older adults for depression or poor health, they can systematically miss cases in certain income groups. The fairness field has developed dozens of correction methods, and the standard way to choose among them is to test which achieves the best fairness scores on benchmark data. We show that this standard approach is a misleading guide to real-world deployment. The methods that score best in benchmarks — post-processing approaches — require knowing each patient’s income at every prediction to apply group-specific decision rules, which is difficult to operationalise in European healthcare settings and may conflict with data protection requirements. We tested 26 methods through a ten-stage lifecycle evaluation and found that only 3 survived all requirements for deployment. None of these three would have been recommended by a benchmark-only study. The two strongest survivors reduce income-based detection gaps by 86–94% while barely affecting accuracy. Fairness is not just a property of a model measured in the laboratory — it is a property of the full deployment lifecycle that must be evaluated end-to-end.</w:t>
      </w:r>
    </w:p>
    <w:p w14:paraId="30283E31" w14:textId="77777777" w:rsidR="00162921" w:rsidRDefault="00000000">
      <w:pPr>
        <w:pStyle w:val="Heading1"/>
      </w:pPr>
      <w:bookmarkStart w:id="16" w:name="introduction"/>
      <w:bookmarkEnd w:id="15"/>
      <w:r>
        <w:t>Introduction</w:t>
      </w:r>
    </w:p>
    <w:p w14:paraId="12E699D2" w14:textId="77777777" w:rsidR="00162921" w:rsidRDefault="00000000">
      <w:pPr>
        <w:pStyle w:val="FirstParagraph"/>
      </w:pPr>
      <w:r>
        <w:t>Machine learning models for predicting health outcomes in older adults are entering clinical use across Europe [1–3]. These models enable population-scale screening for depression, poor quality of life, and functional decline — conditions affecting over 30% of Europeans aged 50 and older, with a burden that falls disproportionately on the economically disadvantaged [4–5]. A growing body of evidence demonstrates that such models can inherit and amplify the disparities they are intended to address. Obermeyer and colleagues showed that a widely used algorithm systematically underestimated the health needs of Black patients [6], and subsequent work has revealed that socioeconomic status produces similarly pernicious biases in health prediction that remain critically understudied [7–8].</w:t>
      </w:r>
    </w:p>
    <w:p w14:paraId="33A7D3B9" w14:textId="77777777" w:rsidR="00162921" w:rsidRDefault="00000000">
      <w:pPr>
        <w:pStyle w:val="BodyText"/>
      </w:pPr>
      <w:r>
        <w:t>In response, the algorithmic fairness field has developed a rich toolkit of bias mitigation methods. Pre-processing methods reweight or transform training data. In-processing methods embed fairness constraints into the learning objective. Post-processing methods adjust model outputs after training. These methods are typically evaluated by their performance on benchmark data: a method that achieves the largest reduction in a fairness metric (such as the true positive rate gap) with the smallest loss in predictive accuracy is considered the best method. This benchmark evaluation paradigm underlies every major fairness toolkit [9–10], every comparative benchmark study [11–16], and every clinical fairness audit that reports metric improvements as evidence of ‘effective’ bias correction.</w:t>
      </w:r>
    </w:p>
    <w:p w14:paraId="48723028" w14:textId="77777777" w:rsidR="00162921" w:rsidRDefault="00000000">
      <w:pPr>
        <w:pStyle w:val="BodyText"/>
      </w:pPr>
      <w:r>
        <w:lastRenderedPageBreak/>
        <w:t>We challenge this paradigm. We argue that benchmark evaluation systematically misidentifies the best fairness methods for clinical deployment, because the methods that achieve the strongest metric improvements are precisely those that cannot survive real-world deployment constraints. The core problem is that benchmark evaluations operate in a vacuum: they assess what a method achieves under idealised conditions where the protected attribute is always available, computational cost is irrelevant, calibration is not checked, and regulatory constraints do not apply. In real-world healthcare deployment, none of these assumptions hold. A method that requires the protected attribute at every prediction faces the General Data Protection Regulation’s data minimisation requirement (Article 5(1)(c)), which prohibits collecting data beyond what is necessary for the specified purpose [17]. A method that achieves perfect fairness but destroys calibration may cause more clinical harm than the bias it corrects [18]. A method that works in three of five cross-validation folds but fails in the other two would be rejected by any regulator applying the FDA’s Good Machine Learning Practice Guiding Principles, which require ‘device repeatability and reproducibility’ [19]. These are not edge cases; they are the standard conditions of clinical deployment. Yet none are captured by benchmark evaluation.</w:t>
      </w:r>
    </w:p>
    <w:p w14:paraId="5FAE411A" w14:textId="77777777" w:rsidR="00162921" w:rsidRDefault="00000000">
      <w:pPr>
        <w:pStyle w:val="BodyText"/>
      </w:pPr>
      <w:r>
        <w:t>The European regulatory landscape makes this mismatch particularly consequential. The EU AI Act classifies healthcare AI systems as high-risk [20–21] and mandates both bias examination (Article 10(2)(f)) and mitigation measures (Article 10(2)(g)). Critically, Article 10(5) permits processing special categories of personal data for bias correction during training — but no equivalent provision exists for inference-time processing [20,22–23]. For protected attributes that are not special category data — such as the income quintile used in our study — the GDPR’s data minimisation principle (Article 5(1)(c)) creates an analogous constraint: if fairness can be achieved without the attribute at inference, requiring it may be difficult to justify under minimisation. This regulatory asymmetry creates a direct, legally grounded filter between methods that embed fairness into model parameters during training and methods that require ongoing access to protected attributes at deployment. A benchmark evaluation cannot see this filter. A lifecycle evaluation can.</w:t>
      </w:r>
    </w:p>
    <w:p w14:paraId="3B0462BB" w14:textId="77777777" w:rsidR="00162921" w:rsidRDefault="00000000">
      <w:pPr>
        <w:pStyle w:val="BodyText"/>
      </w:pPr>
      <w:r>
        <w:lastRenderedPageBreak/>
        <w:t>To demonstrate the magnitude of this misidentification, we conduct one of the largest healthcare fairness benchmarks to date: 26 methods across four health outcomes for 51,720 older Europeans in SHARE Wave 9. We then apply a ten-stage lifecycle evaluation framework that subjects each method to deployment-readiness criteria grounded in clinical evidence, statistical standards, and European data protection law. The lifecycle framework is not a standalone contribution; it is the lens that makes the benchmark-deployment mismatch visible. Our central finding is stark: the methods that rank highest on benchmark metrics are precisely those eliminated earliest by deployment criteria, and the methods that survive deployment would not have been the benchmark’s top recommendations. The consequence of choosing by benchmark alone is measurable in patients: the difference between a deployable and non-deployable recommendation corresponds to a projected 1,723 additional correct identifications per screening wave. Fairness is not a model property measured at the benchmark — it is a lifecycle property that must be evaluated end-to-end.</w:t>
      </w:r>
    </w:p>
    <w:p w14:paraId="324C6312" w14:textId="77777777" w:rsidR="00162921" w:rsidRDefault="00000000">
      <w:pPr>
        <w:pStyle w:val="Heading1"/>
      </w:pPr>
      <w:bookmarkStart w:id="17" w:name="materials-and-methods"/>
      <w:bookmarkEnd w:id="16"/>
      <w:r>
        <w:t>Materials and methods</w:t>
      </w:r>
    </w:p>
    <w:p w14:paraId="378179CA" w14:textId="77777777" w:rsidR="00162921" w:rsidRDefault="00000000">
      <w:pPr>
        <w:pStyle w:val="Heading2"/>
      </w:pPr>
      <w:bookmarkStart w:id="18" w:name="ethics-statement"/>
      <w:r>
        <w:t>Ethics statement</w:t>
      </w:r>
    </w:p>
    <w:p w14:paraId="7D2A0276" w14:textId="77777777" w:rsidR="00162921" w:rsidRDefault="00000000">
      <w:pPr>
        <w:pStyle w:val="FirstParagraph"/>
      </w:pPr>
      <w:r>
        <w:t>This study used de-identified secondary data from SHARE Wave 9 (release 9.0.0, DOI: 10.6103/SHARE.w9.900). SHARE data collection was approved by the ethics committee of the Max Planck Society and by ethics review boards in each participating country. All participants provided written informed consent. Our analysis of de-identified data was exempt from additional institutional review board approval.</w:t>
      </w:r>
    </w:p>
    <w:p w14:paraId="4FAD5F07" w14:textId="77777777" w:rsidR="00162921" w:rsidRDefault="00000000">
      <w:pPr>
        <w:pStyle w:val="Heading2"/>
      </w:pPr>
      <w:bookmarkStart w:id="19" w:name="study-design-overview"/>
      <w:bookmarkEnd w:id="18"/>
      <w:r>
        <w:lastRenderedPageBreak/>
        <w:t>Study design overview</w:t>
      </w:r>
    </w:p>
    <w:p w14:paraId="49237A9E" w14:textId="77777777" w:rsidR="00162921" w:rsidRDefault="00000000">
      <w:pPr>
        <w:pStyle w:val="FirstParagraph"/>
      </w:pPr>
      <w:r>
        <w:t>Our study design has two phases. Phase 1 is a standard fairness benchmark: we train 26 bias mitigation methods across four health outcomes and evaluate them using standard fairness and accuracy metrics in five-fold cross-validation. Phase 2 applies a lifecycle evaluation framework that subjects each method to ten successive deployment-readiness stages. The design is structured to make the gap between benchmark ranking and deployment readiness visible: Phase 1 produces the ranking a standard study would report, and Phase 2 reveals which of those rankings survive contact with deployment reality.</w:t>
      </w:r>
    </w:p>
    <w:p w14:paraId="7123C887" w14:textId="77777777" w:rsidR="00162921" w:rsidRDefault="00000000">
      <w:pPr>
        <w:pStyle w:val="Heading2"/>
      </w:pPr>
      <w:bookmarkStart w:id="20" w:name="study-population-and-data-source"/>
      <w:bookmarkEnd w:id="19"/>
      <w:r>
        <w:t>Study population and data source</w:t>
      </w:r>
    </w:p>
    <w:p w14:paraId="04D0C7AD" w14:textId="77777777" w:rsidR="00162921" w:rsidRDefault="00000000">
      <w:pPr>
        <w:pStyle w:val="FirstParagraph"/>
      </w:pPr>
      <w:r>
        <w:t>We used data from Wave 9 (2021–2022) of the Survey of Health, Ageing and Retirement in Europe (SHARE), a cross-national longitudinal study covering 27 European countries and Israel [24]. Our analytic sample drew respondents from five country groupings within SHARE. After excluding respondents with missing income data and applying quality filters, our sample comprised 51,720 respondents aged 50 and older. We used 175 predictor features spanning demographics, physical and mental health, cognitive function, social networks, housing conditions, and employment status (S5 Table).</w:t>
      </w:r>
    </w:p>
    <w:p w14:paraId="5888E939" w14:textId="77777777" w:rsidR="00162921" w:rsidRDefault="00000000">
      <w:pPr>
        <w:pStyle w:val="Heading2"/>
      </w:pPr>
      <w:bookmarkStart w:id="21" w:name="health-outcomes"/>
      <w:bookmarkEnd w:id="20"/>
      <w:r>
        <w:t>Health outcomes</w:t>
      </w:r>
    </w:p>
    <w:p w14:paraId="17682473" w14:textId="77777777" w:rsidR="00162921" w:rsidRDefault="00000000">
      <w:pPr>
        <w:pStyle w:val="FirstParagraph"/>
      </w:pPr>
      <w:r>
        <w:t xml:space="preserve">We predicted four binary outcomes representing distinct dimensions of wellbeing. EURO-D depression was defined as a score ≥4 on the 12-item scale [25] (prevalence: 26.3%). Life satisfaction was dichotomised at the median of a 0–10 scale (29.9%). Quality of life was measured using CASP-12 [26], dichotomised at the median (29.1%). Self-rated health was classified as poor/fair versus good or better [27] (36.3%). These four outcomes capture </w:t>
        <w:lastRenderedPageBreak/>
        <w:t>complementary dimensions of health and exhibit different socioeconomic gradients, enabling us to test whether the divergence between benchmark and deployment rankings holds across outcome types.</w:t>
      </w:r>
    </w:p>
    <w:p w14:paraId="114B031B" w14:textId="77777777" w:rsidR="00162921" w:rsidRDefault="00000000">
      <w:pPr>
        <w:pStyle w:val="Heading2"/>
      </w:pPr>
      <w:bookmarkStart w:id="22" w:name="protected-attribute"/>
      <w:bookmarkEnd w:id="21"/>
      <w:r>
        <w:t>Protected attribute</w:t>
      </w:r>
    </w:p>
    <w:p w14:paraId="05C2E68C" w14:textId="77777777" w:rsidR="00162921" w:rsidRDefault="00000000">
      <w:pPr>
        <w:pStyle w:val="FirstParagraph"/>
      </w:pPr>
      <w:r>
        <w:t>Household income quintile (Q1 = lowest to Q5 = highest) served as the protected attribute, computed from total household income adjusted using the OECD-modified equivalence scale. Quintiles provided balanced group sizes (N = 10,123–10,500 per group). Our primary fairness metric was the absolute difference in true positive rate (TPR) between Q1 and Q5. Secondary metrics included the equalised odds gap, demographic parity gap, and between-group AUROC gap.</w:t>
      </w:r>
    </w:p>
    <w:p w14:paraId="21134421" w14:textId="77777777" w:rsidR="00162921" w:rsidRDefault="00000000">
      <w:pPr>
        <w:pStyle w:val="Heading2"/>
      </w:pPr>
      <w:bookmarkStart w:id="23" w:name="phase-1-benchmark-evaluation"/>
      <w:bookmarkEnd w:id="22"/>
      <w:r>
        <w:t>Phase 1: Benchmark evaluation</w:t>
      </w:r>
    </w:p>
    <w:p w14:paraId="7B297376" w14:textId="77777777" w:rsidR="00162921" w:rsidRDefault="00000000">
      <w:pPr>
        <w:pStyle w:val="FirstParagraph"/>
      </w:pPr>
      <w:r>
        <w:t>All methods were compared against a LightGBM baseline [28], selected for computational efficiency and strong tabular data performance (feature importance analysis in S3 Fig). Hyperparameters were tuned via Bayesian optimisation. The baseline included income quintile as an input feature but imposed no fairness constraints. Evaluation used five-fold stratified cross-validation preserving outcome and quintile proportions.</w:t>
      </w:r>
    </w:p>
    <w:p w14:paraId="003F6F08" w14:textId="77777777" w:rsidR="00162921" w:rsidRDefault="00000000">
      <w:pPr>
        <w:pStyle w:val="BodyText"/>
      </w:pPr>
      <w:r>
        <w:t xml:space="preserve">We evaluated 26 methods in four categories using AI Fairness 360 [9], Fairlearn [10], and custom implementations. Pre-processing (n = 5): Reweighing [29], Disparate Impact Remover (DIR) [30], Learning Fair Representations (LFR) [31], Correlation Remover [10], and Sample Reweighting. In-processing (n = 13): Exponentiated Gradient with demographic parity, equalised odds, and TPR parity constraints (ExpGrad_DP, ExpGrad_EO, ExpGrad_TPR) [32], GridSearch </w:t>
        <w:lastRenderedPageBreak/>
        <w:t>with TPR and equalised odds constraints [32], Adversarial Debiasing [33], FairGBM [34], FairConstraints [35], Decoupled Classifier [36], GerryFair Classifier [37], Just Train Twice (JTT) [38], Group Distributionally Robust Optimisation (GroupDRO) [39], and Prejudice Remover [40]. Post-processing (n = 6): Threshold Optimisation for TPR parity, equalised odds, and demographic parity (ThreshOpt_TPR, ThreshOpt_EO, ThreshOpt_DP) [41], Equalised Odds Post-Processing (EqOdds_PP) [41], Reject Option Classification [42], and Group Calibration [43]. Data augmentation (n = 2): Conditional Tabular GAN (CTGAN) [44] and FairSMOTE [45].</w:t>
      </w:r>
    </w:p>
    <w:p w14:paraId="1C932E72" w14:textId="77777777" w:rsidR="00162921" w:rsidRDefault="00000000">
      <w:pPr>
        <w:pStyle w:val="Heading2"/>
      </w:pPr>
      <w:bookmarkStart w:id="24" w:name="phase-2-lifecycle-evaluation"/>
      <w:bookmarkEnd w:id="23"/>
      <w:r>
        <w:t>Phase 2: Lifecycle evaluation</w:t>
      </w:r>
    </w:p>
    <w:p w14:paraId="55698928" w14:textId="77777777" w:rsidR="00162921" w:rsidRDefault="00000000">
      <w:pPr>
        <w:pStyle w:val="FirstParagraph"/>
      </w:pPr>
      <w:r>
        <w:t>The lifecycle framework subjects each method to ten successive deployment-readiness stages. A method must pass all stages to be recommended for deployment. Stages 1–5 are directly evaluated from our cross-validation results. Stages 6–8 use secondary metrics from the same evaluation addressing deployment-adjacent concerns. Stage 9 applies an external regulatory constraint. Stage 10 projects the clinical impact of survivors under stated assumptions. In the Results, we apply stages in order of elimination power rather than numerical sequence to make the progressive filtering most visible; all methods must ultimately pass all stages regardless of application order.</w:t>
      </w:r>
    </w:p>
    <w:p w14:paraId="4CBF9F2B" w14:textId="77777777" w:rsidR="00162921" w:rsidRDefault="00000000">
      <w:pPr>
        <w:pStyle w:val="BodyText"/>
      </w:pPr>
      <w:r>
        <w:rPr>
          <w:b/>
          <w:bCs/>
        </w:rPr>
        <w:t>Stage 1 (Data characterisation)</w:t>
      </w:r>
      <w:r>
        <w:t xml:space="preserve"> and </w:t>
      </w:r>
      <w:r>
        <w:rPr>
          <w:b/>
          <w:bCs/>
        </w:rPr>
        <w:t>Stage 2 (Baseline model)</w:t>
      </w:r>
      <w:r>
        <w:t>: Quantify baseline income-based disparities across outcomes and income groups.</w:t>
      </w:r>
    </w:p>
    <w:p w14:paraId="6E4A1414" w14:textId="77777777" w:rsidR="00162921" w:rsidRDefault="00000000">
      <w:pPr>
        <w:pStyle w:val="BodyText"/>
      </w:pPr>
      <w:r>
        <w:rPr>
          <w:b/>
          <w:bCs/>
        </w:rPr>
        <w:t>Stage 3 (Effectiveness)</w:t>
      </w:r>
      <w:r>
        <w:t>: The method must reduce the TPR gap on at least three of four outcomes. Methods that increase disparity are counterproductive and excluded.</w:t>
      </w:r>
    </w:p>
    <w:p w14:paraId="2AF12CD7" w14:textId="77777777" w:rsidR="00162921" w:rsidRDefault="00000000">
      <w:pPr>
        <w:pStyle w:val="BodyText"/>
      </w:pPr>
      <w:r>
        <w:rPr>
          <w:b/>
          <w:bCs/>
        </w:rPr>
        <w:lastRenderedPageBreak/>
        <w:t>Stage 4 (Accuracy preservation)</w:t>
      </w:r>
      <w:r>
        <w:t>: AUROC must not drop more than 3 percentage points from baseline on any outcome. This threshold is grounded in three convergent lines of evidence: the Hosmer-Lemeshow classification [46], where a 0.03-point reduction keeps models within the same qualitative tier — a tier system acknowledged as arbitrary by Van Calster and colleagues [47]; empirical fairness-accuracy studies reporting negligible trade-offs below this level, with Rodolfa and colleagues observing drops typically below 0.01 across four public-policy domains [48]; and the threshold’s conservatism relative to the 0.05 non-inferiority margins used in clinical AI validation [49] and the approximately 3.2% subgroup AUC variation accepted in the CMS AI Health Outcomes Challenge [50]. A 0.03 threshold preserves clinical utility: established mental health screening instruments for older adults achieve AUROCs of 0.85–0.92 [51–52], and a 0.03-point reduction from our baseline models (AUROC 0.80–0.89) keeps performance above the 0.80 threshold generally considered clinically useful [53].</w:t>
      </w:r>
    </w:p>
    <w:p w14:paraId="01520B67" w14:textId="77777777" w:rsidR="00162921" w:rsidRDefault="00000000">
      <w:pPr>
        <w:pStyle w:val="BodyText"/>
      </w:pPr>
      <w:r>
        <w:rPr>
          <w:b/>
          <w:bCs/>
        </w:rPr>
        <w:t>Stage 5 (Stability)</w:t>
      </w:r>
      <w:r>
        <w:t>: The method must improve fairness in at least four of five cross-validation folds for all four outcomes (sign test ≥ 4/5). This operationalises the reproducibility requirements of the TRIPOD+AI reporting statement [54] and aligns with PROBAST recommendations for assessing internal validation adequacy [55]. Under the null hypothesis of no improvement, the probability of observing ≥4 positive folds by chance is approximately 0.19 (one-sided), providing a practical filter against methods whose benefit is driven by a single favourable data split.</w:t>
      </w:r>
    </w:p>
    <w:p w14:paraId="438C12FC" w14:textId="77777777" w:rsidR="00162921" w:rsidRDefault="00000000">
      <w:pPr>
        <w:pStyle w:val="BodyText"/>
      </w:pPr>
      <w:r>
        <w:rPr>
          <w:b/>
          <w:bCs/>
        </w:rPr>
        <w:t>Stage 6 (Computational feasibility)</w:t>
      </w:r>
      <w:r>
        <w:t>: Training time must be practical for periodic retraining (&lt;30 minutes per outcome).</w:t>
      </w:r>
    </w:p>
    <w:p w14:paraId="6FC11999" w14:textId="77777777" w:rsidR="00162921" w:rsidRDefault="00000000">
      <w:pPr>
        <w:pStyle w:val="BodyText"/>
      </w:pPr>
      <w:r>
        <w:rPr>
          <w:b/>
          <w:bCs/>
        </w:rPr>
        <w:t>Stage 7 (Calibration)</w:t>
      </w:r>
      <w:r>
        <w:t xml:space="preserve">: Brier score increase must remain below 0.03 from baseline. No universal Brier score threshold exists [56], but Pfohl and colleagues demonstrated that fairness constraints </w:t>
        <w:lastRenderedPageBreak/>
        <w:t>can distort calibration in clinically meaningful ways [18], motivating explicit monitoring. We adopt a relative standard consistent with Van Calster and colleagues’ characterisation of calibration as context-dependent [57].</w:t>
      </w:r>
    </w:p>
    <w:p w14:paraId="5DFFF5E5" w14:textId="77777777" w:rsidR="00162921" w:rsidRDefault="00000000">
      <w:pPr>
        <w:pStyle w:val="BodyText"/>
      </w:pPr>
      <w:r>
        <w:rPr>
          <w:b/>
          <w:bCs/>
        </w:rPr>
        <w:t>Stage 8 (Threshold robustness)</w:t>
      </w:r>
      <w:r>
        <w:t>: Fairness improvement must persist across four threshold strategies (balanced accuracy, sensitivity ≥70%, prevalence-matched, fixed 0.5).</w:t>
      </w:r>
    </w:p>
    <w:p w14:paraId="3F894103" w14:textId="77777777" w:rsidR="00162921" w:rsidRDefault="00000000">
      <w:pPr>
        <w:pStyle w:val="BodyText"/>
      </w:pPr>
      <w:r>
        <w:rPr>
          <w:b/>
          <w:bCs/>
        </w:rPr>
        <w:t>Stage 9 (Regulatory compliance)</w:t>
      </w:r>
      <w:r>
        <w:t>: The method must not require the protected attribute at inference time. The primary legal basis for this criterion is GDPR data minimisation (Article 5(1)(c)): if fairness can be achieved without the protected attribute at inference, collecting it may be difficult to justify under the minimisation principle. Veale and Binns established that requiring sensitive data collection for fairness correction contradicts data minimisation principles [58], and the European Data Protection Board’s Opinion 28/2024 confirmed that such processing is permissible only when ‘clearly and specifically identified within the purpose’ [59]. When the protected attribute is special category data (e.g., race, ethnicity, or health status), Article 9(1) of the GDPR and the EU AI Act’s Article 10(5) training-only exception for bias correction impose additional restrictions [17,20,23,58].</w:t>
      </w:r>
    </w:p>
    <w:p w14:paraId="0F8FDC5F" w14:textId="77777777" w:rsidR="00162921" w:rsidRDefault="00000000">
      <w:pPr>
        <w:pStyle w:val="BodyText"/>
      </w:pPr>
      <w:r>
        <w:rPr>
          <w:b/>
          <w:bCs/>
        </w:rPr>
        <w:t>Stage 10 (Clinical deployment)</w:t>
      </w:r>
      <w:r>
        <w:t>: Surviving methods are translated into projected patient-level impact estimates.</w:t>
      </w:r>
    </w:p>
    <w:p w14:paraId="1D05D88B" w14:textId="77777777" w:rsidR="00162921" w:rsidRDefault="00000000">
      <w:pPr>
        <w:pStyle w:val="BodyText"/>
      </w:pPr>
      <w:r>
        <w:t>We note that the specific thresholds at each stage involve informed judgment grounded in the evidence cited above. To assess sensitivity, we report results for alternative thresholds (relaxed accuracy ≤0.05, stricter fairness ≥50%) in supplementary materials. The contribution is the progressive filtering structure, not any individual threshold; other researchers and health systems may calibrate thresholds to their regulatory and clinical contexts, consistent with the EU AI Act’s delegation of threshold-setting to providers under Article 9(8) [20].</w:t>
      </w:r>
    </w:p>
    <w:p w14:paraId="04511089" w14:textId="77777777" w:rsidR="00162921" w:rsidRDefault="00000000">
      <w:pPr>
        <w:pStyle w:val="Heading2"/>
      </w:pPr>
      <w:bookmarkStart w:id="25" w:name="clinical-impact-projection"/>
      <w:bookmarkEnd w:id="24"/>
      <w:r>
        <w:lastRenderedPageBreak/>
        <w:t>Clinical impact projection</w:t>
      </w:r>
    </w:p>
    <w:p w14:paraId="34F4088D" w14:textId="77777777" w:rsidR="00162921" w:rsidRDefault="00000000">
      <w:pPr>
        <w:pStyle w:val="FirstParagraph"/>
      </w:pPr>
      <w:r>
        <w:t>For surviving methods, we projected potential clinical impact by translating TPR gap reductions into estimated additional correct identifications per screening wave: additional identifications = (baseline TPR gap − method TPR gap) × N₅(positive), where N₅(positive) is the number of Q5 individuals with the condition. These projections assume that cross-validation performance generalises to a deployed screening setting; real-world impact would depend on population characteristics, distribution shift, and implementation fidelity.</w:t>
      </w:r>
    </w:p>
    <w:p w14:paraId="10F8C638" w14:textId="77777777" w:rsidR="00162921" w:rsidRDefault="00000000">
      <w:pPr>
        <w:pStyle w:val="Heading1"/>
      </w:pPr>
      <w:bookmarkStart w:id="26" w:name="results"/>
      <w:bookmarkEnd w:id="17"/>
      <w:bookmarkEnd w:id="25"/>
      <w:r>
        <w:t>Results</w:t>
      </w:r>
    </w:p>
    <w:p w14:paraId="32D90047" w14:textId="77777777" w:rsidR="00162921" w:rsidRDefault="00000000">
      <w:pPr>
        <w:pStyle w:val="Heading2"/>
      </w:pPr>
      <w:bookmarkStart w:id="27" w:name="X1cad7b03c62bd78a413e8558968d57c9d4878a5"/>
      <w:r>
        <w:t>The benchmark ranking: post-processing methods appear to win</w:t>
      </w:r>
    </w:p>
    <w:p w14:paraId="49EC6488" w14:textId="77777777" w:rsidR="00162921" w:rsidRDefault="00000000">
      <w:pPr>
        <w:pStyle w:val="FirstParagraph"/>
      </w:pPr>
      <w:r>
        <w:t>Baseline models achieved strong overall discrimination (AUROC: EUROD 0.830, LS 0.805, CASP 0.883, SRH 0.893) but exhibited substantial TPR gaps between income groups: 0.167 for depression, 0.301 for life satisfaction, 0.280 for quality of life, and 0.181 for self-rated health (Table 1). These gaps were consistent across all cross-validation folds and all four threshold strategies (S2 Table), confirming that the disparity is encoded in the model’s learned representations rather than an artifact of threshold choice. Income-stratified ROC curves are shown in S2 Fig.</w:t>
      </w:r>
    </w:p>
    <w:p w14:paraId="0CD98CDA" w14:textId="77777777" w:rsidR="00162921" w:rsidRDefault="00000000">
      <w:pPr>
        <w:pStyle w:val="BodyText"/>
      </w:pPr>
      <w:r>
        <w:rPr>
          <w:b/>
          <w:bCs/>
        </w:rPr>
        <w:t>Table 1. Baseline model performance and income-based disparities across four health outcomes.</w:t>
      </w:r>
      <w:r>
        <w:t xml:space="preserve"> AUROC, true positive rate (TPR) by income quintile, and TPR gap (Q1 vs Q5) for the LightGBM baseline model under five-fold stratified cross-validation. [Table to be inserted]</w:t>
      </w:r>
    </w:p>
    <w:p w14:paraId="10FD39B3" w14:textId="77777777" w:rsidR="00162921" w:rsidRDefault="00000000">
      <w:pPr>
        <w:pStyle w:val="BodyText"/>
      </w:pPr>
      <w:r>
        <w:t xml:space="preserve">The direction of bias is notable: standard models systematically under-detect conditions in the highest-income quintile. This occurs because low income is a strong predictor of poor health </w:t>
        <w:lastRenderedPageBreak/>
        <w:t>outcomes in the training data; models consequently learn to associate higher income with lower risk, making them less sensitive to genuine cases of depression or poor health among affluent individuals. This reflects an algorithmic mechanism rather than a clinical priority. Predicted probability distributions by income group confirm this pattern (S4 Fig). This directionality matters because it demonstrates that algorithmic fairness is not synonymous with protecting historically disadvantaged groups, a common conflation in the fairness literature that European regulations explicitly avoid: Article 10(2)(f) of the AI Act mandates examination of biases ‘affecting health and safety’ without restricting this to any particular direction [20].</w:t>
      </w:r>
    </w:p>
    <w:p w14:paraId="5D9B4BD6" w14:textId="77777777" w:rsidR="00162921" w:rsidRDefault="00000000">
      <w:pPr>
        <w:pStyle w:val="BodyText"/>
      </w:pPr>
      <w:r>
        <w:t>We evaluated all 26 methods (Table 2, Fig 1). Judged purely by benchmark metrics, the ranking is clear. Post-processing methods dominate: ThreshOpt_TPR achieves 77–90% TPR gap reductions across outcomes, ThreshOpt_EO achieves 71–88%, and RejectOption achieves 59–91%, all at zero AUROC cost because they adjust decision thresholds rather than the model itself. RejectOption is the single best method for self-rated health (90.5% reduction) and quality of life (90.0%). In-processing constraint methods (ExpGrad_TPR, ExpGrad_EO) achieve comparable fairness improvements (86–94%), with FairConstraints reaching 61–89% but at a cost of 1–6 percentage points of AUROC. Pre-processing methods produce only modest improvements (29–43% for Reweighing). Augmentation methods are largely ineffective (−3% to 16%), consistent with evidence that synthetic data can amplify bias [60].</w:t>
      </w:r>
    </w:p>
    <w:p w14:paraId="29B93958" w14:textId="77777777" w:rsidR="00162921" w:rsidRDefault="00000000">
      <w:pPr>
        <w:pStyle w:val="BodyText"/>
      </w:pPr>
      <w:r>
        <w:rPr>
          <w:b/>
          <w:bCs/>
        </w:rPr>
        <w:t>Table 2. Benchmark performance of 26 bias mitigation methods across four health outcomes.</w:t>
      </w:r>
      <w:r>
        <w:t xml:space="preserve"> AUROC, AUROC change from baseline, TPR gap, percentage reduction in TPR gap, and sign test results (improvement in k of 5 folds) for each method and outcome. Methods ordered by category: pre-processing, in-processing, post-processing, and augmentation. Full </w:t>
        <w:lastRenderedPageBreak/>
        <w:t>results including 95% CI, equalised odds gap, demographic parity gap, and AUROC gap are in S1 Table. [Table to be inserted]</w:t>
      </w:r>
    </w:p>
    <w:p w14:paraId="41D9AE53" w14:textId="77777777" w:rsidR="00162921" w:rsidRDefault="00000000">
      <w:pPr>
        <w:pStyle w:val="BodyText"/>
      </w:pPr>
      <w:r>
        <w:rPr>
          <w:b/>
          <w:bCs/>
        </w:rPr>
        <w:t>Fig 1. Method heatmap.</w:t>
      </w:r>
      <w:r>
        <w:t xml:space="preserve"> Percentage reduction in TPR gap for all 26 methods (rows) across four outcomes (columns). Green indicates improvement; red indicates increased disparity. Reveals consistent top performers (ExpGrad variants) and widespread failure of augmentation and pre-processing approaches.</w:t>
      </w:r>
    </w:p>
    <w:p w14:paraId="57017952" w14:textId="77777777" w:rsidR="00162921" w:rsidRDefault="00000000">
      <w:pPr>
        <w:pStyle w:val="BodyText"/>
      </w:pPr>
      <w:r>
        <w:t>A standard fairness benchmark would stop here and recommend post-processing methods — particularly ThreshOpt_TPR and RejectOption — as the best available options for clinical deployment. This recommendation would be wrong.</w:t>
      </w:r>
    </w:p>
    <w:p w14:paraId="6E983074" w14:textId="77777777" w:rsidR="00162921" w:rsidRDefault="00000000">
      <w:pPr>
        <w:pStyle w:val="Heading2"/>
      </w:pPr>
      <w:bookmarkStart w:id="28" w:name="X4740b4c43d62026a7202e8b82775db7cf770298"/>
      <w:bookmarkEnd w:id="27"/>
      <w:r>
        <w:t>The deployability cliff: benchmark winners cannot be deployed</w:t>
      </w:r>
    </w:p>
    <w:p w14:paraId="5F87C108" w14:textId="77777777" w:rsidR="00162921" w:rsidRDefault="00000000">
      <w:pPr>
        <w:pStyle w:val="FirstParagraph"/>
      </w:pPr>
      <w:r>
        <w:t>All 6 post-processing methods require the protected attribute (income quintile) at inference time — either to set group-specific decision thresholds or to apply group-conditional corrections (Table 3). In a real screening programme, this means every patient would need to disclose income data at the point of prediction, the system would need to maintain a live income classification pipeline, and GDPR data minimisation requirements (Article 5(1)(c)) would apply, since fairness can demonstrably be achieved without income data at inference.</w:t>
      </w:r>
    </w:p>
    <w:p w14:paraId="76054983" w14:textId="77777777" w:rsidR="00162921" w:rsidRDefault="00000000">
      <w:pPr>
        <w:pStyle w:val="BodyText"/>
      </w:pPr>
      <w:r>
        <w:rPr>
          <w:b/>
          <w:bCs/>
        </w:rPr>
        <w:t>Table 3. Deployability assessment of 26 bias mitigation methods.</w:t>
      </w:r>
      <w:r>
        <w:t xml:space="preserve"> For each method: whether the protected attribute is required at inference, data minimisation compliance under GDPR, and overall deployability determination. [Table to be inserted]</w:t>
      </w:r>
    </w:p>
    <w:p w14:paraId="43E21F39" w14:textId="77777777" w:rsidR="00162921" w:rsidRDefault="00000000">
      <w:pPr>
        <w:pStyle w:val="BodyText"/>
      </w:pPr>
      <w:r>
        <w:t xml:space="preserve">The deployability breakdown by method category reveals a stark pattern (Fig 2). Pre-processing: 2 of 5 (40%) deployable. In-processing: 9 of 13 (69%) deployable. Post-processing: 0 of 6 (0%) </w:t>
        <w:lastRenderedPageBreak/>
        <w:t>deployable. Augmentation: 2 of 2 (100%) deployable. The category that dominates the benchmark is the category with zero deployable methods.</w:t>
      </w:r>
    </w:p>
    <w:p w14:paraId="54D4B87B" w14:textId="77777777" w:rsidR="00162921" w:rsidRDefault="00000000">
      <w:pPr>
        <w:pStyle w:val="BodyText"/>
      </w:pPr>
      <w:r>
        <w:rPr>
          <w:b/>
          <w:bCs/>
        </w:rPr>
        <w:t>Fig 2. The deployability cliff by method category.</w:t>
      </w:r>
      <w:r>
        <w:t xml:space="preserve"> Box plots showing TPR gap distributions for pre-processing, in-processing, post-processing, and augmentation methods across four outcomes. Deployability rates annotated: 0/6 post-processing methods are deployable versus 9/13 in-processing methods.</w:t>
      </w:r>
    </w:p>
    <w:p w14:paraId="7FB61A4D" w14:textId="77777777" w:rsidR="00162921" w:rsidRDefault="00000000">
      <w:pPr>
        <w:pStyle w:val="BodyText"/>
      </w:pPr>
      <w:r>
        <w:t>This is not an incidental limitation. The theoretical case against post-processing is fundamental. Woodworth and colleagues formally proved that post-hoc correction is ‘highly suboptimal’: even optimal post-processing of the Bayes-optimal predictor under equalised odds constraints can yield a classifier with no better than chance accuracy [61]. Pleiss and colleagues showed that calibration is compatible with only a single error constraint, and optimal post-processing equalises costs by making the classifier strictly worse for one group [43] — a property that is particularly concerning in healthcare where well-calibrated risk predictions are essential for clinical decision-making. These are not fixable problems; they are structural properties of the post-processing approach.</w:t>
      </w:r>
    </w:p>
    <w:p w14:paraId="081BF117" w14:textId="77777777" w:rsidR="00162921" w:rsidRDefault="00000000">
      <w:pPr>
        <w:pStyle w:val="BodyText"/>
      </w:pPr>
      <w:r>
        <w:t>The benchmark-deployment mismatch is now visible. The methods a benchmark study would recommend (post-processing) are exactly the methods a lifecycle study eliminates first.</w:t>
      </w:r>
    </w:p>
    <w:p w14:paraId="32FCAF3C" w14:textId="77777777" w:rsidR="00162921" w:rsidRDefault="00000000">
      <w:pPr>
        <w:pStyle w:val="Heading2"/>
      </w:pPr>
      <w:bookmarkStart w:id="29" w:name="X0bccbbe404871ef36a5b04794101c81023d4388"/>
      <w:bookmarkEnd w:id="28"/>
      <w:r>
        <w:t>The lifecycle filter: from 26 methods to 3 survivors</w:t>
      </w:r>
    </w:p>
    <w:p w14:paraId="22DB6D43" w14:textId="77777777" w:rsidR="00162921" w:rsidRDefault="00000000">
      <w:pPr>
        <w:pStyle w:val="FirstParagraph"/>
      </w:pPr>
      <w:r>
        <w:t>Applying the full lifecycle framework progressively eliminates methods that fail deployment-readiness requirements (Fig 3).</w:t>
      </w:r>
    </w:p>
    <w:p w14:paraId="56FB5C5C" w14:textId="77777777" w:rsidR="00162921" w:rsidRDefault="00000000">
      <w:pPr>
        <w:pStyle w:val="BodyText"/>
      </w:pPr>
      <w:r>
        <w:t>The full funnel visualisation is also available in S6 Fig.</w:t>
      </w:r>
    </w:p>
    <w:p w14:paraId="04131808" w14:textId="77777777" w:rsidR="00162921" w:rsidRDefault="00000000">
      <w:pPr>
        <w:pStyle w:val="BodyText"/>
      </w:pPr>
      <w:r>
        <w:rPr>
          <w:b/>
          <w:bCs/>
        </w:rPr>
        <w:lastRenderedPageBreak/>
        <w:t>Fig 3. Lifecycle survival funnel.</w:t>
      </w:r>
      <w:r>
        <w:t xml:space="preserve"> Progressive elimination of 26 bias mitigation methods through successive lifecycle stages: effectiveness (26 → 22), deployability (22 → 11), accuracy preservation (11 → 6), stability and calibration (6 → 6), and fairness threshold (6 → 3). Three methods survive: ExpGrad_TPR, ExpGrad_EO, and Reweighing.</w:t>
      </w:r>
    </w:p>
    <w:p w14:paraId="6B8D9FE1" w14:textId="77777777" w:rsidR="00162921" w:rsidRDefault="00000000">
      <w:pPr>
        <w:pStyle w:val="BodyText"/>
      </w:pPr>
      <w:r>
        <w:rPr>
          <w:b/>
          <w:bCs/>
        </w:rPr>
        <w:t>Stage 3 (Effectiveness)</w:t>
      </w:r>
      <w:r>
        <w:t>: 4 methods eliminated for increasing disparity on at least two outcomes: GerryFairClassifier (3 outcomes), GroupCalibration (3), CTGAN (3), and GroupDRO (2). Remaining: 22 methods.</w:t>
      </w:r>
    </w:p>
    <w:p w14:paraId="333B64B0" w14:textId="77777777" w:rsidR="00162921" w:rsidRDefault="00000000">
      <w:pPr>
        <w:pStyle w:val="BodyText"/>
      </w:pPr>
      <w:r>
        <w:rPr>
          <w:b/>
          <w:bCs/>
        </w:rPr>
        <w:t>Stage 9 (Deployability)</w:t>
      </w:r>
      <w:r>
        <w:t>: 11 methods eliminated for requiring the protected attribute at inference, including all 5 remaining post-processing methods (GroupCalibration having been eliminated at Stage 3) plus AdvDebiasing, PrejudiceRemover, DecoupledClassifier, DIR, CorrelationRemover, and LFR. Remaining: 11 methods.</w:t>
      </w:r>
    </w:p>
    <w:p w14:paraId="089287A3" w14:textId="77777777" w:rsidR="00162921" w:rsidRDefault="00000000">
      <w:pPr>
        <w:pStyle w:val="BodyText"/>
      </w:pPr>
      <w:r>
        <w:rPr>
          <w:b/>
          <w:bCs/>
        </w:rPr>
        <w:t>Stage 4 (Accuracy)</w:t>
      </w:r>
      <w:r>
        <w:t>: 5 methods eliminated for exceeding the 0.03 AUROC threshold on at least one outcome: GridSearch_TPR (0.071 drop on LS), GridSearch_EO (0.089), ExpGrad_DP (0.049 on LS), FairConstraints (0.050 on LS), and JTT (0.168 on EUROD). Remaining: 6 methods.</w:t>
      </w:r>
    </w:p>
    <w:p w14:paraId="786A2791" w14:textId="77777777" w:rsidR="00162921" w:rsidRDefault="00000000">
      <w:pPr>
        <w:pStyle w:val="BodyText"/>
      </w:pPr>
      <w:r>
        <w:rPr>
          <w:b/>
          <w:bCs/>
        </w:rPr>
        <w:t>Stages 5–7 (Stability, feasibility, calibration)</w:t>
      </w:r>
      <w:r>
        <w:t>: All 6 remaining methods pass (S4 Table). All achieve sign test ≥4/5 across all outcomes, train in under 3 minutes, and maintain Brier score increases below 0.01.</w:t>
      </w:r>
    </w:p>
    <w:p w14:paraId="1B7CDE17" w14:textId="77777777" w:rsidR="00162921" w:rsidRDefault="00000000">
      <w:pPr>
        <w:pStyle w:val="BodyText"/>
      </w:pPr>
      <w:r>
        <w:rPr>
          <w:b/>
          <w:bCs/>
        </w:rPr>
        <w:t>Stage 8 (Fairness threshold)</w:t>
      </w:r>
      <w:r>
        <w:t xml:space="preserve">: 3 methods eliminated for insufficient improvement. FairGBM achieves only 8.8–17.3% TPR gap reduction, FairSMOTE achieves 11.0–16.1%, and SampleReweighting shows negative reductions on EUROD. Our 25% minimum threshold is informed by the Healthy People 2030 methodology, which typically targets 10% improvement </w:t>
        <w:lastRenderedPageBreak/>
        <w:t>over a decade [62], and by the impossibility theorems proving that perfect fairness is mathematically unattainable when base rates differ across groups [63–64], necessitating practical rather than theoretical benchmarks. Remaining: 3 methods.</w:t>
      </w:r>
    </w:p>
    <w:p w14:paraId="2060C7F0" w14:textId="77777777" w:rsidR="00162921" w:rsidRDefault="00000000">
      <w:pPr>
        <w:pStyle w:val="BodyText"/>
      </w:pPr>
      <w:r>
        <w:t>The three survivors are ExpGrad_TPR (86.6–93.8% TPR gap reduction, 0.8–2.8 pp AUROC cost), ExpGrad_EO (86.0–94.4%, 1.0–3.0 pp), and Reweighing (28.7–42.9%, &lt;0.2 pp). All are training-time methods that embed fairness into model parameters, requiring income data only during training — precisely the configuration consistent with GDPR data minimisation principles and, for special category attributes, with the EU AI Act’s Article 10(5).</w:t>
      </w:r>
    </w:p>
    <w:p w14:paraId="3BE302C7" w14:textId="77777777" w:rsidR="00162921" w:rsidRDefault="00000000">
      <w:pPr>
        <w:pStyle w:val="BodyText"/>
      </w:pPr>
      <w:r>
        <w:t>A notable near-miss is FairConstraints, which achieves 61–89% TPR gap reductions with 5/5 sign tests on all outcomes but is eliminated by AUROC drops exceeding 3 pp on life satisfaction (5.0 pp) and quality of life (5.8 pp). Under a relaxed 0.05 threshold, it would survive as a fourth option. We report this sensitivity analysis to illustrate that the funnel structure, not any single threshold, is the primary contribution. The complete pass/fail status for all methods at each stage is in S6 Table.</w:t>
      </w:r>
    </w:p>
    <w:p w14:paraId="0EEE55CD" w14:textId="77777777" w:rsidR="00162921" w:rsidRDefault="00000000">
      <w:pPr>
        <w:pStyle w:val="Heading2"/>
      </w:pPr>
      <w:bookmarkStart w:id="30" w:name="the-mismatch-quantified"/>
      <w:bookmarkEnd w:id="29"/>
      <w:r>
        <w:t>The mismatch quantified</w:t>
      </w:r>
    </w:p>
    <w:p w14:paraId="685E5437" w14:textId="77777777" w:rsidR="00162921" w:rsidRDefault="00000000">
      <w:pPr>
        <w:pStyle w:val="FirstParagraph"/>
      </w:pPr>
      <w:r>
        <w:t>Fig 4 visualises the benchmark-deployment mismatch directly. Plotting TPR gap reduction against AUROC cost for all 26 methods, with deployability status indicated, reveals that the Pareto-optimal frontier in benchmark space is dominated by non-deployable methods. The deployable Pareto frontier — the frontier a practitioner can actually use — lies below and to the left, consisting of methods that no benchmark study would have ranked first. The gap between these two frontiers is the cost of benchmark-only evaluation (see also S1 Fig for outcome-specific Pareto frontiers).</w:t>
      </w:r>
    </w:p>
    <w:p w14:paraId="05D1AB69" w14:textId="77777777" w:rsidR="00162921" w:rsidRDefault="00000000">
      <w:pPr>
        <w:pStyle w:val="BodyText"/>
      </w:pPr>
      <w:r>
        <w:lastRenderedPageBreak/>
        <w:t>Stability analysis confirms that the surviving methods are robust (Fig 4A). ExpGrad_TPR and ExpGrad_EO achieved significant improvement in all five folds (5/5 sign test) for all four outcomes, with fold-level TPR gap standard deviations of 0.010–0.029 (S3 Table). Calibration degradation was minimal: Brier score increases of 0.003–0.010, well within clinically negligible range. Fairea trade-off classifications for all methods are in S5 Fig.</w:t>
      </w:r>
    </w:p>
    <w:p w14:paraId="57A97E0F" w14:textId="77777777" w:rsidR="00162921" w:rsidRDefault="00000000">
      <w:pPr>
        <w:pStyle w:val="BodyText"/>
      </w:pPr>
      <w:r>
        <w:rPr>
          <w:b/>
          <w:bCs/>
        </w:rPr>
        <w:t>Fig 4. The benchmark-deployment mismatch.</w:t>
      </w:r>
      <w:r>
        <w:t xml:space="preserve"> (A) Fold-level TPR gaps for the top 10 methods across four outcomes, demonstrating consistent improvement for constraint-based methods. (B) Percentage reduction in TPR gap versus AUROC change for all 26 methods, with deployability status indicated. Non-deployable methods (open markers) occupy the upper-right region of strongest benchmark performance; deployable methods (filled markers) form a distinct, lower frontier. The gap between the two frontiers represents the cost of benchmark-only evaluation.</w:t>
      </w:r>
    </w:p>
    <w:p w14:paraId="1C55F804" w14:textId="77777777" w:rsidR="00162921" w:rsidRDefault="00000000">
      <w:pPr>
        <w:pStyle w:val="Heading2"/>
      </w:pPr>
      <w:bookmarkStart w:id="31" w:name="X886c3d357e8dd53646d44433aa404838cf61d20"/>
      <w:bookmarkEnd w:id="30"/>
      <w:r>
        <w:t>Projected clinical impact: the cost of the wrong recommendation</w:t>
      </w:r>
    </w:p>
    <w:p w14:paraId="291880E1" w14:textId="77777777" w:rsidR="00162921" w:rsidRDefault="00000000">
      <w:pPr>
        <w:pStyle w:val="FirstParagraph"/>
      </w:pPr>
      <w:r>
        <w:t>To illustrate the practical consequence of this divergence between benchmark and deployment rankings, we projected the clinical impact of lifecycle survivors versus the non-deployable benchmark winners (Fig 5). These projections assume that cross-validation performance translates to a deployed screening setting.</w:t>
      </w:r>
    </w:p>
    <w:p w14:paraId="2C14FFE5" w14:textId="77777777" w:rsidR="00162921" w:rsidRDefault="00000000">
      <w:pPr>
        <w:pStyle w:val="BodyText"/>
      </w:pPr>
      <w:r>
        <w:t xml:space="preserve">For ExpGrad_TPR across all four outcomes: an estimated 315 additional correct identifications for depression, 565 for life satisfaction, 441 for quality of life, and 402 for self-rated health — approximately 1,723 total additional correct identifications per screening wave in the highest-income quintile alone. A health system following benchmark recommendations would select a post-processing method, discover it cannot be deployed, and either deploy no fairness correction </w:t>
        <w:lastRenderedPageBreak/>
        <w:t>or invest additional resources in a second evaluation. The lifecycle approach identifies deployable methods directly.</w:t>
      </w:r>
    </w:p>
    <w:p w14:paraId="3CA9CAF5" w14:textId="77777777" w:rsidR="00162921" w:rsidRDefault="00000000">
      <w:pPr>
        <w:pStyle w:val="BodyText"/>
      </w:pPr>
      <w:r>
        <w:t>These projections represent the upper bound of impact under the assumption of no distribution shift between the study population and the deployed population. The gap between cross-validation estimates and real-world impact is a recognised challenge in clinical prediction model research [54,65]. Nevertheless, the magnitude illustrates why the choice of evaluation paradigm — benchmark versus lifecycle — has consequences measurable in patients.</w:t>
      </w:r>
    </w:p>
    <w:p w14:paraId="58DBFFE1" w14:textId="77777777" w:rsidR="00162921" w:rsidRDefault="00000000">
      <w:pPr>
        <w:pStyle w:val="BodyText"/>
      </w:pPr>
      <w:r>
        <w:rPr>
          <w:b/>
          <w:bCs/>
        </w:rPr>
        <w:t>Fig 5. Projected clinical impact.</w:t>
      </w:r>
      <w:r>
        <w:t xml:space="preserve"> (A) Estimated additional correct identifications per screening wave in the highest-income quintile (Q5) for each health outcome, comparing the three lifecycle survivors. (B) Total estimated additional identifications across all four outcomes. ExpGrad_TPR yields a projected 1,723 additional correct identifications per screening wave, assuming cross-validation performance translates to deployment.</w:t>
      </w:r>
    </w:p>
    <w:p w14:paraId="0AF443A4" w14:textId="77777777" w:rsidR="00162921" w:rsidRDefault="00000000">
      <w:pPr>
        <w:pStyle w:val="Heading1"/>
      </w:pPr>
      <w:bookmarkStart w:id="32" w:name="discussion"/>
      <w:bookmarkEnd w:id="26"/>
      <w:bookmarkEnd w:id="31"/>
      <w:r>
        <w:t>Discussion</w:t>
      </w:r>
    </w:p>
    <w:p w14:paraId="57D3A971" w14:textId="77777777" w:rsidR="00162921" w:rsidRDefault="00000000">
      <w:pPr>
        <w:pStyle w:val="Heading2"/>
      </w:pPr>
      <w:bookmarkStart w:id="33" w:name="why-benchmark-evaluation-fails"/>
      <w:r>
        <w:t>Why benchmark evaluation fails</w:t>
      </w:r>
    </w:p>
    <w:p w14:paraId="6E183D19" w14:textId="77777777" w:rsidR="00162921" w:rsidRDefault="00000000">
      <w:pPr>
        <w:pStyle w:val="FirstParagraph"/>
      </w:pPr>
      <w:r>
        <w:t xml:space="preserve">The benchmark evaluation paradigm fails for a specific, structural reason: it conflates metric improvement with deployment readiness. In benchmark evaluation, every method operates under the same idealised conditions — the protected attribute is available, computational cost is not assessed, calibration is not checked, and regulatory constraints do not apply. Under these conditions, the optimal strategy is post-processing: apply the best possible fairness correction to the best possible model, using whatever data is needed. Post-processing methods achieve this </w:t>
        <w:lastRenderedPageBreak/>
        <w:t>optimality because they separate the accuracy problem from the fairness problem, solving each independently [41].</w:t>
      </w:r>
    </w:p>
    <w:p w14:paraId="32ECDB3F" w14:textId="77777777" w:rsidR="00162921" w:rsidRDefault="00000000">
      <w:pPr>
        <w:pStyle w:val="BodyText"/>
      </w:pPr>
      <w:r>
        <w:t>But this optimality is illusory. Woodworth and colleagues proved that post-hoc correction of even the Bayes-optimal predictor can yield a classifier no better than chance [61]. Pleiss and colleagues showed that the optimal post-processing equalises costs by degrading performance for one group [43]. Friedler and colleagues found that fairness-preserving algorithms are sensitive to dataset composition [14]. And crucially, every post-processing method requires group membership at prediction time — a requirement that the GDPR’s data minimisation principle (Article 5(1)(c)) renders difficult to justify when fairness can be achieved without inference-time access to the protected attribute. When the attribute is special category data, Article 9(1) and the EU AI Act’s Article 10(5) training-only exception impose further restrictions [17,20,58].</w:t>
      </w:r>
    </w:p>
    <w:p w14:paraId="43A3E0C5" w14:textId="77777777" w:rsidR="00162921" w:rsidRDefault="00000000">
      <w:pPr>
        <w:pStyle w:val="BodyText"/>
      </w:pPr>
      <w:r>
        <w:t>This is not a limitation specific to our study or to European regulation. The growing ‘fairness without demographics’ literature — including distributionally robust optimisation [66] and adversarially reweighted learning [67] — reflects a field-wide recognition that deployment-time access to protected attributes is the exception, not the rule. Holstein and colleagues documented through 35 industry practitioner interviews that the ‘absence of sensitive data for auditing’ is a persistent deployment barrier [68]. Our lifecycle framework simply makes this recognition quantitative.</w:t>
      </w:r>
    </w:p>
    <w:p w14:paraId="00F2BA17" w14:textId="77777777" w:rsidR="00162921" w:rsidRDefault="00000000">
      <w:pPr>
        <w:pStyle w:val="BodyText"/>
      </w:pPr>
      <w:r>
        <w:t xml:space="preserve">The benchmark-deployment mismatch we document has a precise analogue in the clinical prediction modelling literature. Pfohl and colleagues found that approaches incorporating fairness into training objectives do not confer greater net benefit compared to standard models with group-specific thresholds [18] — a finding that supports evaluating fairness methods through multi-criteria lifecycle assessment rather than single-metric benchmarks. Van Calster </w:t>
        <w:lastRenderedPageBreak/>
        <w:t>and colleagues have argued that AUC labelling systems are arbitrary [47] and that calibration — not discrimination — is often the clinically decisive property [57]. Our lifecycle framework incorporates both, treating benchmark metrics as one input among several rather than as the sole basis for method selection.</w:t>
      </w:r>
    </w:p>
    <w:p w14:paraId="7AD9B3A2" w14:textId="77777777" w:rsidR="00162921" w:rsidRDefault="00000000">
      <w:pPr>
        <w:pStyle w:val="Heading2"/>
      </w:pPr>
      <w:bookmarkStart w:id="34" w:name="X77ad1e5acfcaf32e5b4f40c8ebf1c60387a562e"/>
      <w:bookmarkEnd w:id="33"/>
      <w:r>
        <w:t>The solution: in-processing methods and a navigable trade-off</w:t>
      </w:r>
    </w:p>
    <w:p w14:paraId="0CCD3F4C" w14:textId="77777777" w:rsidR="00162921" w:rsidRDefault="00000000">
      <w:pPr>
        <w:pStyle w:val="FirstParagraph"/>
      </w:pPr>
      <w:r>
        <w:t>The lifecycle survivors — ExpGrad_TPR, ExpGrad_EO, and Reweighing — share a critical property: they embed fairness into model parameters during training, requiring the protected attribute only at training time. Agarwal and colleagues explicitly designed the Exponentiated Gradient reductions approach to avoid requiring protected attributes at test time [32], and our results validate this design choice empirically. For income — which is not special category data under the GDPR — this training-only configuration satisfies the data minimisation principle (Article 5(1)(c)). For protected attributes that are special category data (e.g., race or health status), the EU AI Act’s Article 10(5) provides an additional legal basis by permitting such processing for bias correction during training of high-risk systems [20], and healthcare screening systems qualify as high-risk through both medical device (Article 6(1)) and explicit listing (Article 6(2), Annex III) pathways [21].</w:t>
      </w:r>
    </w:p>
    <w:p w14:paraId="390205C6" w14:textId="77777777" w:rsidR="00162921" w:rsidRDefault="00000000">
      <w:pPr>
        <w:pStyle w:val="BodyText"/>
      </w:pPr>
      <w:r>
        <w:t>The fairness-accuracy trade-off for these methods is small. ExpGrad_TPR achieves 86.6–93.8% TPR gap reductions at 0.8–2.8 percentage points of AUROC cost. To contextualise this cost: the PHQ-9, validated in a meta-analysis of 100 studies, achieves an AUC of approximately 0.89 [51]; the EURO-D scale used in SHARE achieves 0.89–1.00 [52]. A 1–3 percentage point reduction from our baselines (0.80–0.89) keeps performance within the range of validated screening instruments, consistent with Rodolfa and colleagues’ observation of negligible trade-offs in public-policy applications [48].</w:t>
      </w:r>
    </w:p>
    <w:p w14:paraId="1DA45B7E" w14:textId="77777777" w:rsidR="00162921" w:rsidRDefault="00000000">
      <w:pPr>
        <w:pStyle w:val="BodyText"/>
      </w:pPr>
      <w:r>
        <w:t xml:space="preserve">Reweighing offers a distinct profile: minimal fairness improvement (28.7–42.9%) but near-zero accuracy cost (&lt;0.2 pp), providing a conservative option for systems that prioritise preserving </w:t>
        <w:lastRenderedPageBreak/>
        <w:t>full predictive performance. The choice between ExpGrad and Reweighing is a policy decision about how much accuracy a health system is willing to trade for how much fairness — precisely the kind of decision that should be made by health systems with full information, not resolved by a benchmark ranking.</w:t>
      </w:r>
    </w:p>
    <w:p w14:paraId="4556AD17" w14:textId="77777777" w:rsidR="00162921" w:rsidRDefault="00000000">
      <w:pPr>
        <w:pStyle w:val="Heading2"/>
      </w:pPr>
      <w:bookmarkStart w:id="35" w:name="positioning-within-the-field"/>
      <w:bookmarkEnd w:id="34"/>
      <w:r>
        <w:t>Positioning within the field</w:t>
      </w:r>
    </w:p>
    <w:p w14:paraId="293B2DAA" w14:textId="77777777" w:rsidR="00162921" w:rsidRDefault="00000000">
      <w:pPr>
        <w:pStyle w:val="FirstParagraph"/>
      </w:pPr>
      <w:r>
        <w:t>Several prior frameworks address fairness across the ML lifecycle. Rajkomar and colleagues proposed incorporating fairness into design, deployment, and evaluation using distributive justice principles [69]. Chen and colleagues traced how biases propagate through clinical AI workflows [70]. The WHO [71] and OECD [72] provide governance principles, and Model Cards [73] and Datasheets for Datasets [74] offer documentation frameworks. However, these focus on process or transparency rather than quantitative pass/fail criteria. Our lifecycle evaluation provides the progressive filtering methodology that translates these principles into actionable deployment-readiness assessment.</w:t>
      </w:r>
    </w:p>
    <w:p w14:paraId="5E539238" w14:textId="77777777" w:rsidR="00162921" w:rsidRDefault="00000000">
      <w:pPr>
        <w:pStyle w:val="BodyText"/>
      </w:pPr>
      <w:r>
        <w:t>The benchmark landscape has advanced substantially through FFB [15], ABCFair [16], MEDFAIR [11], and comprehensive surveys [13,75]. Shen and colleagues audited SHARE-based models across 16 European countries, finding wide variation in demographic parity but applying no corrections [76]. These studies share the structural limitation we address: they evaluate fairness at the benchmark and stop. Our contribution is demonstrating that the gap between benchmark performance and deployment readiness is not a minor caveat but a fundamental reordering of method rankings.</w:t>
      </w:r>
    </w:p>
    <w:p w14:paraId="471D68C7" w14:textId="77777777" w:rsidR="00162921" w:rsidRDefault="00000000">
      <w:pPr>
        <w:pStyle w:val="BodyText"/>
      </w:pPr>
      <w:r>
        <w:t xml:space="preserve">The regulatory environment is evolving rapidly. As of early 2026, the harmonised technical standards being developed by CEN-CENELEC JTC 21 under the AI Act are not yet finalised, </w:t>
        <w:lastRenderedPageBreak/>
        <w:t>and no implementing regulation on fairness evaluation methodologies has been published [77]. The European Parliament Research Service notes ‘shared uncertainty’ regarding the GDPR-AI Act interface for sensitive data in fairness applications [22]. Our lifecycle framework provides a structured approach to navigating this uncertainty, consistent with the AI Act’s delegation of threshold-setting to providers (Article 9(8)).</w:t>
      </w:r>
    </w:p>
    <w:p w14:paraId="4E496C7D" w14:textId="77777777" w:rsidR="00162921" w:rsidRDefault="00000000">
      <w:pPr>
        <w:pStyle w:val="Heading2"/>
      </w:pPr>
      <w:bookmarkStart w:id="36" w:name="limitations"/>
      <w:bookmarkEnd w:id="35"/>
      <w:r>
        <w:t>Limitations</w:t>
      </w:r>
    </w:p>
    <w:p w14:paraId="71D3DB36" w14:textId="77777777" w:rsidR="00162921" w:rsidRDefault="00000000">
      <w:pPr>
        <w:pStyle w:val="FirstParagraph"/>
      </w:pPr>
      <w:r>
        <w:t>Six limitations should be acknowledged. First, the lifecycle framework is applied to cross-validation results, not to a deployed system; it identifies methods expected to fail specific deployment stages based on their properties, but does not constitute an empirical deployment study. Prospective validation is an essential next step. Second, we evaluate methods on a single dataset (SHARE Wave 9); cross-dataset validation would strengthen generalisability, particularly given evidence that fairness corrections may not transfer across populations [65]. Third, income quintiles are a simplified operationalisation of socioeconomic status. Fourth, our analysis focused on binary group fairness (Q1 vs Q5); intersectional approaches may reveal additional disparities. Fifth, the lifecycle thresholds — AUROC ≤0.03, sign test ≥4/5, fairness ≥25%, Brier ≤0.03 — involve informed judgment. While each is grounded in the clinical, statistical, and regulatory evidence cited above, no single authoritative source codifies them as universal standards; the EU AI Act delegates threshold-setting to providers, and recent reviews acknowledge that meaningful bias thresholds ‘must be independently assessed on a case-by-case basis’ [78]. We address this through sensitivity analyses (S7 Table). Sixth, the clinical impact projections assume cross-validation performance translates to deployment; real-world impact would differ due to distribution shift and implementation variability.</w:t>
      </w:r>
    </w:p>
    <w:p w14:paraId="678DA4B8" w14:textId="77777777" w:rsidR="00162921" w:rsidRDefault="00000000">
      <w:pPr>
        <w:pStyle w:val="Heading2"/>
      </w:pPr>
      <w:bookmarkStart w:id="37" w:name="conclusions"/>
      <w:bookmarkEnd w:id="36"/>
      <w:r>
        <w:lastRenderedPageBreak/>
        <w:t>Conclusions</w:t>
      </w:r>
    </w:p>
    <w:p w14:paraId="3FF51BA8" w14:textId="77777777" w:rsidR="00162921" w:rsidRDefault="00000000">
      <w:pPr>
        <w:pStyle w:val="FirstParagraph"/>
      </w:pPr>
      <w:r>
        <w:t>The algorithmic fairness field evaluates bias mitigation methods by their benchmark performance. We show that benchmark performance is a misleading guide to deployable fairness. Post-processing methods dominate every benchmark metric but require the protected attribute at inference, creating practical and legal barriers in European healthcare settings where continuous collection of income data at every prediction is difficult to operationalise and may conflict with the GDPR’s data-minimisation principle. Of 26 methods, only 3 survive a full lifecycle evaluation: ExpGrad_TPR, ExpGrad_EO, and Reweighing — none of which a benchmark study would have ranked first. The two strongest survivors achieve 86–94% reductions in income-based detection disparities at 1–3 percentage points of AUROC cost. Benchmark evaluation omits the dimensions that determine deployment readiness — regulatory compliance, calibration, stability, threshold robustness — and these omissions do not merely reduce precision but reverse method rankings entirely. The methods that win benchmarks are often impractical to deploy; the ones that are deployable are rarely benchmark winners. Fairness is not a model property measured at the benchmark — it is a lifecycle property that must be evaluated end-to-end.</w:t>
      </w:r>
    </w:p>
    <w:p w14:paraId="3932DCB1" w14:textId="77777777" w:rsidR="00162921" w:rsidRDefault="00000000">
      <w:pPr>
        <w:pStyle w:val="Heading1"/>
      </w:pPr>
      <w:bookmarkStart w:id="38" w:name="acknowledgments"/>
      <w:bookmarkEnd w:id="32"/>
      <w:bookmarkEnd w:id="37"/>
      <w:r>
        <w:t>Acknowledgments</w:t>
      </w:r>
    </w:p>
    <w:p w14:paraId="6F4931EA" w14:textId="77777777" w:rsidR="00162921" w:rsidRDefault="00000000">
      <w:pPr>
        <w:pStyle w:val="FirstParagraph"/>
      </w:pPr>
      <w:r>
        <w:t>This paper uses data from SHARE Wave 9 (DOI: 10.6103/SHARE.w9.900). The SHARE data collection has been funded by the European Commission through FP5 (QLK6-CT-2001-00360), FP6 (SHARE-I3: RII-CT-2006-062193, COMPARE: CIT5-CT-2005-028857, SHARELIFE: CIT4-CT-2006-028812), FP7 (SHARE-PREP: GA N°211909, SHARE-LEAP: GA N°227822, SHARE M4: GA N°261982, DASISH: GA N°283646), Horizon 2020 (SHARE-DEV3: GA N°676536, SHARE-COHESION: GA N°870628, SERISS: GA N°654221, SSHOC: GA N°823782, SHARE-COVID19: GA N°101015924) and by DG Employment, Social Affairs &amp; Inclusion, the US National Institute on Aging (U01_AG09740-13S2, P01_AG005842, P01_AG08291, P30_AG12815, R21_AG025169, Y1-AG-4553-01, IAG_BSR06-11, OGHA_04-064, HHSN271201300071C, RAG052527A), and various national funding sources.</w:t>
      </w:r>
    </w:p>
    <w:p w14:paraId="660CC003" w14:textId="77777777" w:rsidR="00162921" w:rsidRDefault="00000000">
      <w:pPr>
        <w:pStyle w:val="Heading1"/>
      </w:pPr>
      <w:bookmarkStart w:id="39" w:name="data-availability-statement"/>
      <w:bookmarkEnd w:id="38"/>
      <w:r>
        <w:lastRenderedPageBreak/>
        <w:t>Data availability statement</w:t>
      </w:r>
    </w:p>
    <w:p w14:paraId="122F2369" w14:textId="77777777" w:rsidR="00162921" w:rsidRDefault="00000000">
      <w:pPr>
        <w:pStyle w:val="FirstParagraph"/>
      </w:pPr>
      <w:r>
        <w:t>The SHARE data used in this study are available through a research data centre. Access requires registration and acceptance of the conditions of use at http://www.share-project.org/data-access. The analysis code and full results tables are available at [repository URL to be added upon acceptance].</w:t>
      </w:r>
    </w:p>
    <w:p w14:paraId="356E3156" w14:textId="77777777" w:rsidR="00162921" w:rsidRDefault="00000000">
      <w:pPr>
        <w:pStyle w:val="Heading1"/>
      </w:pPr>
      <w:bookmarkStart w:id="40" w:name="funding-statement"/>
      <w:bookmarkEnd w:id="39"/>
      <w:r>
        <w:t>Funding statement</w:t>
      </w:r>
    </w:p>
    <w:p w14:paraId="5F6780F0" w14:textId="77777777" w:rsidR="00162921" w:rsidRDefault="00000000">
      <w:pPr>
        <w:pStyle w:val="FirstParagraph"/>
      </w:pPr>
      <w:r>
        <w:t>[To be completed by authors. State specific grant numbers, author initials, and sponsor URLs. If unfunded, state: “The author(s) received no specific funding for this work.”]</w:t>
      </w:r>
    </w:p>
    <w:p w14:paraId="20CA6915" w14:textId="77777777" w:rsidR="00162921" w:rsidRDefault="00000000">
      <w:pPr>
        <w:pStyle w:val="Heading1"/>
      </w:pPr>
      <w:bookmarkStart w:id="41" w:name="competing-interests"/>
      <w:bookmarkEnd w:id="40"/>
      <w:r>
        <w:t>Competing interests</w:t>
      </w:r>
    </w:p>
    <w:p w14:paraId="102E01B4" w14:textId="77777777" w:rsidR="00162921" w:rsidRDefault="00000000">
      <w:pPr>
        <w:pStyle w:val="FirstParagraph"/>
      </w:pPr>
      <w:r>
        <w:t>The authors declare that no competing interests exist.</w:t>
      </w:r>
    </w:p>
    <w:p w14:paraId="50041D46" w14:textId="77777777" w:rsidR="00162921" w:rsidRDefault="00000000">
      <w:pPr>
        <w:pStyle w:val="Heading1"/>
      </w:pPr>
      <w:bookmarkStart w:id="42" w:name="author-contributions"/>
      <w:bookmarkEnd w:id="41"/>
      <w:r>
        <w:t>Author contributions</w:t>
      </w:r>
    </w:p>
    <w:p w14:paraId="48E3D9D3" w14:textId="77777777" w:rsidR="00162921" w:rsidRDefault="00000000">
      <w:pPr>
        <w:pStyle w:val="FirstParagraph"/>
      </w:pPr>
      <w:r>
        <w:t>Conceptualization: [initials]. Data curation: [initials]. Formal analysis: [initials]. Investigation: [initials]. Methodology: [initials]. Software: [initials]. Supervision: [initials]. Validation: [initials]. Visualization: [initials]. Writing – original draft: [initials]. Writing – review &amp; editing: [initials].</w:t>
      </w:r>
    </w:p>
    <w:p w14:paraId="682853DC" w14:textId="77777777" w:rsidR="00162921" w:rsidRDefault="00000000">
      <w:pPr>
        <w:pStyle w:val="Heading1"/>
      </w:pPr>
      <w:bookmarkStart w:id="43" w:name="references"/>
      <w:bookmarkEnd w:id="42"/>
      <w:r>
        <w:lastRenderedPageBreak/>
        <w:t>References</w:t>
      </w:r>
    </w:p>
    <w:p w14:paraId="6E260173" w14:textId="77777777" w:rsidR="00162921" w:rsidRDefault="00000000">
      <w:pPr>
        <w:numPr>
          <w:ilvl w:val="0"/>
          <w:numId w:val="3"/>
        </w:numPr>
      </w:pPr>
      <w:r>
        <w:t>Handing EP, Strobl C, Gerstorf D. Predictors of depression among middle-aged and older men and women in Europe: A machine learning approach. Lancet Reg Health Eur. 2022;18:100391.</w:t>
      </w:r>
    </w:p>
    <w:p w14:paraId="43129383" w14:textId="77777777" w:rsidR="00162921" w:rsidRDefault="00000000">
      <w:pPr>
        <w:numPr>
          <w:ilvl w:val="0"/>
          <w:numId w:val="3"/>
        </w:numPr>
      </w:pPr>
      <w:r>
        <w:t>Prati G. Health status prediction for the elderly based on machine learning. Arch Gerontol Geriatr. 2022;101:104690.</w:t>
      </w:r>
    </w:p>
    <w:p w14:paraId="3AB1D04C" w14:textId="77777777" w:rsidR="00162921" w:rsidRDefault="00000000">
      <w:pPr>
        <w:numPr>
          <w:ilvl w:val="0"/>
          <w:numId w:val="3"/>
        </w:numPr>
      </w:pPr>
      <w:r>
        <w:t>Lu Y, Yin J, Chen Z, Gong Y, Liu Z, Zhang L, et al. Determinants of depressive symptoms in multinational middle-aged and older adults. npj Digit Med. 2025;8:186.</w:t>
      </w:r>
    </w:p>
    <w:p w14:paraId="5290C6EE" w14:textId="77777777" w:rsidR="00162921" w:rsidRDefault="00000000">
      <w:pPr>
        <w:numPr>
          <w:ilvl w:val="0"/>
          <w:numId w:val="3"/>
        </w:numPr>
      </w:pPr>
      <w:r>
        <w:t>OECD. Health at a Glance: Europe 2024. Paris: OECD Publishing; 2024.</w:t>
      </w:r>
    </w:p>
    <w:p w14:paraId="172C71B4" w14:textId="77777777" w:rsidR="00162921" w:rsidRDefault="00000000">
      <w:pPr>
        <w:numPr>
          <w:ilvl w:val="0"/>
          <w:numId w:val="3"/>
        </w:numPr>
      </w:pPr>
      <w:r>
        <w:t>World Health Organization. World report on ageing and health. Geneva: WHO; 2015.</w:t>
      </w:r>
    </w:p>
    <w:p w14:paraId="1F12C6AE" w14:textId="77777777" w:rsidR="00162921" w:rsidRDefault="00000000">
      <w:pPr>
        <w:numPr>
          <w:ilvl w:val="0"/>
          <w:numId w:val="3"/>
        </w:numPr>
      </w:pPr>
      <w:r>
        <w:t>Obermeyer Z, Powers B, Vogeli C, Mullainathan S. Dissecting racial bias in an algorithm used to manage the health of populations. Science. 2019;366(6464):447-453.</w:t>
      </w:r>
    </w:p>
    <w:p w14:paraId="2E5CD535" w14:textId="77777777" w:rsidR="00162921" w:rsidRDefault="00000000">
      <w:pPr>
        <w:numPr>
          <w:ilvl w:val="0"/>
          <w:numId w:val="3"/>
        </w:numPr>
      </w:pPr>
      <w:r>
        <w:t>Juhn YJ, Ryu E, Wi CI, King KS, Malik M, Juhn HJ, et al. Assessing socioeconomic bias in machine learning algorithms in health care: A case study of the HOUSES index. J Am Med Inform Assoc. 2022;29(7):1142-1151.</w:t>
      </w:r>
    </w:p>
    <w:p w14:paraId="3A6C1D7C" w14:textId="77777777" w:rsidR="00162921" w:rsidRDefault="00000000">
      <w:pPr>
        <w:numPr>
          <w:ilvl w:val="0"/>
          <w:numId w:val="3"/>
        </w:numPr>
      </w:pPr>
      <w:r>
        <w:t>Ciernikova S, Pospisilova E, Pec M, Bertinyova S, Nagyova I. Fairness and bias correction in machine learning for depression prediction across four study populations. Sci Rep. 2024;14:8567.</w:t>
      </w:r>
    </w:p>
    <w:p w14:paraId="60B3DF9C" w14:textId="77777777" w:rsidR="00162921" w:rsidRDefault="00000000">
      <w:pPr>
        <w:numPr>
          <w:ilvl w:val="0"/>
          <w:numId w:val="3"/>
        </w:numPr>
      </w:pPr>
      <w:r>
        <w:lastRenderedPageBreak/>
        <w:t>Bellamy RKE, Dey K, Hind M, Hoffman SC, Houde S, Kannan K, et al. AI Fairness 360: An extensible toolkit for detecting and mitigating algorithmic bias. IBM J Res Dev. 2019;63(4/5):4:1-4:15.</w:t>
      </w:r>
    </w:p>
    <w:p w14:paraId="6F963B09" w14:textId="77777777" w:rsidR="00162921" w:rsidRDefault="00000000">
      <w:pPr>
        <w:numPr>
          <w:ilvl w:val="0"/>
          <w:numId w:val="3"/>
        </w:numPr>
      </w:pPr>
      <w:r>
        <w:t>Bird S, Dudík M, Edgar R, Horn B, Lutz R, Milan V, et al. Fairlearn: A toolkit for assessing and improving fairness in AI. Microsoft Research; 2020.</w:t>
      </w:r>
    </w:p>
    <w:p w14:paraId="7163C087" w14:textId="77777777" w:rsidR="00162921" w:rsidRDefault="00000000">
      <w:pPr>
        <w:numPr>
          <w:ilvl w:val="0"/>
          <w:numId w:val="3"/>
        </w:numPr>
      </w:pPr>
      <w:r>
        <w:t>Zong Y, Yang Y, Hospedales T. MEDFAIR: Benchmarking fairness for medical imaging. In: ICLR; 2023.</w:t>
      </w:r>
    </w:p>
    <w:p w14:paraId="1ADDE96A" w14:textId="77777777" w:rsidR="00162921" w:rsidRDefault="00000000">
      <w:pPr>
        <w:numPr>
          <w:ilvl w:val="0"/>
          <w:numId w:val="3"/>
        </w:numPr>
      </w:pPr>
      <w:r>
        <w:t>Pfohl SR, Foryciarz A, Shah NH. An empirical characterization of fair machine learning for clinical risk prediction. J Biomed Inform. 2021;113:103621.</w:t>
      </w:r>
    </w:p>
    <w:p w14:paraId="4E50506A" w14:textId="77777777" w:rsidR="00162921" w:rsidRDefault="00000000">
      <w:pPr>
        <w:numPr>
          <w:ilvl w:val="0"/>
          <w:numId w:val="3"/>
        </w:numPr>
      </w:pPr>
      <w:r>
        <w:t>Chen Z, Zhang JM, Sarro F, Harman M. A comprehensive empirical study of bias mitigation methods for machine learning classifiers. ACM Trans Softw Eng Methodol. 2023;32(4):1-30.</w:t>
      </w:r>
    </w:p>
    <w:p w14:paraId="7A29C23A" w14:textId="77777777" w:rsidR="00162921" w:rsidRDefault="00000000">
      <w:pPr>
        <w:numPr>
          <w:ilvl w:val="0"/>
          <w:numId w:val="3"/>
        </w:numPr>
      </w:pPr>
      <w:r>
        <w:t>Friedler SA, Scheidegger C, Venkatasubramanian S, Choudhary S, Hamilton EP, Roth D. A comparative study of fairness-enhancing interventions in machine learning. In: FAccT; 2019. pp. 329-338.</w:t>
      </w:r>
    </w:p>
    <w:p w14:paraId="2F0D3577" w14:textId="77777777" w:rsidR="00162921" w:rsidRDefault="00000000">
      <w:pPr>
        <w:numPr>
          <w:ilvl w:val="0"/>
          <w:numId w:val="3"/>
        </w:numPr>
      </w:pPr>
      <w:r>
        <w:t>Han X, Tsang I, Zhu J, Liu T, Gong M, Liu F, et al. FFB: A fair fairness benchmark for in-processing group fairness methods. In: ICLR; 2024.</w:t>
      </w:r>
    </w:p>
    <w:p w14:paraId="28C8DC97" w14:textId="77777777" w:rsidR="00162921" w:rsidRDefault="00000000">
      <w:pPr>
        <w:numPr>
          <w:ilvl w:val="0"/>
          <w:numId w:val="3"/>
        </w:numPr>
      </w:pPr>
      <w:r>
        <w:t>Defrance M, Vanderdonckt J, Verleysen M. ABCFair: An adaptable benchmark approach for comparing fairness methods. In: NeurIPS Datasets and Benchmarks Track; 2024.</w:t>
      </w:r>
    </w:p>
    <w:p w14:paraId="3CC355D6" w14:textId="77777777" w:rsidR="00162921" w:rsidRDefault="00000000">
      <w:pPr>
        <w:numPr>
          <w:ilvl w:val="0"/>
          <w:numId w:val="3"/>
        </w:numPr>
      </w:pPr>
      <w:r>
        <w:lastRenderedPageBreak/>
        <w:t>Regulation (EU) 2016/679 of the European Parliament and of the Council of 27 April 2016 on the protection of natural persons with regard to the processing of personal data (GDPR). OJ L 119.</w:t>
      </w:r>
    </w:p>
    <w:p w14:paraId="2CC0C970" w14:textId="77777777" w:rsidR="00162921" w:rsidRDefault="00000000">
      <w:pPr>
        <w:numPr>
          <w:ilvl w:val="0"/>
          <w:numId w:val="3"/>
        </w:numPr>
      </w:pPr>
      <w:r>
        <w:t>Pfohl SR, Xu Y, Foryciarz A, Igber N, Patel B, Shah NH. Net benefit, calibration, threshold selection, and training objectives for algorithmic fairness in healthcare. In: FAccT; 2022. pp. 1039-1052.</w:t>
      </w:r>
    </w:p>
    <w:p w14:paraId="7AFC873B" w14:textId="77777777" w:rsidR="00162921" w:rsidRDefault="00000000">
      <w:pPr>
        <w:numPr>
          <w:ilvl w:val="0"/>
          <w:numId w:val="3"/>
        </w:numPr>
      </w:pPr>
      <w:r>
        <w:t>US Food and Drug Administration, Health Canada, UK Medicines and Healthcare products Regulatory Agency. Good Machine Learning Practice for Medical Device Development: Guiding Principles. 2021.</w:t>
      </w:r>
    </w:p>
    <w:p w14:paraId="44DCCF74" w14:textId="77777777" w:rsidR="00162921" w:rsidRDefault="00000000">
      <w:pPr>
        <w:numPr>
          <w:ilvl w:val="0"/>
          <w:numId w:val="3"/>
        </w:numPr>
      </w:pPr>
      <w:r>
        <w:t>Regulation (EU) 2024/1689 of the European Parliament and of the Council of 13 June 2024 laying down harmonised rules on artificial intelligence (AI Act). OJ L, 2024/1689.</w:t>
      </w:r>
    </w:p>
    <w:p w14:paraId="660F7A11" w14:textId="77777777" w:rsidR="00162921" w:rsidRDefault="00000000">
      <w:pPr>
        <w:numPr>
          <w:ilvl w:val="0"/>
          <w:numId w:val="3"/>
        </w:numPr>
      </w:pPr>
      <w:r>
        <w:t>Busch P, Scheidt HA, Klemm P, Rohde M, Steinberg H, Buyx A, et al. Navigating the European Union Artificial Intelligence Act for healthcare. npj Digit Med. 2024;7:210.</w:t>
      </w:r>
    </w:p>
    <w:p w14:paraId="7ACAD1B6" w14:textId="77777777" w:rsidR="00162921" w:rsidRDefault="00000000">
      <w:pPr>
        <w:numPr>
          <w:ilvl w:val="0"/>
          <w:numId w:val="3"/>
        </w:numPr>
      </w:pPr>
      <w:r>
        <w:t>European Parliament Research Service. Algorithmic discrimination under the AI Act and the GDPR. Brussels: EPRS; 2025.</w:t>
      </w:r>
    </w:p>
    <w:p w14:paraId="51DC36C4" w14:textId="77777777" w:rsidR="00162921" w:rsidRDefault="00000000">
      <w:pPr>
        <w:numPr>
          <w:ilvl w:val="0"/>
          <w:numId w:val="3"/>
        </w:numPr>
      </w:pPr>
      <w:r>
        <w:t>European Data Protection Board. Opinion 28/2024 on certain data protection aspects related to the processing of personal data in the context of AI models. Brussels: EDPB; 2024.</w:t>
      </w:r>
    </w:p>
    <w:p w14:paraId="082DDC97" w14:textId="77777777" w:rsidR="00162921" w:rsidRDefault="00000000">
      <w:pPr>
        <w:numPr>
          <w:ilvl w:val="0"/>
          <w:numId w:val="3"/>
        </w:numPr>
      </w:pPr>
      <w:r>
        <w:t>Börsch-Supan A, Brandt M, Hunkler C, Kneip T, Korbmacher J, Malter F, et al. Data resource profile: The Survey of Health, Ageing and Retirement in Europe (SHARE). Int J Epidemiol. 2013;42(4):992-1001.</w:t>
      </w:r>
    </w:p>
    <w:p w14:paraId="62744919" w14:textId="77777777" w:rsidR="00162921" w:rsidRDefault="00000000">
      <w:pPr>
        <w:numPr>
          <w:ilvl w:val="0"/>
          <w:numId w:val="3"/>
        </w:numPr>
      </w:pPr>
      <w:r>
        <w:lastRenderedPageBreak/>
        <w:t>Prince MJ, Reischies F, Beekman AT, Fuhrer R, Jonker C, Kivela SL, et al. Development of the EURO-D scale — a European Union initiative to compare symptoms of depression in 14 European centres. Br J Psychiatry. 1999;174(4):330-338.</w:t>
      </w:r>
    </w:p>
    <w:p w14:paraId="22251F6C" w14:textId="77777777" w:rsidR="00162921" w:rsidRDefault="00000000">
      <w:pPr>
        <w:numPr>
          <w:ilvl w:val="0"/>
          <w:numId w:val="3"/>
        </w:numPr>
      </w:pPr>
      <w:r>
        <w:t>Hyde M, Wiggins RD, Higgs P, Blane DB. A measure of quality of life in early old age: The theory, development and properties of a needs satisfaction model (CASP-19). Aging Ment Health. 2003;7(3):186-194.</w:t>
      </w:r>
    </w:p>
    <w:p w14:paraId="053335D3" w14:textId="77777777" w:rsidR="00162921" w:rsidRDefault="00000000">
      <w:pPr>
        <w:numPr>
          <w:ilvl w:val="0"/>
          <w:numId w:val="3"/>
        </w:numPr>
      </w:pPr>
      <w:r>
        <w:t>Jylhä M. What is self-rated health and why does it predict mortality? Towards a unified conceptual model. Soc Sci Med. 2009;68(3):553-560.</w:t>
      </w:r>
    </w:p>
    <w:p w14:paraId="18A48CFD" w14:textId="77777777" w:rsidR="00162921" w:rsidRDefault="00000000">
      <w:pPr>
        <w:numPr>
          <w:ilvl w:val="0"/>
          <w:numId w:val="3"/>
        </w:numPr>
      </w:pPr>
      <w:r>
        <w:t>Ke G, Meng Q, Finley T, Wang T, Chen W, Ma W, et al. LightGBM: A highly efficient gradient boosting decision tree. In: NeurIPS; 2017. pp. 3146-3154.</w:t>
      </w:r>
    </w:p>
    <w:p w14:paraId="7BC17543" w14:textId="77777777" w:rsidR="00162921" w:rsidRDefault="00000000">
      <w:pPr>
        <w:numPr>
          <w:ilvl w:val="0"/>
          <w:numId w:val="3"/>
        </w:numPr>
      </w:pPr>
      <w:r>
        <w:t>Kamiran F, Calders T. Data preprocessing techniques for classification without discrimination. Knowl Inf Syst. 2012;33(1):1-33.</w:t>
      </w:r>
    </w:p>
    <w:p w14:paraId="47BC83C0" w14:textId="77777777" w:rsidR="00162921" w:rsidRDefault="00000000">
      <w:pPr>
        <w:numPr>
          <w:ilvl w:val="0"/>
          <w:numId w:val="3"/>
        </w:numPr>
      </w:pPr>
      <w:r>
        <w:t>Feldman M, Friedler SA, Moeller J, Scheidegger C, Venkatasubramanian S. Certifying and removing disparate impact. In: KDD; 2015. pp. 259-268.</w:t>
      </w:r>
    </w:p>
    <w:p w14:paraId="261732B2" w14:textId="77777777" w:rsidR="00162921" w:rsidRDefault="00000000">
      <w:pPr>
        <w:numPr>
          <w:ilvl w:val="0"/>
          <w:numId w:val="3"/>
        </w:numPr>
      </w:pPr>
      <w:r>
        <w:t>Zemel R, Wu Y, Swersky K, Pitassi T, Dwork C. Learning fair representations. In: ICML; 2013. pp. 325-333.</w:t>
      </w:r>
    </w:p>
    <w:p w14:paraId="63009740" w14:textId="77777777" w:rsidR="00162921" w:rsidRDefault="00000000">
      <w:pPr>
        <w:numPr>
          <w:ilvl w:val="0"/>
          <w:numId w:val="3"/>
        </w:numPr>
      </w:pPr>
      <w:r>
        <w:t>Agarwal A, Beygelzimer A, Dudík M, Langford J, Wallach H. A reductions approach to fair classification. In: ICML; 2018. pp. 60-69.</w:t>
      </w:r>
    </w:p>
    <w:p w14:paraId="28B7621F" w14:textId="77777777" w:rsidR="00162921" w:rsidRDefault="00000000">
      <w:pPr>
        <w:numPr>
          <w:ilvl w:val="0"/>
          <w:numId w:val="3"/>
        </w:numPr>
      </w:pPr>
      <w:r>
        <w:t>Zhang BH, Lemoine B, Mitchell M. Mitigating unwanted biases with adversarial learning. In: AIES; 2018. pp. 335-340.</w:t>
      </w:r>
    </w:p>
    <w:p w14:paraId="1E3BFA02" w14:textId="77777777" w:rsidR="00162921" w:rsidRDefault="00000000">
      <w:pPr>
        <w:numPr>
          <w:ilvl w:val="0"/>
          <w:numId w:val="3"/>
        </w:numPr>
      </w:pPr>
      <w:r>
        <w:lastRenderedPageBreak/>
        <w:t>Cruz AF, Bel P, Soares C, Ghani R. FairGBM: Gradient boosting with fairness constraints. In: ICLR; 2023.</w:t>
      </w:r>
    </w:p>
    <w:p w14:paraId="7DF2E1C9" w14:textId="77777777" w:rsidR="00162921" w:rsidRDefault="00000000">
      <w:pPr>
        <w:numPr>
          <w:ilvl w:val="0"/>
          <w:numId w:val="3"/>
        </w:numPr>
      </w:pPr>
      <w:r>
        <w:t>Zafar MB, Valera I, Gomez Rodriguez M, Gummadi KP. Fairness constraints: Mechanisms for fair classification. J Mach Learn Res. 2019;20(75):1-42.</w:t>
      </w:r>
    </w:p>
    <w:p w14:paraId="69CCCBA9" w14:textId="77777777" w:rsidR="00162921" w:rsidRDefault="00000000">
      <w:pPr>
        <w:numPr>
          <w:ilvl w:val="0"/>
          <w:numId w:val="3"/>
        </w:numPr>
      </w:pPr>
      <w:r>
        <w:t>Dwork C, Immorlica N, Kalai AT, Leiserson M. Decoupled classifiers for group-fair and efficient machine learning. In: FAccT; 2018. pp. 119-133.</w:t>
      </w:r>
    </w:p>
    <w:p w14:paraId="70AE04F5" w14:textId="77777777" w:rsidR="00162921" w:rsidRDefault="00000000">
      <w:pPr>
        <w:numPr>
          <w:ilvl w:val="0"/>
          <w:numId w:val="3"/>
        </w:numPr>
      </w:pPr>
      <w:r>
        <w:t>Kearns M, Neel S, Roth A, Wu ZS. Preventing fairness gerrymandering: Auditing and learning for subgroup fairness. In: ICML; 2018. pp. 2564-2572.</w:t>
      </w:r>
    </w:p>
    <w:p w14:paraId="5F0120CA" w14:textId="77777777" w:rsidR="00162921" w:rsidRDefault="00000000">
      <w:pPr>
        <w:numPr>
          <w:ilvl w:val="0"/>
          <w:numId w:val="3"/>
        </w:numPr>
      </w:pPr>
      <w:r>
        <w:t>Liu EZ, Haghgoo B, Chen AS, Raghunathan A, Koh PW, Sagawa S, et al. Just train twice: Improving group robustness without training group information. In: ICML; 2021. pp. 6781-6792.</w:t>
      </w:r>
    </w:p>
    <w:p w14:paraId="4953D3E7" w14:textId="77777777" w:rsidR="00162921" w:rsidRDefault="00000000">
      <w:pPr>
        <w:numPr>
          <w:ilvl w:val="0"/>
          <w:numId w:val="3"/>
        </w:numPr>
      </w:pPr>
      <w:r>
        <w:t>Sagawa S, Koh PW, Hashimoto TB, Liang P. Distributionally robust neural networks for group shifts: On the importance of regularization for worst-case generalization. In: ICLR; 2020.</w:t>
      </w:r>
    </w:p>
    <w:p w14:paraId="2FF51BB0" w14:textId="77777777" w:rsidR="00162921" w:rsidRDefault="00000000">
      <w:pPr>
        <w:numPr>
          <w:ilvl w:val="0"/>
          <w:numId w:val="3"/>
        </w:numPr>
      </w:pPr>
      <w:r>
        <w:t>Kamishima T, Akaho S, Asoh H, Sakuma J. Fairness-aware classifier with prejudice remover regularizer. In: ECML PKDD; 2012. pp. 35-50.</w:t>
      </w:r>
    </w:p>
    <w:p w14:paraId="6933EF73" w14:textId="77777777" w:rsidR="00162921" w:rsidRDefault="00000000">
      <w:pPr>
        <w:numPr>
          <w:ilvl w:val="0"/>
          <w:numId w:val="3"/>
        </w:numPr>
      </w:pPr>
      <w:r>
        <w:t>Hardt M, Price E, Srebro N. Equality of opportunity in supervised learning. In: NeurIPS; 2016. pp. 3315-3323.</w:t>
      </w:r>
    </w:p>
    <w:p w14:paraId="0875F7AE" w14:textId="77777777" w:rsidR="00162921" w:rsidRDefault="00000000">
      <w:pPr>
        <w:numPr>
          <w:ilvl w:val="0"/>
          <w:numId w:val="3"/>
        </w:numPr>
      </w:pPr>
      <w:r>
        <w:t>Kamiran F, Karim A, Zhang X. Decision theory for discrimination-aware classification. In: ICDM; 2012. pp. 924-929.</w:t>
      </w:r>
    </w:p>
    <w:p w14:paraId="30AB8D14" w14:textId="77777777" w:rsidR="00162921" w:rsidRDefault="00000000">
      <w:pPr>
        <w:numPr>
          <w:ilvl w:val="0"/>
          <w:numId w:val="3"/>
        </w:numPr>
      </w:pPr>
      <w:r>
        <w:lastRenderedPageBreak/>
        <w:t>Pleiss G, Raghavan M, Wu F, Kleinberg J, Weinberger KQ. On fairness and calibration. In: NeurIPS; 2017.</w:t>
      </w:r>
    </w:p>
    <w:p w14:paraId="404FFAF4" w14:textId="77777777" w:rsidR="00162921" w:rsidRDefault="00000000">
      <w:pPr>
        <w:numPr>
          <w:ilvl w:val="0"/>
          <w:numId w:val="3"/>
        </w:numPr>
      </w:pPr>
      <w:r>
        <w:t>Xu L, Skoularidou M, Cuesta-Infante A, Veeramachaneni K. Modeling tabular data using conditional GAN. In: NeurIPS; 2019.</w:t>
      </w:r>
    </w:p>
    <w:p w14:paraId="575B2F71" w14:textId="77777777" w:rsidR="00162921" w:rsidRDefault="00000000">
      <w:pPr>
        <w:numPr>
          <w:ilvl w:val="0"/>
          <w:numId w:val="3"/>
        </w:numPr>
      </w:pPr>
      <w:r>
        <w:t>Chakraborty J, Majumder S, Menzies T. Bias in machine learning software: Why? How? What to do? In: ESEC/FSE; 2021. pp. 429-440.</w:t>
      </w:r>
    </w:p>
    <w:p w14:paraId="6037E2DB" w14:textId="77777777" w:rsidR="00162921" w:rsidRDefault="00000000">
      <w:pPr>
        <w:numPr>
          <w:ilvl w:val="0"/>
          <w:numId w:val="3"/>
        </w:numPr>
      </w:pPr>
      <w:r>
        <w:t>Hosmer DW, Lemeshow S, Sturdivant RX. Applied Logistic Regression. 3rd ed. Hoboken: Wiley; 2013.</w:t>
      </w:r>
    </w:p>
    <w:p w14:paraId="5B06DF79" w14:textId="77777777" w:rsidR="00162921" w:rsidRDefault="00000000">
      <w:pPr>
        <w:numPr>
          <w:ilvl w:val="0"/>
          <w:numId w:val="3"/>
        </w:numPr>
      </w:pPr>
      <w:r>
        <w:t>Van Calster B, McLernon DJ, van Smeden M, Wynants L, Steyerberg EW. Interpreting area under the receiver operating characteristic curve. Lancet Digit Health. 2022;4(12):e853-e855.</w:t>
      </w:r>
    </w:p>
    <w:p w14:paraId="31B7FEB9" w14:textId="77777777" w:rsidR="00162921" w:rsidRDefault="00000000">
      <w:pPr>
        <w:numPr>
          <w:ilvl w:val="0"/>
          <w:numId w:val="3"/>
        </w:numPr>
      </w:pPr>
      <w:r>
        <w:t>Rodolfa KT, Lamba H, Ghani R. Empirical observation of negligible fairness-accuracy trade-offs in machine learning for public policy. Nat Mach Intell. 2021;3(10):896-904.</w:t>
      </w:r>
    </w:p>
    <w:p w14:paraId="7AB3C9E8" w14:textId="77777777" w:rsidR="00162921" w:rsidRDefault="00000000">
      <w:pPr>
        <w:numPr>
          <w:ilvl w:val="0"/>
          <w:numId w:val="3"/>
        </w:numPr>
      </w:pPr>
      <w:r>
        <w:t>European Medicines Agency. Guideline on the choice of the non-inferiority margin (CPMP/EWP/2158/99 Rev. 1). London: EMA; 2005.</w:t>
      </w:r>
    </w:p>
    <w:p w14:paraId="5E55CD27" w14:textId="77777777" w:rsidR="00162921" w:rsidRDefault="00000000">
      <w:pPr>
        <w:numPr>
          <w:ilvl w:val="0"/>
          <w:numId w:val="3"/>
        </w:numPr>
      </w:pPr>
      <w:r>
        <w:t>ClosedLoop.ai. The measurement and mitigation of algorithmic bias and unfairness in healthcare AI models developed for the CMS AI Health Outcomes Challenge. Proc AMIA Annu Symp. 2022.</w:t>
      </w:r>
    </w:p>
    <w:p w14:paraId="1CAC4562" w14:textId="77777777" w:rsidR="00162921" w:rsidRDefault="00000000">
      <w:pPr>
        <w:numPr>
          <w:ilvl w:val="0"/>
          <w:numId w:val="3"/>
        </w:numPr>
      </w:pPr>
      <w:r>
        <w:t>Negeri ZF, Levis B, Sun Y, He C, Krishnan A, Wu Y, et al. Accuracy of the Patient Health Questionnaire-9 for screening to detect major depression: Updated systematic review and individual participant data meta-analysis. BMJ. 2021;375:n2183.</w:t>
      </w:r>
    </w:p>
    <w:p w14:paraId="17EE8FE1" w14:textId="77777777" w:rsidR="00162921" w:rsidRDefault="00000000">
      <w:pPr>
        <w:numPr>
          <w:ilvl w:val="0"/>
          <w:numId w:val="3"/>
        </w:numPr>
      </w:pPr>
      <w:r>
        <w:lastRenderedPageBreak/>
        <w:t>Guerra M, Ferri C, Llibre J, Prina AM, Prince M. Psychometric properties of EURO-D, a geriatric depression scale: A cross-cultural validation study. BMC Psychiatry. 2015;15:12.</w:t>
      </w:r>
    </w:p>
    <w:p w14:paraId="361264F5" w14:textId="77777777" w:rsidR="00162921" w:rsidRDefault="00000000">
      <w:pPr>
        <w:numPr>
          <w:ilvl w:val="0"/>
          <w:numId w:val="3"/>
        </w:numPr>
      </w:pPr>
      <w:r>
        <w:t>Turhan NS. Receiver operating characteristic curve analysis in diagnostic accuracy studies: A guide to interpreting the area under the curve value. Turk J Emerg Med. 2023;23(4):195-198.</w:t>
      </w:r>
    </w:p>
    <w:p w14:paraId="7AB7EA02" w14:textId="77777777" w:rsidR="00162921" w:rsidRDefault="00000000">
      <w:pPr>
        <w:numPr>
          <w:ilvl w:val="0"/>
          <w:numId w:val="3"/>
        </w:numPr>
      </w:pPr>
      <w:r>
        <w:t>Collins GS, Moons KGM, Dhiman P, Riley RD, Beam AL, Van Calster B, et al. TRIPOD+AI statement: Updated guidance for reporting clinical prediction models that use regression or machine learning methods. BMJ. 2024;385:q902.</w:t>
      </w:r>
    </w:p>
    <w:p w14:paraId="7C995B37" w14:textId="77777777" w:rsidR="00162921" w:rsidRDefault="00000000">
      <w:pPr>
        <w:numPr>
          <w:ilvl w:val="0"/>
          <w:numId w:val="3"/>
        </w:numPr>
      </w:pPr>
      <w:r>
        <w:t>Wolff RF, Moons KGM, Riley RD, Whiting PF, Westwood M, Collins GS, et al. PROBAST: A tool to assess the risk of bias and applicability of prediction model studies. Ann Intern Med. 2019;170(1):51-58.</w:t>
      </w:r>
    </w:p>
    <w:p w14:paraId="224D3D00" w14:textId="77777777" w:rsidR="00162921" w:rsidRDefault="00000000">
      <w:pPr>
        <w:numPr>
          <w:ilvl w:val="0"/>
          <w:numId w:val="3"/>
        </w:numPr>
      </w:pPr>
      <w:r>
        <w:t>Austin PC, Steyerberg EW. The Integrated Calibration Index (ICI) and related metrics for quantifying the calibration of logistic regression models. Stat Med. 2019;38(21):4051-4065.</w:t>
      </w:r>
    </w:p>
    <w:p w14:paraId="0829F1C2" w14:textId="77777777" w:rsidR="00162921" w:rsidRDefault="00000000">
      <w:pPr>
        <w:numPr>
          <w:ilvl w:val="0"/>
          <w:numId w:val="3"/>
        </w:numPr>
      </w:pPr>
      <w:r>
        <w:t>Van Calster B, McLernon DJ, van Smeden M, Wynants L, Steyerberg EW. Calibration: The Achilles heel of predictive analytics. BMC Med. 2019;17:230.</w:t>
      </w:r>
    </w:p>
    <w:p w14:paraId="4C2C6143" w14:textId="77777777" w:rsidR="00162921" w:rsidRDefault="00000000">
      <w:pPr>
        <w:numPr>
          <w:ilvl w:val="0"/>
          <w:numId w:val="3"/>
        </w:numPr>
      </w:pPr>
      <w:r>
        <w:t>Veale M, Binns R. Fairer machine learning in the real world: Mitigating discrimination without collecting sensitive data. Big Data Soc. 2017;4(2):1-17.</w:t>
      </w:r>
    </w:p>
    <w:p w14:paraId="5D9C339C" w14:textId="77777777" w:rsidR="00162921" w:rsidRDefault="00000000">
      <w:pPr>
        <w:numPr>
          <w:ilvl w:val="0"/>
          <w:numId w:val="3"/>
        </w:numPr>
      </w:pPr>
      <w:r>
        <w:lastRenderedPageBreak/>
        <w:t>European Data Protection Board. Opinion 28/2024 on certain data protection aspects related to the processing of personal data in the context of AI models (detailed analysis). Brussels: EDPB; December 2024.</w:t>
      </w:r>
    </w:p>
    <w:p w14:paraId="4C74D391" w14:textId="77777777" w:rsidR="00162921" w:rsidRDefault="00000000">
      <w:pPr>
        <w:numPr>
          <w:ilvl w:val="0"/>
          <w:numId w:val="3"/>
        </w:numPr>
      </w:pPr>
      <w:r>
        <w:t>Wyllie EC, Shumailov I, Papernot N. Fairness feedback loops: Training on synthetic data amplifies bias. In: FAccT; 2024.</w:t>
      </w:r>
    </w:p>
    <w:p w14:paraId="38E55118" w14:textId="77777777" w:rsidR="00162921" w:rsidRDefault="00000000">
      <w:pPr>
        <w:numPr>
          <w:ilvl w:val="0"/>
          <w:numId w:val="3"/>
        </w:numPr>
      </w:pPr>
      <w:r>
        <w:t>Woodworth B, Gunasekar S, Ohannessian MI, Srebro N. Learning non-discriminatory predictors. In: COLT; 2017. PMLR 65:1920-1953.</w:t>
      </w:r>
    </w:p>
    <w:p w14:paraId="5064E361" w14:textId="77777777" w:rsidR="00162921" w:rsidRDefault="00000000">
      <w:pPr>
        <w:numPr>
          <w:ilvl w:val="0"/>
          <w:numId w:val="3"/>
        </w:numPr>
      </w:pPr>
      <w:r>
        <w:t>Huang DT, Uribe C, Talih M. Health disparities measures in Healthy People 2030. Vital Health Stat 2. 2024;(211):1-23.</w:t>
      </w:r>
    </w:p>
    <w:p w14:paraId="4973DC06" w14:textId="77777777" w:rsidR="00162921" w:rsidRDefault="00000000">
      <w:pPr>
        <w:numPr>
          <w:ilvl w:val="0"/>
          <w:numId w:val="3"/>
        </w:numPr>
      </w:pPr>
      <w:r>
        <w:t>Chouldechova A. Fair prediction with disparate impact: A study of bias in recidivism prediction instruments. Big Data. 2017;5(2):153-163.</w:t>
      </w:r>
    </w:p>
    <w:p w14:paraId="7CCCBF92" w14:textId="77777777" w:rsidR="00162921" w:rsidRDefault="00000000">
      <w:pPr>
        <w:numPr>
          <w:ilvl w:val="0"/>
          <w:numId w:val="3"/>
        </w:numPr>
      </w:pPr>
      <w:r>
        <w:t>Kleinberg J, Mullainathan S, Raghavan M. Inherent trade-offs in the fair determination of risk scores. In: ITCS; 2017. pp. 43:1-43:23.</w:t>
      </w:r>
    </w:p>
    <w:p w14:paraId="55DE4BBC" w14:textId="77777777" w:rsidR="00162921" w:rsidRDefault="00000000">
      <w:pPr>
        <w:numPr>
          <w:ilvl w:val="0"/>
          <w:numId w:val="3"/>
        </w:numPr>
      </w:pPr>
      <w:r>
        <w:t>Wang S, Guo W, Narasimhan H, Cotter A, Gupta M, Jordan MI. How robust is your fairness? Evaluating and sustaining fairness under unseen distribution shifts. Trans Mach Learn Res. 2023.</w:t>
      </w:r>
    </w:p>
    <w:p w14:paraId="4C0C4356" w14:textId="77777777" w:rsidR="00162921" w:rsidRDefault="00000000">
      <w:pPr>
        <w:numPr>
          <w:ilvl w:val="0"/>
          <w:numId w:val="3"/>
        </w:numPr>
      </w:pPr>
      <w:r>
        <w:t>Hashimoto TB, Srivastava M, Namkoong H, Liang P. Fairness without demographics in repeated loss minimization. In: ICML; 2018.</w:t>
      </w:r>
    </w:p>
    <w:p w14:paraId="0D80247E" w14:textId="77777777" w:rsidR="00162921" w:rsidRDefault="00000000">
      <w:pPr>
        <w:numPr>
          <w:ilvl w:val="0"/>
          <w:numId w:val="3"/>
        </w:numPr>
      </w:pPr>
      <w:r>
        <w:t>Lahoti P, Beutel A, Chen J, Lee K, Prost F, Thain N, et al. Fairness without demographics through adversarially reweighted learning. In: NeurIPS; 2020.</w:t>
      </w:r>
    </w:p>
    <w:p w14:paraId="0804BEFB" w14:textId="77777777" w:rsidR="00162921" w:rsidRDefault="00000000">
      <w:pPr>
        <w:numPr>
          <w:ilvl w:val="0"/>
          <w:numId w:val="3"/>
        </w:numPr>
      </w:pPr>
      <w:r>
        <w:lastRenderedPageBreak/>
        <w:t>Holstein K, Vaughan JW, Daumé H III, Dudík M, Wallach H. Improving fairness in machine learning systems: What do industry practitioners need? In: CHI; 2019. Article 600.</w:t>
      </w:r>
    </w:p>
    <w:p w14:paraId="391F686B" w14:textId="77777777" w:rsidR="00162921" w:rsidRDefault="00000000">
      <w:pPr>
        <w:numPr>
          <w:ilvl w:val="0"/>
          <w:numId w:val="3"/>
        </w:numPr>
      </w:pPr>
      <w:r>
        <w:t>Rajkomar A, Hardt M, Howell MD, Corrado G, Chin MH. Ensuring fairness in machine learning to advance health equity. Ann Intern Med. 2018;169(12):866-872.</w:t>
      </w:r>
    </w:p>
    <w:p w14:paraId="04F5A46C" w14:textId="77777777" w:rsidR="00162921" w:rsidRDefault="00000000">
      <w:pPr>
        <w:numPr>
          <w:ilvl w:val="0"/>
          <w:numId w:val="3"/>
        </w:numPr>
      </w:pPr>
      <w:r>
        <w:t>Chen RJ, Wang JJ, Williamson DFK, Chen TY, Lipkova J, Lu MY, et al. Algorithmic fairness in artificial intelligence for medicine and healthcare. Nat Biomed Eng. 2023;7(6):719-742.</w:t>
      </w:r>
    </w:p>
    <w:p w14:paraId="5EB164A7" w14:textId="77777777" w:rsidR="00162921" w:rsidRDefault="00000000">
      <w:pPr>
        <w:numPr>
          <w:ilvl w:val="0"/>
          <w:numId w:val="3"/>
        </w:numPr>
      </w:pPr>
      <w:r>
        <w:t>World Health Organization. Ethics and governance of artificial intelligence for health: WHO guidance. Geneva: WHO; 2021.</w:t>
      </w:r>
    </w:p>
    <w:p w14:paraId="566F34F5" w14:textId="77777777" w:rsidR="00162921" w:rsidRDefault="00000000">
      <w:pPr>
        <w:numPr>
          <w:ilvl w:val="0"/>
          <w:numId w:val="3"/>
        </w:numPr>
      </w:pPr>
      <w:r>
        <w:t>Organisation for Economic Co-operation and Development. Recommendation of the Council on Artificial Intelligence (OECD/LEGAL/0449). Paris: OECD; 2019 (amended 2024).</w:t>
      </w:r>
    </w:p>
    <w:p w14:paraId="034F7020" w14:textId="77777777" w:rsidR="00162921" w:rsidRDefault="00000000">
      <w:pPr>
        <w:numPr>
          <w:ilvl w:val="0"/>
          <w:numId w:val="3"/>
        </w:numPr>
      </w:pPr>
      <w:r>
        <w:t>Mitchell M, Wu S, Zaldivar A, Barnes P, Vasserman L, Hutchinson B, et al. Model cards for model reporting. In: FAccT; 2019. pp. 220-229.</w:t>
      </w:r>
    </w:p>
    <w:p w14:paraId="198D3C4A" w14:textId="77777777" w:rsidR="00162921" w:rsidRDefault="00000000">
      <w:pPr>
        <w:numPr>
          <w:ilvl w:val="0"/>
          <w:numId w:val="3"/>
        </w:numPr>
      </w:pPr>
      <w:r>
        <w:t>Gebru T, Morgenstern J, Vecchione B, Vaughan JW, Wallach H, Daumé H III, et al. Datasheets for datasets. Commun ACM. 2021;64(12):86-92.</w:t>
      </w:r>
    </w:p>
    <w:p w14:paraId="5A4EB35B" w14:textId="77777777" w:rsidR="00162921" w:rsidRDefault="00000000">
      <w:pPr>
        <w:numPr>
          <w:ilvl w:val="0"/>
          <w:numId w:val="3"/>
        </w:numPr>
      </w:pPr>
      <w:r>
        <w:t>Hort M, Chen Z, Zhang JM, Harman M, Sarro F. Bias mitigation for machine learning classifiers: A comprehensive survey. ACM J Responsib Comput. 2024;1(2):1-52.</w:t>
      </w:r>
    </w:p>
    <w:p w14:paraId="18439E0D" w14:textId="77777777" w:rsidR="00162921" w:rsidRDefault="00000000">
      <w:pPr>
        <w:numPr>
          <w:ilvl w:val="0"/>
          <w:numId w:val="3"/>
        </w:numPr>
      </w:pPr>
      <w:r>
        <w:lastRenderedPageBreak/>
        <w:t>Shen X, Peng X, Zhang H, Wang J, Li K. Algorithm fairness in predicting unmet preventive care: Evidence from 16 European countries using SHARE. medRxiv [Preprint]. 2025.</w:t>
      </w:r>
    </w:p>
    <w:p w14:paraId="75131317" w14:textId="77777777" w:rsidR="00162921" w:rsidRDefault="00000000">
      <w:pPr>
        <w:numPr>
          <w:ilvl w:val="0"/>
          <w:numId w:val="3"/>
        </w:numPr>
      </w:pPr>
      <w:r>
        <w:t>CEN-CENELEC Joint Technical Committee 21. Standardisation request in support of the Artificial Intelligence Act (M/593). Brussels: CEN-CENELEC; 2025.</w:t>
      </w:r>
    </w:p>
    <w:p w14:paraId="77D0464C" w14:textId="77777777" w:rsidR="00162921" w:rsidRDefault="00000000">
      <w:pPr>
        <w:numPr>
          <w:ilvl w:val="0"/>
          <w:numId w:val="3"/>
        </w:numPr>
      </w:pPr>
      <w:r>
        <w:t>Akter S, Uddin MN, Islam T, Ahmed M, Ali MH, Sayed MI, et al. Bias recognition and mitigation strategies in artificial intelligence healthcare applications. npj Digit Med. 2025;8:109.</w:t>
      </w:r>
    </w:p>
    <w:p w14:paraId="0C25D5DC" w14:textId="77777777" w:rsidR="00162921" w:rsidRDefault="00000000">
      <w:pPr>
        <w:pStyle w:val="Heading1"/>
      </w:pPr>
      <w:bookmarkStart w:id="44" w:name="supporting-information"/>
      <w:bookmarkEnd w:id="43"/>
      <w:r>
        <w:t>Supporting information</w:t>
      </w:r>
    </w:p>
    <w:p w14:paraId="228A2354" w14:textId="77777777" w:rsidR="00162921" w:rsidRDefault="00000000">
      <w:pPr>
        <w:pStyle w:val="FirstParagraph"/>
      </w:pPr>
      <w:r>
        <w:rPr>
          <w:b/>
          <w:bCs/>
        </w:rPr>
        <w:t>S1 Table. Complete benchmark results for all 26 methods across four health outcomes.</w:t>
      </w:r>
      <w:r>
        <w:t xml:space="preserve"> AUROC, TPR gap, percentage reduction, 95% CI, equalised odds gap, demographic parity gap, AUROC gap, and sign test results.</w:t>
      </w:r>
    </w:p>
    <w:p w14:paraId="287A0F28" w14:textId="77777777" w:rsidR="00162921" w:rsidRDefault="00000000">
      <w:pPr>
        <w:pStyle w:val="BodyText"/>
      </w:pPr>
      <w:r>
        <w:rPr>
          <w:b/>
          <w:bCs/>
        </w:rPr>
        <w:t>S2 Table. Multi-threshold robustness analysis.</w:t>
      </w:r>
      <w:r>
        <w:t xml:space="preserve"> TPR gaps under four threshold strategies for all methods and outcomes.</w:t>
      </w:r>
    </w:p>
    <w:p w14:paraId="6DA42980" w14:textId="77777777" w:rsidR="00162921" w:rsidRDefault="00000000">
      <w:pPr>
        <w:pStyle w:val="BodyText"/>
      </w:pPr>
      <w:r>
        <w:rPr>
          <w:b/>
          <w:bCs/>
        </w:rPr>
        <w:t>S3 Table. Cross-validation fold stability.</w:t>
      </w:r>
      <w:r>
        <w:t xml:space="preserve"> Per-fold metrics and sign test results for all 26 methods.</w:t>
      </w:r>
    </w:p>
    <w:p w14:paraId="4DD907A3" w14:textId="77777777" w:rsidR="00162921" w:rsidRDefault="00000000">
      <w:pPr>
        <w:pStyle w:val="BodyText"/>
      </w:pPr>
      <w:r>
        <w:rPr>
          <w:b/>
          <w:bCs/>
        </w:rPr>
        <w:t>S4 Table. Computational timing.</w:t>
      </w:r>
      <w:r>
        <w:t xml:space="preserve"> Training time per method per outcome.</w:t>
      </w:r>
    </w:p>
    <w:p w14:paraId="1A06E6E3" w14:textId="77777777" w:rsidR="00162921" w:rsidRDefault="00000000">
      <w:pPr>
        <w:pStyle w:val="BodyText"/>
      </w:pPr>
      <w:r>
        <w:rPr>
          <w:b/>
          <w:bCs/>
        </w:rPr>
        <w:t>S5 Table. Variable definitions.</w:t>
      </w:r>
      <w:r>
        <w:t xml:space="preserve"> All 175 predictor features with SHARE variable names and descriptions.</w:t>
      </w:r>
    </w:p>
    <w:p w14:paraId="15D450CF" w14:textId="77777777" w:rsidR="00162921" w:rsidRDefault="00000000">
      <w:pPr>
        <w:pStyle w:val="BodyText"/>
      </w:pPr>
      <w:r>
        <w:rPr>
          <w:b/>
          <w:bCs/>
        </w:rPr>
        <w:lastRenderedPageBreak/>
        <w:t>S6 Table. Lifecycle filter results.</w:t>
      </w:r>
      <w:r>
        <w:t xml:space="preserve"> Pass/fail status for all 26 methods at each lifecycle stage with survival outcome.</w:t>
      </w:r>
    </w:p>
    <w:p w14:paraId="0D2CCD79" w14:textId="77777777" w:rsidR="00162921" w:rsidRDefault="00000000">
      <w:pPr>
        <w:pStyle w:val="BodyText"/>
      </w:pPr>
      <w:r>
        <w:rPr>
          <w:b/>
          <w:bCs/>
        </w:rPr>
        <w:t>S7 Table. Threshold sensitivity analysis.</w:t>
      </w:r>
      <w:r>
        <w:t xml:space="preserve"> Lifecycle filter results under alternative thresholds (relaxed AUROC ≤0.05, stricter fairness ≥50%).</w:t>
      </w:r>
    </w:p>
    <w:p w14:paraId="0AD35E3F" w14:textId="77777777" w:rsidR="00162921" w:rsidRDefault="00000000">
      <w:pPr>
        <w:pStyle w:val="BodyText"/>
      </w:pPr>
      <w:r>
        <w:rPr>
          <w:b/>
          <w:bCs/>
        </w:rPr>
        <w:t>S1 Fig. Pareto frontier plots.</w:t>
      </w:r>
      <w:r>
        <w:t xml:space="preserve"> Fairness–performance trade-off for all methods across four outcomes, with deployability status indicated, showing the gap between the benchmark Pareto frontier and the deployable Pareto frontier.</w:t>
      </w:r>
    </w:p>
    <w:p w14:paraId="69D34EB5" w14:textId="77777777" w:rsidR="00162921" w:rsidRDefault="00000000">
      <w:pPr>
        <w:pStyle w:val="BodyText"/>
      </w:pPr>
      <w:r>
        <w:rPr>
          <w:b/>
          <w:bCs/>
        </w:rPr>
        <w:t>S2 Fig. ROC curves by income quintile.</w:t>
      </w:r>
      <w:r>
        <w:t xml:space="preserve"> Baseline and top methods, stratified by quintile.</w:t>
      </w:r>
    </w:p>
    <w:p w14:paraId="6A7F5BF4" w14:textId="77777777" w:rsidR="00162921" w:rsidRDefault="00000000">
      <w:pPr>
        <w:pStyle w:val="BodyText"/>
      </w:pPr>
      <w:r>
        <w:rPr>
          <w:b/>
          <w:bCs/>
        </w:rPr>
        <w:t>S3 Fig. SHAP feature importance.</w:t>
      </w:r>
      <w:r>
        <w:t xml:space="preserve"> Top 20 predictors for each outcome.</w:t>
      </w:r>
    </w:p>
    <w:p w14:paraId="32F7968E" w14:textId="77777777" w:rsidR="00162921" w:rsidRDefault="00000000">
      <w:pPr>
        <w:pStyle w:val="BodyText"/>
      </w:pPr>
      <w:r>
        <w:rPr>
          <w:b/>
          <w:bCs/>
        </w:rPr>
        <w:t>S4 Fig. Predicted probability distributions by income group.</w:t>
      </w:r>
      <w:r>
        <w:t xml:space="preserve"> Kernel density estimates for baseline and corrected models.</w:t>
      </w:r>
    </w:p>
    <w:p w14:paraId="5F57832D" w14:textId="77777777" w:rsidR="00162921" w:rsidRDefault="00000000">
      <w:pPr>
        <w:pStyle w:val="BodyText"/>
      </w:pPr>
      <w:r>
        <w:rPr>
          <w:b/>
          <w:bCs/>
        </w:rPr>
        <w:t>S5 Fig. Fairea trade-off classification.</w:t>
      </w:r>
      <w:r>
        <w:t xml:space="preserve"> Composite plot classifying each method’s fairness improvement.</w:t>
      </w:r>
    </w:p>
    <w:p w14:paraId="3B503B07" w14:textId="77777777" w:rsidR="00162921" w:rsidRDefault="00000000">
      <w:pPr>
        <w:pStyle w:val="BodyText"/>
      </w:pPr>
      <w:r>
        <w:rPr>
          <w:b/>
          <w:bCs/>
        </w:rPr>
        <w:t>S6 Fig. Lifecycle survival funnel.</w:t>
      </w:r>
      <w:r>
        <w:t xml:space="preserve"> Progressive elimination of 26 methods through successive deployment stages.</w:t>
      </w:r>
      <w:bookmarkEnd w:id="44"/>
    </w:p>
    <w:sectPr w:rsidR="00162921">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A6BB3" w14:textId="77777777" w:rsidR="004F5626" w:rsidRDefault="004F5626">
      <w:pPr>
        <w:spacing w:after="0" w:line="240" w:lineRule="auto"/>
      </w:pPr>
      <w:r>
        <w:separator/>
      </w:r>
    </w:p>
  </w:endnote>
  <w:endnote w:type="continuationSeparator" w:id="0">
    <w:p w14:paraId="4E0F9026" w14:textId="77777777" w:rsidR="004F5626" w:rsidRDefault="004F5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6F4B8" w14:textId="77777777" w:rsidR="004F5626" w:rsidRDefault="004F5626">
      <w:r>
        <w:separator/>
      </w:r>
    </w:p>
  </w:footnote>
  <w:footnote w:type="continuationSeparator" w:id="0">
    <w:p w14:paraId="297396CB" w14:textId="77777777" w:rsidR="004F5626" w:rsidRDefault="004F5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C6BF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678BE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8AA79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8650524">
    <w:abstractNumId w:val="0"/>
  </w:num>
  <w:num w:numId="2" w16cid:durableId="612250049">
    <w:abstractNumId w:val="1"/>
  </w:num>
  <w:num w:numId="3" w16cid:durableId="1018503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ueh-An Kuo">
    <w15:presenceInfo w15:providerId="None" w15:userId="Chueh-An Ku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21"/>
    <w:rsid w:val="001216DD"/>
    <w:rsid w:val="00162921"/>
    <w:rsid w:val="00177BC5"/>
    <w:rsid w:val="003A21D9"/>
    <w:rsid w:val="004F5626"/>
    <w:rsid w:val="006777ED"/>
    <w:rsid w:val="00725806"/>
    <w:rsid w:val="00D21442"/>
  </w:rsids>
  <m:mathPr>
    <m:mathFont m:val="Cambria Math"/>
    <m:brkBin m:val="before"/>
    <m:brkBinSub m:val="--"/>
    <m:smallFrac m:val="0"/>
    <m:dispDef/>
    <m:lMargin m:val="0"/>
    <m:rMargin m:val="0"/>
    <m:defJc m:val="centerGroup"/>
    <m:wrapRight/>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076E5F2"/>
  <w15:docId w15:val="{9AD94CD8-A9B2-BD45-8A06-A39B5ED0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480" w:lineRule="auto"/>
    </w:pPr>
  </w:style>
  <w:style w:type="paragraph" w:styleId="Heading1">
    <w:name w:val="heading 1"/>
    <w:basedOn w:val="Normal"/>
    <w:next w:val="BodyText"/>
    <w:uiPriority w:val="9"/>
    <w:qFormat/>
    <w:pPr>
      <w:keepNext/>
      <w:keepLines/>
      <w:spacing w:before="480" w:after="120"/>
      <w:outlineLvl w:val="0"/>
    </w:pPr>
    <w:rPr>
      <w:b/>
      <w:bCs/>
      <w:color w:val="000000"/>
      <w:sz w:val="28"/>
      <w:szCs w:val="28"/>
    </w:rPr>
  </w:style>
  <w:style w:type="paragraph" w:styleId="Heading2">
    <w:name w:val="heading 2"/>
    <w:basedOn w:val="Normal"/>
    <w:next w:val="BodyText"/>
    <w:uiPriority w:val="9"/>
    <w:unhideWhenUsed/>
    <w:qFormat/>
    <w:pPr>
      <w:keepNext/>
      <w:keepLines/>
      <w:spacing w:before="240" w:after="120"/>
      <w:outlineLvl w:val="1"/>
    </w:pPr>
    <w:rPr>
      <w:b/>
      <w:bCs/>
      <w:color w:val="000000"/>
      <w:sz w:val="26"/>
      <w:szCs w:val="26"/>
    </w:rPr>
  </w:style>
  <w:style w:type="paragraph" w:styleId="Heading3">
    <w:name w:val="heading 3"/>
    <w:basedOn w:val="Normal"/>
    <w:next w:val="BodyText"/>
    <w:uiPriority w:val="9"/>
    <w:unhideWhenUsed/>
    <w:qFormat/>
    <w:pPr>
      <w:keepNext/>
      <w:keepLines/>
      <w:spacing w:before="200" w:after="0"/>
      <w:outlineLvl w:val="2"/>
    </w:pPr>
    <w:rPr>
      <w:b/>
      <w:bCs/>
      <w:color w:val="000000"/>
    </w:rPr>
  </w:style>
  <w:style w:type="paragraph" w:styleId="Heading4">
    <w:name w:val="heading 4"/>
    <w:basedOn w:val="Normal"/>
    <w:next w:val="BodyText"/>
    <w:uiPriority w:val="9"/>
    <w:unhideWhenUsed/>
    <w:qFormat/>
    <w:pPr>
      <w:keepNext/>
      <w:keepLines/>
      <w:spacing w:before="200" w:after="0"/>
      <w:outlineLvl w:val="3"/>
    </w:pPr>
    <w:rPr>
      <w:bCs/>
      <w:i/>
      <w:color w:val="000000"/>
    </w:rPr>
  </w:style>
  <w:style w:type="paragraph" w:styleId="Heading5">
    <w:name w:val="heading 5"/>
    <w:basedOn w:val="Normal"/>
    <w:next w:val="BodyText"/>
    <w:uiPriority w:val="9"/>
    <w:unhideWhenUsed/>
    <w:qFormat/>
    <w:pPr>
      <w:keepNext/>
      <w:keepLines/>
      <w:spacing w:before="200" w:after="0"/>
      <w:outlineLvl w:val="4"/>
    </w:pPr>
    <w:rPr>
      <w:iCs/>
      <w:color w:val="000000"/>
    </w:rPr>
  </w:style>
  <w:style w:type="paragraph" w:styleId="Heading6">
    <w:name w:val="heading 6"/>
    <w:basedOn w:val="Normal"/>
    <w:next w:val="BodyText"/>
    <w:uiPriority w:val="9"/>
    <w:unhideWhenUsed/>
    <w:qFormat/>
    <w:pPr>
      <w:keepNext/>
      <w:keepLines/>
      <w:spacing w:before="200" w:after="0"/>
      <w:outlineLvl w:val="5"/>
    </w:pPr>
    <w:rPr>
      <w:color w:val="000000"/>
    </w:rPr>
  </w:style>
  <w:style w:type="paragraph" w:styleId="Heading7">
    <w:name w:val="heading 7"/>
    <w:basedOn w:val="Normal"/>
    <w:next w:val="BodyText"/>
    <w:uiPriority w:val="9"/>
    <w:unhideWhenUsed/>
    <w:qFormat/>
    <w:pPr>
      <w:keepNext/>
      <w:keepLines/>
      <w:spacing w:before="200" w:after="0"/>
      <w:outlineLvl w:val="6"/>
    </w:pPr>
    <w:rPr>
      <w:color w:val="000000"/>
    </w:rPr>
  </w:style>
  <w:style w:type="paragraph" w:styleId="Heading8">
    <w:name w:val="heading 8"/>
    <w:basedOn w:val="Normal"/>
    <w:next w:val="BodyText"/>
    <w:uiPriority w:val="9"/>
    <w:unhideWhenUsed/>
    <w:qFormat/>
    <w:pPr>
      <w:keepNext/>
      <w:keepLines/>
      <w:spacing w:before="200" w:after="0"/>
      <w:outlineLvl w:val="7"/>
    </w:pPr>
    <w:rPr>
      <w:color w:val="000000"/>
    </w:rPr>
  </w:style>
  <w:style w:type="paragraph" w:styleId="Heading9">
    <w:name w:val="heading 9"/>
    <w:basedOn w:val="Normal"/>
    <w:next w:val="BodyText"/>
    <w:uiPriority w:val="9"/>
    <w:unhideWhenUsed/>
    <w:qFormat/>
    <w:pPr>
      <w:keepNext/>
      <w:keepLines/>
      <w:spacing w:before="200" w:after="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sz w:val="22"/>
    </w:rPr>
  </w:style>
  <w:style w:type="character" w:styleId="LineNumber">
    <w:name w:val="line number"/>
    <w:basedOn w:val="DefaultParagraphFont"/>
    <w:rsid w:val="00177BC5"/>
  </w:style>
  <w:style w:type="paragraph" w:styleId="Revision">
    <w:name w:val="Revision"/>
    <w:hidden/>
    <w:rsid w:val="00177BC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8158</Words>
  <Characters>46503</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Chueh-An Kuo</dc:creator>
  <cp:keywords/>
  <cp:lastModifiedBy>Chueh-An Kuo</cp:lastModifiedBy>
  <cp:revision>3</cp:revision>
  <dcterms:created xsi:type="dcterms:W3CDTF">2026-02-15T06:39:00Z</dcterms:created>
  <dcterms:modified xsi:type="dcterms:W3CDTF">2026-02-15T08:05:00Z</dcterms:modified>
</cp:coreProperties>
</file>