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left"/>
      </w:pPr>
      <w:r>
        <w:rPr>
          <w:rFonts w:ascii="Times New Roman" w:cs="Times New Roman" w:eastAsia="Times New Roman" w:hAnsi="Times New Roman"/>
          <w:b/>
          <w:bCs/>
          <w:sz w:val="32"/>
          <w:szCs w:val="32"/>
        </w:rPr>
        <w:t xml:space="preserve">Income-based disparities in health prediction for older Europeans: a comprehensive benchmark of bias mitigation methods and deployment framework</w:t>
      </w:r>
    </w:p>
    <w:p>
      <w:pPr>
        <w:spacing w:after="0" w:line="480"/>
      </w:pPr>
    </w:p>
    <w:p>
      <w:pPr>
        <w:spacing w:after="60" w:line="480"/>
      </w:pPr>
      <w:r>
        <w:rPr>
          <w:rFonts w:ascii="Times New Roman" w:cs="Times New Roman" w:eastAsia="Times New Roman" w:hAnsi="Times New Roman"/>
          <w:b/>
          <w:bCs/>
          <w:sz w:val="24"/>
          <w:szCs w:val="24"/>
        </w:rPr>
        <w:t xml:space="preserve">Short title: </w:t>
      </w:r>
      <w:r>
        <w:rPr>
          <w:rFonts w:ascii="Times New Roman" w:cs="Times New Roman" w:eastAsia="Times New Roman" w:hAnsi="Times New Roman"/>
          <w:sz w:val="24"/>
          <w:szCs w:val="24"/>
        </w:rPr>
        <w:t xml:space="preserve">Income disparities in European health prediction AI</w:t>
      </w:r>
    </w:p>
    <w:p>
      <w:pPr>
        <w:spacing w:after="0" w:line="480"/>
      </w:pPr>
    </w:p>
    <w:p>
      <w:pPr>
        <w:spacing w:after="60" w:line="480"/>
      </w:pPr>
      <w:r>
        <w:rPr>
          <w:rFonts w:ascii="Times New Roman" w:cs="Times New Roman" w:eastAsia="Times New Roman" w:hAnsi="Times New Roman"/>
          <w:sz w:val="24"/>
          <w:szCs w:val="24"/>
        </w:rPr>
        <w:t xml:space="preserve">[Author 1]</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[Author 2]</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[Author 3]</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w:t>
      </w:r>
    </w:p>
    <w:p>
      <w:pPr>
        <w:spacing w:after="0" w:line="480"/>
      </w:pPr>
    </w:p>
    <w:p>
      <w:pPr>
        <w:spacing w:after="60" w:line="480"/>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[Affiliation 1]</w:t>
      </w:r>
    </w:p>
    <w:p>
      <w:pPr>
        <w:spacing w:after="60" w:line="480"/>
      </w:pP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[Affiliation 2]</w:t>
      </w:r>
    </w:p>
    <w:p>
      <w:pPr>
        <w:spacing w:after="60" w:line="480"/>
      </w:pP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[Affiliation 3]</w:t>
      </w:r>
    </w:p>
    <w:p>
      <w:pPr>
        <w:spacing w:after="0" w:line="480"/>
      </w:pPr>
    </w:p>
    <w:p>
      <w:pPr>
        <w:spacing w:after="200" w:line="480"/>
      </w:pPr>
      <w:r>
        <w:rPr>
          <w:rFonts w:ascii="Times New Roman" w:cs="Times New Roman" w:eastAsia="Times New Roman" w:hAnsi="Times New Roman"/>
          <w:sz w:val="24"/>
          <w:szCs w:val="24"/>
        </w:rPr>
        <w:t xml:space="preserve">* Corresponding author: [email@institution.edu]</w:t>
      </w:r>
    </w:p>
    <w:p>
      <w:r>
        <w:br w:type="page"/>
      </w:r>
    </w:p>
    <w:p>
      <w:pPr>
        <w:pStyle w:val="Heading1"/>
        <w:spacing w:before="360" w:after="120" w:line="480"/>
      </w:pPr>
      <w:r>
        <w:rPr>
          <w:rFonts w:ascii="Times New Roman" w:cs="Times New Roman" w:eastAsia="Times New Roman" w:hAnsi="Times New Roman"/>
          <w:b/>
          <w:bCs/>
          <w:sz w:val="24"/>
          <w:szCs w:val="24"/>
        </w:rPr>
        <w:t xml:space="preserve">Abstract</w:t>
      </w:r>
    </w:p>
    <w:p>
      <w:pPr>
        <w:spacing w:after="0" w:line="480"/>
        <w:ind/>
      </w:pPr>
      <w:r>
        <w:rPr>
          <w:rFonts w:ascii="Times New Roman" w:cs="Times New Roman" w:eastAsia="Times New Roman" w:hAnsi="Times New Roman"/>
          <w:sz w:val="24"/>
          <w:szCs w:val="24"/>
        </w:rPr>
        <w:t xml:space="preserve">Machine learning models are increasingly deployed to predict health outcomes in ageing populations, but whether they perform equitably across income groups is unknown. Using data from 51,720 respondents across 27 European countries in the Survey of Health, Ageing and Retirement in Europe (SHARE) Wave 9, we first quantified income-based disparities in standard predictive models for four health outcomes: depression (EURO-D), life satisfaction, quality of life (CASP-12), and self-rated health. Baseline models systematically under-detected health conditions in the highest-income quintile, with true positive rate (TPR) gaps of 0.167 to 0.301—meaning that for every 10 cases correctly identified in the poorest group, up to 3 additional cases were missed in the wealthiest. We then conducted the largest fairness benchmark in healthcare to date, evaluating 26 bias mitigation methods spanning four methodological categories. The best methods reduced income-based detection gaps by 86–94% with AUROC losses of only 1–3 percentage points. Post-processing alternatives achieved 77–91% reductions at zero accuracy cost. Critically, the three top-performing methods require income data only during model training, not when generating individual predictions—making them deployable under European data protection regulations without collecting income at the point of care. We translate these findings into a practical deployment framework matching methods to real-world constraints: available technical capacity, data access at inference, and regulatory requirements. Our results demonstrate that income-driven inequities in health prediction are substantial, correctable, and addressable within existing regulatory frameworks, providing actionable guidance for European health systems seeking to deploy equitable AI tools for ageing populations.</w:t>
      </w:r>
    </w:p>
    <w:p>
      <w:pPr>
        <w:pStyle w:val="Heading1"/>
        <w:spacing w:before="360" w:after="120" w:line="480"/>
      </w:pPr>
      <w:r>
        <w:rPr>
          <w:rFonts w:ascii="Times New Roman" w:cs="Times New Roman" w:eastAsia="Times New Roman" w:hAnsi="Times New Roman"/>
          <w:b/>
          <w:bCs/>
          <w:sz w:val="24"/>
          <w:szCs w:val="24"/>
        </w:rPr>
        <w:t xml:space="preserve">Author summary</w:t>
      </w:r>
    </w:p>
    <w:p>
      <w:pPr>
        <w:spacing w:after="0" w:line="480"/>
        <w:ind/>
      </w:pPr>
      <w:r>
        <w:rPr>
          <w:rFonts w:ascii="Times New Roman" w:cs="Times New Roman" w:eastAsia="Times New Roman" w:hAnsi="Times New Roman"/>
          <w:sz w:val="24"/>
          <w:szCs w:val="24"/>
        </w:rPr>
        <w:t xml:space="preserve">When AI models are used to screen older adults for depression, poor quality of life, or declining health, they can systematically miss cases in certain income groups. We analysed health data from over 51,000 Europeans aged 50 and older and found that standard prediction models miss up to 30% more cases among the wealthiest individuals compared to the poorest—not because wealthy people are healthier, but because their symptoms look different to the algorithm. We then tested 26 different correction methods and found that the best ones eliminated nearly all of this income bias while barely affecting overall accuracy. Importantly, the most effective corrections work without ever needing to know a patient's income at the point of care, which matters for privacy compliance in Europe. We distil these findings into a practical decision framework: depending on a health system's technical capacity and data access, we identify which correction method to use, what trade-offs to expect, and how to comply with EU regulations. Fair health AI for older Europeans is technically achievable and regulatorily feasible—this paper shows how.</w:t>
      </w:r>
    </w:p>
    <w:p>
      <w:pPr>
        <w:pStyle w:val="Heading1"/>
        <w:spacing w:before="360" w:after="120" w:line="480"/>
      </w:pPr>
      <w:r>
        <w:rPr>
          <w:rFonts w:ascii="Times New Roman" w:cs="Times New Roman" w:eastAsia="Times New Roman" w:hAnsi="Times New Roman"/>
          <w:b/>
          <w:bCs/>
          <w:sz w:val="24"/>
          <w:szCs w:val="24"/>
        </w:rPr>
        <w:t xml:space="preserve">Introduction</w:t>
      </w:r>
    </w:p>
    <w:p>
      <w:pPr>
        <w:spacing w:after="0" w:line="480"/>
        <w:ind/>
      </w:pPr>
      <w:r>
        <w:rPr>
          <w:rFonts w:ascii="Times New Roman" w:cs="Times New Roman" w:eastAsia="Times New Roman" w:hAnsi="Times New Roman"/>
          <w:sz w:val="24"/>
          <w:szCs w:val="24"/>
        </w:rPr>
        <w:t xml:space="preserve">Europe faces a convergence of demographic ageing and persistent health inequality. More than 30% of Europeans will be over 65 by 2050, and the health burden of this transition falls disproportionately on the economically disadvantaged [2,3]. Among older Europeans, the lowest-income quintile experiences depression at 1.7 times the rate of the highest-income quintile, with even steeper gradients for quality of life (2.6×) and life satisfaction (2.1×). The OECD documents a nine-year gap in disability-free life expectancy by education level among European men [2]. These are not abstract statistics—they represent millions of older adults whose health needs are shaped by lifelong socioeconomic trajectories.</w:t>
      </w:r>
    </w:p>
    <w:p>
      <w:pPr>
        <w:spacing w:after="0" w:line="480"/>
        <w:ind w:firstLine="720"/>
      </w:pPr>
      <w:r>
        <w:rPr>
          <w:rFonts w:ascii="Times New Roman" w:cs="Times New Roman" w:eastAsia="Times New Roman" w:hAnsi="Times New Roman"/>
          <w:sz w:val="24"/>
          <w:szCs w:val="24"/>
        </w:rPr>
        <w:t xml:space="preserve">Machine learning (ML) models are increasingly deployed to identify individuals at risk of these conditions, enabling targeted interventions in population health screening programmes [5–7]. Yet a growing body of evidence demonstrates that predictive models can inherit and amplify the very disparities they are meant to address. The landmark finding that a widely deployed US algorithm systematically underestimated the health needs of Black patients [1] exposed how algorithmic bias can become a mechanism for perpetuating inequality at scale. Whether comparable income-driven biases exist in European health prediction models—and what can be done about them—remains largely unknown.</w:t>
      </w:r>
    </w:p>
    <w:p>
      <w:pPr>
        <w:spacing w:after="0" w:line="480"/>
        <w:ind w:firstLine="720"/>
      </w:pPr>
      <w:r>
        <w:rPr>
          <w:rFonts w:ascii="Times New Roman" w:cs="Times New Roman" w:eastAsia="Times New Roman" w:hAnsi="Times New Roman"/>
          <w:sz w:val="24"/>
          <w:szCs w:val="24"/>
        </w:rPr>
        <w:t xml:space="preserve">The algorithmic fairness literature has grown rapidly, but exhibits three blind spots that this study addresses. First, existing work overwhelmingly focuses on racial and gender disparities; a scoping review of 91 clinical ML bias studies found that 64.8% evaluated race and 45.1% evaluated sex, while socioeconomic status was infrequently examined [9,13]. The few studies addressing income-based bias have been limited to single outcomes or single methods [10,11]. Second, fairness benchmarking in healthcare remains small in scale: the largest existing comparison evaluated 11 methods on medical imaging data [14], and a comprehensive survey found most studies test fewer than five approaches [22]. Without systematic comparison, practitioners have no evidence base for choosing among the dozens of available correction methods. Third, all fairness work on the Survey of Health, Ageing and Retirement in Europe (SHARE)—the primary data infrastructure for European ageing research—has been limited to post-hoc auditing without applying any corrective methods [8].</w:t>
      </w:r>
    </w:p>
    <w:p>
      <w:pPr>
        <w:spacing w:after="0" w:line="480"/>
        <w:ind w:firstLine="720"/>
      </w:pPr>
      <w:r>
        <w:rPr>
          <w:rFonts w:ascii="Times New Roman" w:cs="Times New Roman" w:eastAsia="Times New Roman" w:hAnsi="Times New Roman"/>
          <w:sz w:val="24"/>
          <w:szCs w:val="24"/>
        </w:rPr>
        <w:t xml:space="preserve">A further obstacle to deployment is the European regulatory landscape. The General Data Protection Regulation (GDPR) restricts processing of sensitive personal data [25], while the EU AI Act creates narrow exceptions for bias detection in high-risk systems [24]. Whether and how fairness corrections can be implemented under these frameworks remains contested [26,28,29]. This regulatory uncertainty has practical consequences: health systems need to know not just which methods work, but which ones are deployable under the legal constraints they actually face.</w:t>
      </w:r>
    </w:p>
    <w:p>
      <w:pPr>
        <w:spacing w:after="0" w:line="480"/>
        <w:ind w:firstLine="720"/>
      </w:pPr>
      <w:r>
        <w:rPr>
          <w:rFonts w:ascii="Times New Roman" w:cs="Times New Roman" w:eastAsia="Times New Roman" w:hAnsi="Times New Roman"/>
          <w:sz w:val="24"/>
          <w:szCs w:val="24"/>
        </w:rPr>
        <w:t xml:space="preserve">This study addresses all three gaps through a unified investigation. We first quantify income-based disparities in health prediction models for older Europeans, establishing the scope and direction of the problem. We then evaluate 26 bias mitigation methods—the largest such benchmark in healthcare ML—to identify which approaches effectively reduce these disparities and at what cost to predictive performance. Finally, we translate our findings into a deployment framework that matches methods to real-world constraints, including technical capacity, data availability, and regulatory requirements. Through this three-part contribution, we aim to move the conversation from whether income bias exists in health AI to what health systems should do about it.</w:t>
      </w:r>
    </w:p>
    <w:p>
      <w:pPr>
        <w:pStyle w:val="Heading1"/>
        <w:spacing w:before="360" w:after="120" w:line="480"/>
      </w:pPr>
      <w:r>
        <w:rPr>
          <w:rFonts w:ascii="Times New Roman" w:cs="Times New Roman" w:eastAsia="Times New Roman" w:hAnsi="Times New Roman"/>
          <w:b/>
          <w:bCs/>
          <w:sz w:val="24"/>
          <w:szCs w:val="24"/>
        </w:rPr>
        <w:t xml:space="preserve">Materials and methods</w:t>
      </w:r>
    </w:p>
    <w:p>
      <w:pPr>
        <w:pStyle w:val="Heading2"/>
        <w:spacing w:before="240" w:after="120" w:line="480"/>
      </w:pPr>
      <w:r>
        <w:rPr>
          <w:rFonts w:ascii="Times New Roman" w:cs="Times New Roman" w:eastAsia="Times New Roman" w:hAnsi="Times New Roman"/>
          <w:b/>
          <w:bCs/>
          <w:sz w:val="24"/>
          <w:szCs w:val="24"/>
        </w:rPr>
        <w:t xml:space="preserve">Ethics statement</w:t>
      </w:r>
    </w:p>
    <w:p>
      <w:pPr>
        <w:spacing w:after="0" w:line="480"/>
        <w:ind/>
      </w:pPr>
      <w:r>
        <w:rPr>
          <w:rFonts w:ascii="Times New Roman" w:cs="Times New Roman" w:eastAsia="Times New Roman" w:hAnsi="Times New Roman"/>
          <w:sz w:val="24"/>
          <w:szCs w:val="24"/>
        </w:rPr>
        <w:t xml:space="preserve">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No additional ethical approval was required for secondary analysis of de-identified data.</w:t>
      </w:r>
    </w:p>
    <w:p>
      <w:pPr>
        <w:pStyle w:val="Heading2"/>
        <w:spacing w:before="240" w:after="120" w:line="480"/>
      </w:pPr>
      <w:r>
        <w:rPr>
          <w:rFonts w:ascii="Times New Roman" w:cs="Times New Roman" w:eastAsia="Times New Roman" w:hAnsi="Times New Roman"/>
          <w:b/>
          <w:bCs/>
          <w:sz w:val="24"/>
          <w:szCs w:val="24"/>
        </w:rPr>
        <w:t xml:space="preserve">Study population and data source</w:t>
      </w:r>
    </w:p>
    <w:p>
      <w:pPr>
        <w:spacing w:after="0" w:line="480"/>
        <w:ind/>
      </w:pPr>
      <w:r>
        <w:rPr>
          <w:rFonts w:ascii="Times New Roman" w:cs="Times New Roman" w:eastAsia="Times New Roman" w:hAnsi="Times New Roman"/>
          <w:sz w:val="24"/>
          <w:szCs w:val="24"/>
        </w:rPr>
        <w:t xml:space="preserve">We used data from Wave 9 (2021–2022) of the Survey of Health, Ageing and Retirement in Europe (SHARE), a cross-national longitudinal study covering 27 European countries and Israel [4]. After excluding respondents with missing income data and applying quality filters, our sample comprised 51,720 respondents with 175 predictor features spanning demographics, health conditions, functional limitations, health behaviours, social participation, cognitive function, and housing characteristics.</w:t>
      </w:r>
    </w:p>
    <w:p>
      <w:pPr>
        <w:pStyle w:val="Heading2"/>
        <w:spacing w:before="240" w:after="120" w:line="480"/>
      </w:pPr>
      <w:r>
        <w:rPr>
          <w:rFonts w:ascii="Times New Roman" w:cs="Times New Roman" w:eastAsia="Times New Roman" w:hAnsi="Times New Roman"/>
          <w:b/>
          <w:bCs/>
          <w:sz w:val="24"/>
          <w:szCs w:val="24"/>
        </w:rPr>
        <w:t xml:space="preserve">Health outcomes</w:t>
      </w:r>
    </w:p>
    <w:p>
      <w:pPr>
        <w:spacing w:after="0" w:line="480"/>
        <w:ind/>
      </w:pPr>
      <w:r>
        <w:rPr>
          <w:rFonts w:ascii="Times New Roman" w:cs="Times New Roman" w:eastAsia="Times New Roman" w:hAnsi="Times New Roman"/>
          <w:sz w:val="24"/>
          <w:szCs w:val="24"/>
        </w:rPr>
        <w:t xml:space="preserve">We predicted four binary outcomes representing distinct dimensions of wellbeing. EURO-D depression was defined as a score ≥4 on the 12-item scale [30] (prevalence: 26.3%). Life satisfaction was dichotomised at the median of a 0–10 scale (29.9%). Quality of life was measured using CASP-12 [31], dichotomised at the median (29.1%). Self-rated health was coded as poor/fair versus good or better [32] (36.3%).</w:t>
      </w:r>
    </w:p>
    <w:p>
      <w:pPr>
        <w:pStyle w:val="Heading2"/>
        <w:spacing w:before="240" w:after="120" w:line="480"/>
      </w:pPr>
      <w:r>
        <w:rPr>
          <w:rFonts w:ascii="Times New Roman" w:cs="Times New Roman" w:eastAsia="Times New Roman" w:hAnsi="Times New Roman"/>
          <w:b/>
          <w:bCs/>
          <w:sz w:val="24"/>
          <w:szCs w:val="24"/>
        </w:rPr>
        <w:t xml:space="preserve">Protected attribute</w:t>
      </w:r>
    </w:p>
    <w:p>
      <w:pPr>
        <w:spacing w:after="0" w:line="480"/>
        <w:ind/>
      </w:pPr>
      <w:r>
        <w:rPr>
          <w:rFonts w:ascii="Times New Roman" w:cs="Times New Roman" w:eastAsia="Times New Roman" w:hAnsi="Times New Roman"/>
          <w:sz w:val="24"/>
          <w:szCs w:val="24"/>
        </w:rPr>
        <w:t xml:space="preserve">Household income quintile (Q1 = lowest to Q5 = highest) served as the protected attribute, computed from total household income adjusted using the OECD-modified equivalence scale. Quintiles provided balanced group sizes (N = 10,123–10,500 per group) and captured the socioeconomic gradient in condition prevalence: Q1 ranged from 34.7% (EURO-D) to 48.1% (self-rated health), while Q5 ranged from 16.8% (CASP-12) to 25.3% (self-rated health).</w:t>
      </w:r>
    </w:p>
    <w:p>
      <w:pPr>
        <w:pStyle w:val="Heading2"/>
        <w:spacing w:before="240" w:after="120" w:line="480"/>
      </w:pPr>
      <w:r>
        <w:rPr>
          <w:rFonts w:ascii="Times New Roman" w:cs="Times New Roman" w:eastAsia="Times New Roman" w:hAnsi="Times New Roman"/>
          <w:b/>
          <w:bCs/>
          <w:sz w:val="24"/>
          <w:szCs w:val="24"/>
        </w:rPr>
        <w:t xml:space="preserve">Baseline model and fairness evaluation</w:t>
      </w:r>
    </w:p>
    <w:p>
      <w:pPr>
        <w:spacing w:after="0" w:line="480"/>
        <w:ind/>
      </w:pPr>
      <w:r>
        <w:rPr>
          <w:rFonts w:ascii="Times New Roman" w:cs="Times New Roman" w:eastAsia="Times New Roman" w:hAnsi="Times New Roman"/>
          <w:sz w:val="24"/>
          <w:szCs w:val="24"/>
        </w:rPr>
        <w:t xml:space="preserve">All methods were compared against LightGBM [33], selected for computational efficiency and strong tabular data performance. Hyperparameters were tuned via Bayesian optimisation. The baseline included income quintile as an input feature but imposed no fairness constraints. Our primary fairness metric was the true positive rate (TPR) gap: the maximum absolute difference in sensitivity across income quintiles. TPR parity is directly relevant to health screening, where failing to detect conditions in a specific income group translates to unequal care access. We additionally report equalised odds gap, demographic parity gap, and AUROC gap. All evaluations used 5-fold stratified cross-validation with joint stratification across outcomes and income quintiles. Fairness improvement was quantified as percentage reduction in TPR gap with 95% bootstrap confidence intervals (n = 2,000).</w:t>
      </w:r>
    </w:p>
    <w:p>
      <w:pPr>
        <w:pStyle w:val="Heading2"/>
        <w:spacing w:before="240" w:after="120" w:line="480"/>
      </w:pPr>
      <w:r>
        <w:rPr>
          <w:rFonts w:ascii="Times New Roman" w:cs="Times New Roman" w:eastAsia="Times New Roman" w:hAnsi="Times New Roman"/>
          <w:b/>
          <w:bCs/>
          <w:sz w:val="24"/>
          <w:szCs w:val="24"/>
        </w:rPr>
        <w:t xml:space="preserve">Bias mitigation methods</w:t>
      </w:r>
    </w:p>
    <w:p>
      <w:pPr>
        <w:spacing w:after="0" w:line="480"/>
        <w:ind/>
      </w:pPr>
      <w:r>
        <w:rPr>
          <w:rFonts w:ascii="Times New Roman" w:cs="Times New Roman" w:eastAsia="Times New Roman" w:hAnsi="Times New Roman"/>
          <w:sz w:val="24"/>
          <w:szCs w:val="24"/>
        </w:rPr>
        <w:t xml:space="preserve">We evaluated 26 methods in four categories using AI Fairness 360 [42], Fairlearn [43], and custom implementations. Pre-processing (n = 5): Reweighing, Disparate Impact Remover, Learning Fair Representations (LFR), Correlation Remover, and Sample Reweighting. In-processing (n = 13): Exponentiated Gradient with three constraint variants (demographic parity, equalised odds, TPR parity) [34], Grid Search with two variants, Adversarial Debiasing, Prejudice Remover, FairGBM [35], FairConstraints [36], Decoupled Classifier [39], GerryFair [40], JTT [38], and GroupDRO [37]. Post-processing (n = 6): Threshold Optimisation with three variants, Equalised Odds Post-processing [55], Reject Option Classification [41], and Group Calibration [46]. Data augmentation (n = 2): CTGAN [45] and FairSMOTE [44]. A two-track evaluation framework separately assessed methods designed for multi-group (quintile) versus binary (lowest-vs-rest) protected attributes.</w:t>
      </w:r>
    </w:p>
    <w:p>
      <w:pPr>
        <w:pStyle w:val="Heading2"/>
        <w:spacing w:before="240" w:after="120" w:line="480"/>
      </w:pPr>
      <w:r>
        <w:rPr>
          <w:rFonts w:ascii="Times New Roman" w:cs="Times New Roman" w:eastAsia="Times New Roman" w:hAnsi="Times New Roman"/>
          <w:b/>
          <w:bCs/>
          <w:sz w:val="24"/>
          <w:szCs w:val="24"/>
        </w:rPr>
        <w:t xml:space="preserve">Deployability assessment</w:t>
      </w:r>
    </w:p>
    <w:p>
      <w:pPr>
        <w:spacing w:after="0" w:line="480"/>
        <w:ind/>
      </w:pPr>
      <w:r>
        <w:rPr>
          <w:rFonts w:ascii="Times New Roman" w:cs="Times New Roman" w:eastAsia="Times New Roman" w:hAnsi="Times New Roman"/>
          <w:sz w:val="24"/>
          <w:szCs w:val="24"/>
        </w:rPr>
        <w:t xml:space="preserve">Given GDPR and EU AI Act constraints, we classified methods into three deployment tiers based on when the protected attribute is required. Tier 1 (14 methods): income needed only at training—fully compatible with inference scenarios where income is unavailable. Tier 2 (6 methods): income needed at inference for threshold adjustment. Tier 3 (6 methods): income required as direct model input. This framework maps directly onto the regulatory landscape: income is not a special category under GDPR Article 9, and Article 10(5) of the AI Act permits sensitive data processing for bias correction during training of high-risk systems [24,26,28].</w:t>
      </w:r>
    </w:p>
    <w:p>
      <w:pPr>
        <w:pStyle w:val="Heading2"/>
        <w:spacing w:before="240" w:after="120" w:line="480"/>
      </w:pPr>
      <w:r>
        <w:rPr>
          <w:rFonts w:ascii="Times New Roman" w:cs="Times New Roman" w:eastAsia="Times New Roman" w:hAnsi="Times New Roman"/>
          <w:b/>
          <w:bCs/>
          <w:sz w:val="24"/>
          <w:szCs w:val="24"/>
        </w:rPr>
        <w:t xml:space="preserve">Robustness analyses</w:t>
      </w:r>
    </w:p>
    <w:p>
      <w:pPr>
        <w:spacing w:after="0" w:line="480"/>
        <w:ind/>
      </w:pPr>
      <w:r>
        <w:rPr>
          <w:rFonts w:ascii="Times New Roman" w:cs="Times New Roman" w:eastAsia="Times New Roman" w:hAnsi="Times New Roman"/>
          <w:sz w:val="24"/>
          <w:szCs w:val="24"/>
        </w:rPr>
        <w:t xml:space="preserve">Multi-threshold robustness analyses evaluated methods under four strategies: balanced accuracy optimisation (default), sensitivity ≥70%, prevalence-matched, and fixed 0.5. Fold-level stability was assessed via sign tests and cross-fold standard deviations.</w:t>
      </w:r>
    </w:p>
    <w:p>
      <w:pPr>
        <w:pStyle w:val="Heading1"/>
        <w:spacing w:before="360" w:after="120" w:line="480"/>
      </w:pPr>
      <w:r>
        <w:rPr>
          <w:rFonts w:ascii="Times New Roman" w:cs="Times New Roman" w:eastAsia="Times New Roman" w:hAnsi="Times New Roman"/>
          <w:b/>
          <w:bCs/>
          <w:sz w:val="24"/>
          <w:szCs w:val="24"/>
        </w:rPr>
        <w:t xml:space="preserve">Results</w:t>
      </w:r>
    </w:p>
    <w:p>
      <w:pPr>
        <w:pStyle w:val="Heading2"/>
        <w:spacing w:before="240" w:after="120" w:line="480"/>
      </w:pPr>
      <w:r>
        <w:rPr>
          <w:rFonts w:ascii="Times New Roman" w:cs="Times New Roman" w:eastAsia="Times New Roman" w:hAnsi="Times New Roman"/>
          <w:b/>
          <w:bCs/>
          <w:sz w:val="24"/>
          <w:szCs w:val="24"/>
        </w:rPr>
        <w:t xml:space="preserve">Standard models exhibit substantial income-based disparities</w:t>
      </w:r>
    </w:p>
    <w:p>
      <w:pPr>
        <w:spacing w:after="0" w:line="480"/>
        <w:ind/>
      </w:pPr>
      <w:r>
        <w:rPr>
          <w:rFonts w:ascii="Times New Roman" w:cs="Times New Roman" w:eastAsia="Times New Roman" w:hAnsi="Times New Roman"/>
          <w:sz w:val="24"/>
          <w:szCs w:val="24"/>
        </w:rPr>
        <w:t xml:space="preserve">Before evaluating corrections, we characterised the scope of the fairness problem. A steep socioeconomic gradient was evident across all four health outcomes (Table 1): the lowest-income quintile had 1.7–2.6 times the condition prevalence of the highest-income quintile. The baseline LightGBM model achieved strong overall discrimination (AUROC: 0.805–0.893) but systematically under-detected health conditions in Q5 (Table 2). The TPR gap—the largest difference in detection rates across income groups—ranged from 0.167 for EURO-D depression to 0.301 for life satisfaction. In concrete terms, for every 10 depression cases correctly identified among the poorest older Europeans, the same model missed approximately 1.7 additional cases among the wealthiest. For life satisfaction, this figure rose to 3 missed cases per 10 detected.</w:t>
      </w:r>
    </w:p>
    <w:p>
      <w:pPr>
        <w:spacing w:before="240" w:after="120" w:line="4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Sample characteristics and outcome prevalence by income quintile (SHARE Wave 9, N = 51,720).</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1500"/>
        <w:gridCol w:w="1500"/>
        <w:gridCol w:w="560"/>
      </w:tblGrid>
      <w:tr>
        <w:trPr>
          <w:tblHeader/>
        </w:trPr>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SES Quintile</w:t>
            </w:r>
          </w:p>
        </w:tc>
        <w:tc>
          <w:tcPr>
            <w:tcW w:type="dxa" w:w="9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N</w:t>
            </w:r>
          </w:p>
        </w:tc>
        <w:tc>
          <w:tcPr>
            <w:tcW w:type="dxa" w:w="1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EURO-D N (%)</w:t>
            </w:r>
          </w:p>
        </w:tc>
        <w:tc>
          <w:tcPr>
            <w:tcW w:type="dxa" w:w="1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LS N (%)</w:t>
            </w:r>
          </w:p>
        </w:tc>
        <w:tc>
          <w:tcPr>
            <w:tcW w:type="dxa" w:w="1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CASP-12 N (%)</w:t>
            </w:r>
          </w:p>
        </w:tc>
        <w:tc>
          <w:tcPr>
            <w:tcW w:type="dxa" w:w="1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SRH N (%)</w:t>
            </w:r>
          </w:p>
        </w:tc>
        <w:tc>
          <w:tcPr>
            <w:tcW w:type="dxa" w:w="56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Q1 (lowest)</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10,397</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3,607 (34.7%)</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4,423 (42.5%)</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4,588 (44.1%)</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5,002 (48.1%)</w:t>
            </w:r>
          </w:p>
        </w:tc>
        <w:tc>
          <w:tcPr>
            <w:tcW w:type="dxa" w:w="5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Q2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10,500</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2,895 (27.6%)</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3,557 (33.9%)</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3,610 (34.4%)</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4,158 (39.6%)</w:t>
            </w:r>
          </w:p>
        </w:tc>
        <w:tc>
          <w:tcPr>
            <w:tcW w:type="dxa" w:w="5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Q3</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10,376</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2,609 (25.1%)</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3,075 (29.6%)</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2,895 (27.9%)</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3,730 (35.9%)</w:t>
            </w:r>
          </w:p>
        </w:tc>
        <w:tc>
          <w:tcPr>
            <w:tcW w:type="dxa" w:w="5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Q4</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10,324</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2,373 (23.0%)</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2,419 (23.4%)</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2,252 (21.8%)</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3,312 (32.1%)</w:t>
            </w:r>
          </w:p>
        </w:tc>
        <w:tc>
          <w:tcPr>
            <w:tcW w:type="dxa" w:w="5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Q5 (highest)</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10,123</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2,127 (21.0%)</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2,008 (19.8%)</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1,699 (16.8%)</w:t>
            </w:r>
          </w:p>
        </w:tc>
        <w:tc>
          <w:tcPr>
            <w:tcW w:type="dxa" w:w="1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2,563 (25.3%)</w:t>
            </w:r>
          </w:p>
        </w:tc>
        <w:tc>
          <w:tcPr>
            <w:tcW w:type="dxa" w:w="5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r>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Total</w:t>
            </w:r>
          </w:p>
        </w:tc>
        <w:tc>
          <w:tcPr>
            <w:tcW w:type="dxa" w:w="9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51,720</w:t>
            </w:r>
          </w:p>
        </w:tc>
        <w:tc>
          <w:tcPr>
            <w:tcW w:type="dxa" w:w="15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13,611 (26.3%)</w:t>
            </w:r>
          </w:p>
        </w:tc>
        <w:tc>
          <w:tcPr>
            <w:tcW w:type="dxa" w:w="15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15,482 (29.9%)</w:t>
            </w:r>
          </w:p>
        </w:tc>
        <w:tc>
          <w:tcPr>
            <w:tcW w:type="dxa" w:w="15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15,044 (29.1%)</w:t>
            </w:r>
          </w:p>
        </w:tc>
        <w:tc>
          <w:tcPr>
            <w:tcW w:type="dxa" w:w="15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18,765 (36.3%)</w:t>
            </w:r>
          </w:p>
        </w:tc>
        <w:tc>
          <w:tcPr>
            <w:tcW w:type="dxa" w:w="56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
            </w:r>
          </w:p>
        </w:tc>
      </w:tr>
    </w:tbl>
    <w:p>
      <w:pPr>
        <w:spacing w:before="60" w:after="200" w:line="276"/>
      </w:pPr>
      <w:r>
        <w:rPr>
          <w:rFonts w:ascii="Times New Roman" w:cs="Times New Roman" w:eastAsia="Times New Roman" w:hAnsi="Times New Roman"/>
          <w:i/>
          <w:iCs/>
          <w:sz w:val="20"/>
          <w:szCs w:val="20"/>
        </w:rPr>
        <w:t xml:space="preserve">EURO-D = depression scale ≥4; LS = life satisfaction (dichotomised at median); CASP-12 = quality of life (dichotomised at median); SRH = self-rated health (poor/fair vs. good or better). Q1 = lowest income; Q5 = highest income.</w:t>
      </w:r>
    </w:p>
    <w:p>
      <w:pPr>
        <w:spacing w:after="0" w:line="480"/>
        <w:ind w:firstLine="720"/>
      </w:pPr>
      <w:r>
        <w:rPr>
          <w:rFonts w:ascii="Times New Roman" w:cs="Times New Roman" w:eastAsia="Times New Roman" w:hAnsi="Times New Roman"/>
          <w:sz w:val="24"/>
          <w:szCs w:val="24"/>
        </w:rPr>
        <w:t xml:space="preserve">This pattern—under-detection in the highest-income group—was consistent across all outcomes and all cross-validation folds. It likely reflects the fact that wealthier individuals who do experience depression or poor quality of life present with feature profiles that differ from the typical affected individual in the training data, which is predominantly lower-income. The signed TPR gap was positive in all cases, confirming that Q5 consistently had the lowest detection rates. These disparities are not merely statistical: in a population screening programme, they would translate to systematically fewer follow-up referrals for health conditions among higher-income older adults.</w:t>
      </w:r>
    </w:p>
    <w:p>
      <w:pPr>
        <w:pStyle w:val="Heading2"/>
        <w:spacing w:before="240" w:after="120" w:line="480"/>
      </w:pPr>
      <w:r>
        <w:rPr>
          <w:rFonts w:ascii="Times New Roman" w:cs="Times New Roman" w:eastAsia="Times New Roman" w:hAnsi="Times New Roman"/>
          <w:b/>
          <w:bCs/>
          <w:sz w:val="24"/>
          <w:szCs w:val="24"/>
        </w:rPr>
        <w:t xml:space="preserve">Most bias mitigation methods reduce disparities, but effectiveness varies widely</w:t>
      </w:r>
    </w:p>
    <w:p>
      <w:pPr>
        <w:spacing w:after="0" w:line="480"/>
        <w:ind/>
      </w:pPr>
      <w:r>
        <w:rPr>
          <w:rFonts w:ascii="Times New Roman" w:cs="Times New Roman" w:eastAsia="Times New Roman" w:hAnsi="Times New Roman"/>
          <w:sz w:val="24"/>
          <w:szCs w:val="24"/>
        </w:rPr>
        <w:t xml:space="preserve">We evaluated 26 methods spanning four categories. Their effectiveness ranged from counterproductive (increasing disparity by 14%) to near-complete correction (94% reduction in TPR gap). Table 2 summarises the key results. Five methods appeared consistently among the top performers across all four health outcomes: ExpGrad_TPR, ExpGrad_EO, ThreshOpt_TPR, ThreshOpt_EO, and RejectOption.</w:t>
      </w:r>
    </w:p>
    <w:p>
      <w:pPr>
        <w:spacing w:before="240" w:after="120" w:line="4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Benchmark results for selected methods across four health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500"/>
        <w:gridCol w:w="1600"/>
        <w:gridCol w:w="1600"/>
        <w:gridCol w:w="1600"/>
        <w:gridCol w:w="1360"/>
      </w:tblGrid>
      <w:tr>
        <w:trPr>
          <w:tblHeader/>
        </w:trPr>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Method</w:t>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Category</w:t>
            </w:r>
          </w:p>
        </w:tc>
        <w:tc>
          <w:tcPr>
            <w:tcW w:type="dxa" w:w="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Tier</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EURO-D</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Life Satisfaction</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CASP-12</w:t>
            </w:r>
          </w:p>
        </w:tc>
        <w:tc>
          <w:tcPr>
            <w:tcW w:type="dxa" w:w="136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Self-Rated Health</w:t>
            </w:r>
          </w:p>
        </w:tc>
      </w:tr>
      <w:tr>
        <w:trPr>
          <w:tblHeader/>
        </w:trPr>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
            </w:r>
          </w:p>
        </w:tc>
        <w:tc>
          <w:tcPr>
            <w:tcW w:type="dxa" w:w="5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AUROC / TPR gap (%Δ)</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AUROC / TPR gap (%Δ)</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AUROC / TPR gap (%Δ)</w:t>
            </w:r>
          </w:p>
        </w:tc>
        <w:tc>
          <w:tcPr>
            <w:tcW w:type="dxa" w:w="136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AUROC / TPR gap (%Δ)</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Baseline (LightGBM)</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.167 (—)</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.301 (—)</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.280 (—)</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.181 (—)</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ExpGrad_TPR</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.819 / .019 (89%)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.777 / .019 (94%)</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.863 / .021 (93%)</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.885 / .024 (87%)</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ExpGrad_EO</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.819 / .020 (88%)</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.775 / .017 (94%)</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.863 / .023 (92%)</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.880 / .025 (86%)</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FairConstraints</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.818 / .018 (89%)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.755 / .060 (80%)</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.825 / .069 (75%)</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.865 / .070 (61%)</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ThreshOpt_TPR</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Post-proc.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.038 (77%)</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.030 (90%)</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.037 (87%)</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.031 (83%)</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ThreshOpt_EO</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Post-proc.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.049 (71%)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.042 (86%)</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.034 (88%)</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.035 (81%)</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RejectOption</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Post-proc.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.069 (59%)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.073 (76%)</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.028 (90%)</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.017 (91%)</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EqOdds_PP</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Post-proc.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.048 (72%)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.067 (78%)</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.060 (79%)</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.042 (77%)</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Reweighing</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Pre-proc.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.119 (29%)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.804 / .184 (39%)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.196 (30%)</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.130 (28%)</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FairGBM</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.829 / .152 (9%)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.804 / .166 (45%)</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.882 / .227 (19%)</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.891 / .123 (32%)</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CTGAN</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Augment.</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.830 / .169 (−1%)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.306 (−2%)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.883 / .266 (5%)</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.164 (10%)</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GroupDRO</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.831 / .174 (−4%)</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.805 / .305 (−1%)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.884 / .276 (1%)</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.893 / .172 (5%)</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JTT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In-proc.</w:t>
            </w:r>
          </w:p>
        </w:tc>
        <w:tc>
          <w:tcPr>
            <w:tcW w:type="dxa" w:w="5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.662 / .039 (77%)</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.564 / .041 (86%)</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.723 / .058 (79%)</w:t>
            </w:r>
          </w:p>
        </w:tc>
        <w:tc>
          <w:tcPr>
            <w:tcW w:type="dxa" w:w="13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.716 / .049 (73%)</w:t>
            </w:r>
          </w:p>
        </w:tc>
      </w:tr>
      <w:tr>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LFR</w:t>
            </w:r>
          </w:p>
        </w:tc>
        <w:tc>
          <w:tcPr>
            <w:tcW w:type="dxa" w:w="11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Pre-proc.</w:t>
            </w:r>
          </w:p>
        </w:tc>
        <w:tc>
          <w:tcPr>
            <w:tcW w:type="dxa" w:w="5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.547 / .190 (−14%)</w:t>
            </w:r>
          </w:p>
        </w:tc>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.559 / .102 (66%)</w:t>
            </w:r>
          </w:p>
        </w:tc>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.610 / .100 (64%)</w:t>
            </w:r>
          </w:p>
        </w:tc>
        <w:tc>
          <w:tcPr>
            <w:tcW w:type="dxa" w:w="136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.551 / .159 (12%)</w:t>
            </w:r>
          </w:p>
        </w:tc>
      </w:tr>
    </w:tbl>
    <w:p>
      <w:pPr>
        <w:spacing w:before="60" w:after="200" w:line="276"/>
      </w:pPr>
      <w:r>
        <w:rPr>
          <w:rFonts w:ascii="Times New Roman" w:cs="Times New Roman" w:eastAsia="Times New Roman" w:hAnsi="Times New Roman"/>
          <w:i/>
          <w:iCs/>
          <w:sz w:val="20"/>
          <w:szCs w:val="20"/>
        </w:rPr>
        <w:t xml:space="preserve">Values: AUROC / TPR gap (percentage reduction from baseline). Tier: 1 = income at training only; 2 = income at inference; 3 = income as model input. %Δ = percentage reduction in TPR gap. Full results for all 26 methods in S1 Table.</w:t>
      </w:r>
    </w:p>
    <w:p>
      <w:pPr>
        <w:pStyle w:val="Heading2"/>
        <w:spacing w:before="240" w:after="120" w:line="480"/>
      </w:pPr>
      <w:r>
        <w:rPr>
          <w:rFonts w:ascii="Times New Roman" w:cs="Times New Roman" w:eastAsia="Times New Roman" w:hAnsi="Times New Roman"/>
          <w:b/>
          <w:bCs/>
          <w:sz w:val="24"/>
          <w:szCs w:val="24"/>
        </w:rPr>
        <w:t xml:space="preserve">In-processing constraint methods achieve the best fairness-accuracy balance</w:t>
      </w:r>
    </w:p>
    <w:p>
      <w:pPr>
        <w:spacing w:after="0" w:line="480"/>
        <w:ind/>
      </w:pPr>
      <w:r>
        <w:rPr>
          <w:rFonts w:ascii="Times New Roman" w:cs="Times New Roman" w:eastAsia="Times New Roman" w:hAnsi="Times New Roman"/>
          <w:sz w:val="24"/>
          <w:szCs w:val="24"/>
        </w:rPr>
        <w:t xml:space="preserve">The top three methods—ExpGrad_TPR, ExpGrad_EO, and FairConstraints—are all in-processing approaches that embed fairness constraints directly into the learning objective [34,36]. ExpGrad_TPR achieved 87–94% TPR gap reductions across outcomes with AUROC losses of only 1.1–2.8 percentage points. These methods work by reducing fairness-constrained optimisation to a sequence of cost-sensitive classification problems, which integrates naturally with gradient boosting frameworks [34].</w:t>
      </w:r>
    </w:p>
    <w:p>
      <w:pPr>
        <w:spacing w:after="0" w:line="480"/>
        <w:ind w:firstLine="720"/>
      </w:pPr>
      <w:r>
        <w:rPr>
          <w:rFonts w:ascii="Times New Roman" w:cs="Times New Roman" w:eastAsia="Times New Roman" w:hAnsi="Times New Roman"/>
          <w:sz w:val="24"/>
          <w:szCs w:val="24"/>
        </w:rPr>
        <w:t xml:space="preserve">Post-processing methods (ThreshOpt_TPR, RejectOption) offered a distinct trade-off: 77–91% gap reductions at zero AUROC cost, because they adjust decision thresholds rather than the model itself. RejectOption was the single best method for self-rated health (91% reduction) and CASP-12 (90%). However, these methods require income data at inference for group-specific threshold selection.</w:t>
      </w:r>
    </w:p>
    <w:p>
      <w:pPr>
        <w:spacing w:after="0" w:line="480"/>
        <w:ind w:firstLine="720"/>
      </w:pPr>
      <w:r>
        <w:rPr>
          <w:rFonts w:ascii="Times New Roman" w:cs="Times New Roman" w:eastAsia="Times New Roman" w:hAnsi="Times New Roman"/>
          <w:sz w:val="24"/>
          <w:szCs w:val="24"/>
        </w:rPr>
        <w:t xml:space="preserve">Pre-processing methods produced only modest improvements (28–39% for Reweighing, the best in this category), while data augmentation via CTGAN and FairSMOTE was ineffective (−2% to 16% reductions), consistent with evidence that naive synthetic data can amplify rather than correct bias [47]. Several methods failed outright: LFR destroyed predictive accuracy (AUROC: 0.55–0.61); JTT achieved fairness at unacceptable accuracy cost (AUROC: 0.56–0.72); GroupDRO and GerryFairClassifier showed negligible or negative improvement. No method caused stable harm across outcomes.</w:t>
      </w:r>
    </w:p>
    <w:p>
      <w:pPr>
        <w:pStyle w:val="Heading2"/>
        <w:spacing w:before="240" w:after="120" w:line="480"/>
      </w:pPr>
      <w:r>
        <w:rPr>
          <w:rFonts w:ascii="Times New Roman" w:cs="Times New Roman" w:eastAsia="Times New Roman" w:hAnsi="Times New Roman"/>
          <w:b/>
          <w:bCs/>
          <w:sz w:val="24"/>
          <w:szCs w:val="24"/>
        </w:rPr>
        <w:t xml:space="preserve">Results are robust across folds and threshold choices</w:t>
      </w:r>
    </w:p>
    <w:p>
      <w:pPr>
        <w:spacing w:after="0" w:line="480"/>
        <w:ind/>
      </w:pPr>
      <w:r>
        <w:rPr>
          <w:rFonts w:ascii="Times New Roman" w:cs="Times New Roman" w:eastAsia="Times New Roman" w:hAnsi="Times New Roman"/>
          <w:sz w:val="24"/>
          <w:szCs w:val="24"/>
        </w:rPr>
        <w:t xml:space="preserve">The top methods showed strong stability across cross-validation folds (Fig 1). ExpGrad_TPR and ExpGrad_EO achieved significant improvement in all five folds (5/5 sign test) for all four outcomes, with fold-level TPR gap standard deviations of 0.011–0.018. Multi-threshold analysis confirmed that results were not artifacts of threshold selection: under all four strategies, the top methods maintained substantial fairness improvements.</w:t>
      </w:r>
    </w:p>
    <w:p>
      <w:pPr>
        <w:pStyle w:val="Heading2"/>
        <w:spacing w:before="240" w:after="120" w:line="480"/>
      </w:pPr>
      <w:r>
        <w:rPr>
          <w:rFonts w:ascii="Times New Roman" w:cs="Times New Roman" w:eastAsia="Times New Roman" w:hAnsi="Times New Roman"/>
          <w:b/>
          <w:bCs/>
          <w:sz w:val="24"/>
          <w:szCs w:val="24"/>
        </w:rPr>
        <w:t xml:space="preserve">A deployment framework for European health systems</w:t>
      </w:r>
    </w:p>
    <w:p>
      <w:pPr>
        <w:spacing w:after="0" w:line="480"/>
        <w:ind/>
      </w:pPr>
      <w:r>
        <w:rPr>
          <w:rFonts w:ascii="Times New Roman" w:cs="Times New Roman" w:eastAsia="Times New Roman" w:hAnsi="Times New Roman"/>
          <w:sz w:val="24"/>
          <w:szCs w:val="24"/>
        </w:rPr>
        <w:t xml:space="preserve">Our central practical contribution is translating benchmark results into deployment guidance (Table 3). We organise recommendations by the constraints health systems actually face: whether they can retrain models, whether income data is available at inference, and their technical capacity.</w:t>
      </w:r>
    </w:p>
    <w:p>
      <w:pPr>
        <w:spacing w:before="240" w:after="120" w:line="48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Deployment framework: method recommendations by health system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000"/>
        <w:gridCol w:w="2960"/>
      </w:tblGrid>
      <w:tr>
        <w:trPr>
          <w:tblHeader/>
        </w:trPr>
        <w:tc>
          <w:tcPr>
            <w:tcW w:type="dxa" w:w="18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Deployment scenario</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Best method</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 TPR gap reduced</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AUROC cost</w:t>
            </w:r>
          </w:p>
        </w:tc>
        <w:tc>
          <w:tcPr>
            <w:tcW w:type="dxa" w:w="100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Tier</w:t>
            </w:r>
          </w:p>
        </w:tc>
        <w:tc>
          <w:tcPr>
            <w:tcW w:type="dxa" w:w="2960"/>
            <w:tcBorders>
              <w:top w:val="none" w:sz="0"/>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Requirement</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Full pipeline control, no A at inference</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ExpGrad_TPR</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87–94%</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1–3 pp</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29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Retrain model with fairness constraints; income needed only in training data</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Full pipeline control, A available at inference</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ExpGrad_EO</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86–94%</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1–3 pp</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29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Same as above; slightly better equalised odds</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Cannot retrain, A available at inference</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ThreshOpt_TPR</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77–90%</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0 pp</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29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Adjust decision thresholds per income group; no model retraining needed</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Cannot retrain, want best single-outcome fix</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RejectOption</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59–91%</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0 pp</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w:t>
            </w:r>
          </w:p>
        </w:tc>
        <w:tc>
          <w:tcPr>
            <w:tcW w:type="dxa" w:w="29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Reclassify borderline cases near decision boundary by income group</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Minimal technical capacity</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Reweighing</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28–39%</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0 pp</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2960"/>
            <w:tcBorders>
              <w:top w:val="none" w:sz="0"/>
              <w:left w:val="none" w:sz="0"/>
              <w:bottom w:val="none" w:sz="0"/>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Reweight training samples; drop-in compatible with any classifier</w:t>
            </w:r>
          </w:p>
        </w:tc>
      </w:tr>
      <w:tr>
        <w:tc>
          <w:tcPr>
            <w:tcW w:type="dxa" w:w="18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Want synthetic data approach</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Not recommended</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−2% to 16%</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0 pp</w:t>
            </w:r>
          </w:p>
        </w:tc>
        <w:tc>
          <w:tcPr>
            <w:tcW w:type="dxa" w:w="100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1</w:t>
            </w:r>
          </w:p>
        </w:tc>
        <w:tc>
          <w:tcPr>
            <w:tcW w:type="dxa" w:w="2960"/>
            <w:tcBorders>
              <w:top w:val="single" w:color="000000" w:sz="1"/>
              <w:left w:val="none" w:sz="0"/>
              <w:bottom w:val="single" w:color="000000" w:sz="1"/>
              <w:right w:val="none" w:sz="0"/>
            </w:tcBorders>
            <w:tcMar>
              <w:top w:type="dxa" w:w="40"/>
              <w:left w:type="dxa" w:w="80"/>
              <w:bottom w:type="dxa" w:w="40"/>
              <w:right w:type="dxa" w:w="80"/>
            </w:tcMar>
          </w:tcPr>
          <w:p>
            <w:pPr>
              <w:spacing w:after="0" w:line="276"/>
              <w:jc w:val="center"/>
            </w:pPr>
            <w:r>
              <w:rPr>
                <w:rFonts w:ascii="Times New Roman" w:cs="Times New Roman" w:eastAsia="Times New Roman" w:hAnsi="Times New Roman"/>
                <w:b w:val="false"/>
                <w:bCs w:val="false"/>
                <w:sz w:val="20"/>
                <w:szCs w:val="20"/>
              </w:rPr>
              <w:t xml:space="preserve">CTGAN/FairSMOTE unreliable; may amplify bias</w:t>
            </w:r>
          </w:p>
        </w:tc>
      </w:tr>
    </w:tbl>
    <w:p>
      <w:pPr>
        <w:spacing w:before="60" w:after="200" w:line="276"/>
      </w:pPr>
      <w:r>
        <w:rPr>
          <w:rFonts w:ascii="Times New Roman" w:cs="Times New Roman" w:eastAsia="Times New Roman" w:hAnsi="Times New Roman"/>
          <w:i/>
          <w:iCs/>
          <w:sz w:val="20"/>
          <w:szCs w:val="20"/>
        </w:rPr>
        <w:t xml:space="preserve">A = protected attribute (income quintile). Tier 1 = income at training only; Tier 2 = income at inference. pp = percentage points AUROC. % TPR gap reduced = range across four health outcomes.</w:t>
      </w:r>
    </w:p>
    <w:p>
      <w:pPr>
        <w:spacing w:after="0" w:line="480"/>
        <w:ind w:firstLine="720"/>
      </w:pPr>
      <w:r>
        <w:rPr>
          <w:rFonts w:ascii="Times New Roman" w:cs="Times New Roman" w:eastAsia="Times New Roman" w:hAnsi="Times New Roman"/>
          <w:sz w:val="24"/>
          <w:szCs w:val="24"/>
        </w:rPr>
        <w:t xml:space="preserve">Three features of this framework merit emphasis. First, the best-performing methods (ExpGrad_TPR, ExpGrad_EO) are also the most deployment-friendly: they require income data only during model training, never at the point of prediction. A health system can train a fairness-corrected model using linked survey or administrative income data, then deploy the resulting model in clinical workflows where income is unknown—without any special handling of sensitive attributes at inference. Second, for systems unable to retrain their models, post-processing via ThreshOpt_TPR provides a strong alternative (77–90% reduction, zero accuracy cost) that can be applied as an overlay to any existing prediction pipeline, provided income information is available for threshold calibration. Third, we explicitly identify approaches that should be avoided: data augmentation methods (CTGAN, FairSMOTE) do not reliably reduce disparities and may amplify them.</w:t>
      </w:r>
    </w:p>
    <w:p>
      <w:pPr>
        <w:pStyle w:val="Heading1"/>
        <w:spacing w:before="360" w:after="120" w:line="480"/>
      </w:pPr>
      <w:r>
        <w:rPr>
          <w:rFonts w:ascii="Times New Roman" w:cs="Times New Roman" w:eastAsia="Times New Roman" w:hAnsi="Times New Roman"/>
          <w:b/>
          <w:bCs/>
          <w:sz w:val="24"/>
          <w:szCs w:val="24"/>
        </w:rPr>
        <w:t xml:space="preserve">Discussion</w:t>
      </w:r>
    </w:p>
    <w:p>
      <w:pPr>
        <w:pStyle w:val="Heading2"/>
        <w:spacing w:before="240" w:after="120" w:line="480"/>
      </w:pPr>
      <w:r>
        <w:rPr>
          <w:rFonts w:ascii="Times New Roman" w:cs="Times New Roman" w:eastAsia="Times New Roman" w:hAnsi="Times New Roman"/>
          <w:b/>
          <w:bCs/>
          <w:sz w:val="24"/>
          <w:szCs w:val="24"/>
        </w:rPr>
        <w:t xml:space="preserve">Income bias in health AI: scope and mechanism</w:t>
      </w:r>
    </w:p>
    <w:p>
      <w:pPr>
        <w:spacing w:after="0" w:line="480"/>
        <w:ind/>
      </w:pPr>
      <w:r>
        <w:rPr>
          <w:rFonts w:ascii="Times New Roman" w:cs="Times New Roman" w:eastAsia="Times New Roman" w:hAnsi="Times New Roman"/>
          <w:sz w:val="24"/>
          <w:szCs w:val="24"/>
        </w:rPr>
        <w:t xml:space="preserve">Our first contribution is documenting the scope of income-based disparities in health prediction for older Europeans. The finding that standard models systematically under-detect conditions in the highest-income quintile may seem counterintuitive—clinical attention typically focuses on disadvantaged groups. However, this pattern has a straightforward explanation: because health conditions are less prevalent among wealthier individuals (16.8–25.3% vs. 34.7–48.1%), affected individuals in Q5 are statistical minorities within their income group. Their feature profiles differ from the majority of affected cases in the training data, leading to lower detection rates. This is not a failure of model calibration but a structural consequence of how income interacts with symptom presentation. The practical implication is that unaudited ML models used in population screening may create a false sense of equity—appearing to work well overall while quietly missing cases in specific income groups.</w:t>
      </w:r>
    </w:p>
    <w:p>
      <w:pPr>
        <w:pStyle w:val="Heading2"/>
        <w:spacing w:before="240" w:after="120" w:line="480"/>
      </w:pPr>
      <w:r>
        <w:rPr>
          <w:rFonts w:ascii="Times New Roman" w:cs="Times New Roman" w:eastAsia="Times New Roman" w:hAnsi="Times New Roman"/>
          <w:b/>
          <w:bCs/>
          <w:sz w:val="24"/>
          <w:szCs w:val="24"/>
        </w:rPr>
        <w:t xml:space="preserve">The fairness-performance trade-off is navigable</w:t>
      </w:r>
    </w:p>
    <w:p>
      <w:pPr>
        <w:spacing w:after="0" w:line="480"/>
        <w:ind/>
      </w:pPr>
      <w:r>
        <w:rPr>
          <w:rFonts w:ascii="Times New Roman" w:cs="Times New Roman" w:eastAsia="Times New Roman" w:hAnsi="Times New Roman"/>
          <w:sz w:val="24"/>
          <w:szCs w:val="24"/>
        </w:rPr>
        <w:t xml:space="preserve">Our benchmark demonstrates that this trade-off, while real, is far more manageable than previous healthcare fairness studies suggested. Pfohl and colleagues found near-universal performance degradation with fairness penalties on clinical risk prediction [15], and MEDFAIR concluded that no method consistently outperformed standard training on medical imaging [14]. Our more optimistic results likely reflect three factors: SHARE's rich 175-feature space provides sufficient redundancy for constraint-based methods to redistribute predictive emphasis without losing signal; income quintiles may present a more tractable fairness target than race, given abundant income-correlated features in health survey data; and the Exponentiated Gradient approach integrates naturally with gradient boosting, the dominant paradigm for tabular data.</w:t>
      </w:r>
    </w:p>
    <w:p>
      <w:pPr>
        <w:spacing w:after="0" w:line="480"/>
        <w:ind w:firstLine="720"/>
      </w:pPr>
      <w:r>
        <w:rPr>
          <w:rFonts w:ascii="Times New Roman" w:cs="Times New Roman" w:eastAsia="Times New Roman" w:hAnsi="Times New Roman"/>
          <w:sz w:val="24"/>
          <w:szCs w:val="24"/>
        </w:rPr>
        <w:t xml:space="preserve">The causal fairness literature notes that from a causal perspective, some tension between fairness and utility always exists [21]. Our finding of small trade-offs reflects specific metric and data choices rather than a universal resolution. Whether a 1–3 percentage point AUROC reduction is acceptable depends on the deployment context. We argue that where baseline TPR gaps of 0.17–0.30 mean systematically missing health conditions across entire income groups, this cost is clearly justified.</w:t>
      </w:r>
    </w:p>
    <w:p>
      <w:pPr>
        <w:pStyle w:val="Heading2"/>
        <w:spacing w:before="240" w:after="120" w:line="480"/>
      </w:pPr>
      <w:r>
        <w:rPr>
          <w:rFonts w:ascii="Times New Roman" w:cs="Times New Roman" w:eastAsia="Times New Roman" w:hAnsi="Times New Roman"/>
          <w:b/>
          <w:bCs/>
          <w:sz w:val="24"/>
          <w:szCs w:val="24"/>
        </w:rPr>
        <w:t xml:space="preserve">From benchmarks to deployment: regulatory alignment</w:t>
      </w:r>
    </w:p>
    <w:p>
      <w:pPr>
        <w:spacing w:after="0" w:line="480"/>
        <w:ind/>
      </w:pPr>
      <w:r>
        <w:rPr>
          <w:rFonts w:ascii="Times New Roman" w:cs="Times New Roman" w:eastAsia="Times New Roman" w:hAnsi="Times New Roman"/>
          <w:sz w:val="24"/>
          <w:szCs w:val="24"/>
        </w:rPr>
        <w:t xml:space="preserve">Perhaps our most practically significant finding is that the best-performing methods also face the fewest deployment barriers under European regulations. This alignment is not coincidental: in-processing constraint methods learn intrinsically fairer models by embedding fairness into model parameters [34,36], eliminating the need for sensitive attributes at prediction time. By contrast, post-processing methods, despite competitive performance, require ongoing income data access for each prediction, raising GDPR compliance questions even though income is not a special category under Article 9 [25,26].</w:t>
      </w:r>
    </w:p>
    <w:p>
      <w:pPr>
        <w:spacing w:after="0" w:line="480"/>
        <w:ind w:firstLine="720"/>
      </w:pPr>
      <w:r>
        <w:rPr>
          <w:rFonts w:ascii="Times New Roman" w:cs="Times New Roman" w:eastAsia="Times New Roman" w:hAnsi="Times New Roman"/>
          <w:sz w:val="24"/>
          <w:szCs w:val="24"/>
        </w:rPr>
        <w:t xml:space="preserve">The EU AI Act's Article 10(5) creates a legal basis for processing sensitive data during training of high-risk AI systems [24], and health screening systems would likely qualify. The practical advantage of income over race or health status as a protected attribute is significant: fewer regulatory barriers exist, and income data is routinely available in administrative records used for model development [27,28]. Our Tier 1 methods can be trained using these records and deployed without any sensitive data handling at inference—a regulatory profile that aligns with the strongest interpretation of GDPR data minimisation principles.</w:t>
      </w:r>
    </w:p>
    <w:p>
      <w:pPr>
        <w:pStyle w:val="Heading2"/>
        <w:spacing w:before="240" w:after="120" w:line="480"/>
      </w:pPr>
      <w:r>
        <w:rPr>
          <w:rFonts w:ascii="Times New Roman" w:cs="Times New Roman" w:eastAsia="Times New Roman" w:hAnsi="Times New Roman"/>
          <w:b/>
          <w:bCs/>
          <w:sz w:val="24"/>
          <w:szCs w:val="24"/>
        </w:rPr>
        <w:t xml:space="preserve">Comparison with related work</w:t>
      </w:r>
    </w:p>
    <w:p>
      <w:pPr>
        <w:spacing w:after="0" w:line="480"/>
        <w:ind/>
      </w:pPr>
      <w:r>
        <w:rPr>
          <w:rFonts w:ascii="Times New Roman" w:cs="Times New Roman" w:eastAsia="Times New Roman" w:hAnsi="Times New Roman"/>
          <w:sz w:val="24"/>
          <w:szCs w:val="24"/>
        </w:rPr>
        <w:t xml:space="preserve">The most directly relevant prior work is Shen and colleagues' audit of SHARE-based models across 16 European countries [8], which found demographic parity ranging from 0.14 (Greece) to 0.96 (Switzerland) but applied no corrective methods. Our study complements their diagnostic work with systematic treatment. The cross-country variation they document suggests that our aggregate findings should be validated at the country level—an important direction for future work. Juhn and colleagues' study of the HOUSES socioeconomic index [10] found 35% higher balanced error rates for low-SES children, arguing that SES fairness is under-recognised. Our work extends this observation to older adults with a full mitigation benchmark. In the broader fairness literature, our 26-method benchmark is approximately 2.4 times larger than MEDFAIR [14] and exceeds any general-domain benchmark we identified [16–19].</w:t>
      </w:r>
    </w:p>
    <w:p>
      <w:pPr>
        <w:pStyle w:val="Heading2"/>
        <w:spacing w:before="240" w:after="120" w:line="480"/>
      </w:pPr>
      <w:r>
        <w:rPr>
          <w:rFonts w:ascii="Times New Roman" w:cs="Times New Roman" w:eastAsia="Times New Roman" w:hAnsi="Times New Roman"/>
          <w:b/>
          <w:bCs/>
          <w:sz w:val="24"/>
          <w:szCs w:val="24"/>
        </w:rPr>
        <w:t xml:space="preserve">Limitations and future directions</w:t>
      </w:r>
    </w:p>
    <w:p>
      <w:pPr>
        <w:spacing w:after="0" w:line="480"/>
        <w:ind/>
      </w:pPr>
      <w:r>
        <w:rPr>
          <w:rFonts w:ascii="Times New Roman" w:cs="Times New Roman" w:eastAsia="Times New Roman" w:hAnsi="Times New Roman"/>
          <w:sz w:val="24"/>
          <w:szCs w:val="24"/>
        </w:rPr>
        <w:t xml:space="preserve">Several limitations should be acknowledged. First, we evaluate methods on a single dataset (SHARE Wave 9); cross-dataset and cross-country validation would strengthen generalisability, particularly given evidence that fairness corrections may not transfer across populations [54]. Second, income quintiles capture only one dimension of socioeconomic position; education, wealth, or composite indices may yield different patterns. Third, we evaluate group-based metrics that do not capture intersectional or individual-level fairness [21]. Fourth, method rankings may differ with other base learners [19]. Future work should extend this benchmark to longitudinal prediction using SHARE panel data, evaluate intersectional fairness across income, gender, and country subgroups, and develop methods that require no protected attribute even at training time through causal or proxy-based approaches [27].</w:t>
      </w:r>
    </w:p>
    <w:p>
      <w:pPr>
        <w:pStyle w:val="Heading1"/>
        <w:spacing w:before="360" w:after="120" w:line="480"/>
      </w:pPr>
      <w:r>
        <w:rPr>
          <w:rFonts w:ascii="Times New Roman" w:cs="Times New Roman" w:eastAsia="Times New Roman" w:hAnsi="Times New Roman"/>
          <w:b/>
          <w:bCs/>
          <w:sz w:val="24"/>
          <w:szCs w:val="24"/>
        </w:rPr>
        <w:t xml:space="preserve">Conclusions</w:t>
      </w:r>
    </w:p>
    <w:p>
      <w:pPr>
        <w:spacing w:after="0" w:line="480"/>
        <w:ind/>
      </w:pPr>
      <w:r>
        <w:rPr>
          <w:rFonts w:ascii="Times New Roman" w:cs="Times New Roman" w:eastAsia="Times New Roman" w:hAnsi="Times New Roman"/>
          <w:sz w:val="24"/>
          <w:szCs w:val="24"/>
        </w:rPr>
        <w:t xml:space="preserve">Standard ML models for health prediction in older Europeans harbour substantial income-based disparities, systematically under-detecting conditions in the highest-income group by 17–30 percentage points in TPR. These disparities are correctable: the best in-processing constraint methods reduce income-based detection gaps by 86–94% with minimal accuracy cost, and these same methods require income data only during training—making them the most deployment-ready under European privacy regulations. For health systems that cannot retrain models, post-processing threshold adjustment offers a strong zero-cost alternative when income data is available. Data augmentation approaches should be avoided. We provide the first evidence-based deployment framework matching bias mitigation methods to the constraints European health systems actually face, demonstrating that equitable health AI for ageing populations is both technically achievable and regulatorily feasible.</w:t>
      </w:r>
    </w:p>
    <w:p>
      <w:pPr>
        <w:pStyle w:val="Heading1"/>
        <w:spacing w:before="360" w:after="120" w:line="480"/>
      </w:pPr>
      <w:r>
        <w:rPr>
          <w:rFonts w:ascii="Times New Roman" w:cs="Times New Roman" w:eastAsia="Times New Roman" w:hAnsi="Times New Roman"/>
          <w:b/>
          <w:bCs/>
          <w:sz w:val="24"/>
          <w:szCs w:val="24"/>
        </w:rPr>
        <w:t xml:space="preserve">Acknowledgments</w:t>
      </w:r>
    </w:p>
    <w:p>
      <w:pPr>
        <w:spacing w:after="0" w:line="480"/>
        <w:ind/>
      </w:pPr>
      <w:r>
        <w:rPr>
          <w:rFonts w:ascii="Times New Roman" w:cs="Times New Roman" w:eastAsia="Times New Roman" w:hAnsi="Times New Roman"/>
          <w:sz w:val="24"/>
          <w:szCs w:val="24"/>
        </w:rPr>
        <w:t xml:space="preserve">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through VS 2015/0195, VS 2016/0135, VS 2018/0285, VS 2019/0332, and VS 2020/0313.</w:t>
      </w:r>
    </w:p>
    <w:p>
      <w:r>
        <w:br w:type="page"/>
      </w:r>
    </w:p>
    <w:p>
      <w:pPr>
        <w:pStyle w:val="Heading1"/>
        <w:spacing w:before="360" w:after="120" w:line="480"/>
      </w:pPr>
      <w:r>
        <w:rPr>
          <w:rFonts w:ascii="Times New Roman" w:cs="Times New Roman" w:eastAsia="Times New Roman" w:hAnsi="Times New Roman"/>
          <w:b/>
          <w:bCs/>
          <w:sz w:val="24"/>
          <w:szCs w:val="24"/>
        </w:rPr>
        <w:t xml:space="preserve">References</w:t>
      </w:r>
    </w:p>
    <w:p>
      <w:pPr>
        <w:spacing w:after="60" w:line="276"/>
        <w:ind w:left="360" w:hanging="360"/>
      </w:pPr>
      <w:r>
        <w:rPr>
          <w:rFonts w:ascii="Times New Roman" w:cs="Times New Roman" w:eastAsia="Times New Roman" w:hAnsi="Times New Roman"/>
          <w:sz w:val="20"/>
          <w:szCs w:val="20"/>
        </w:rPr>
        <w:t xml:space="preserve">1. Obermeyer Z, Powers B, Vogeli C, Mullainathan S. Dissecting racial bias in an algorithm used to manage the health of populations. Science. 2019;366(6464):447-453.</w:t>
      </w:r>
    </w:p>
    <w:p>
      <w:pPr>
        <w:spacing w:after="60" w:line="276"/>
        <w:ind w:left="360" w:hanging="360"/>
      </w:pPr>
      <w:r>
        <w:rPr>
          <w:rFonts w:ascii="Times New Roman" w:cs="Times New Roman" w:eastAsia="Times New Roman" w:hAnsi="Times New Roman"/>
          <w:sz w:val="20"/>
          <w:szCs w:val="20"/>
        </w:rPr>
        <w:t xml:space="preserve">2. OECD. Health at a Glance: Europe 2024. Paris: OECD Publishing; 2024.</w:t>
      </w:r>
    </w:p>
    <w:p>
      <w:pPr>
        <w:spacing w:after="60" w:line="276"/>
        <w:ind w:left="360" w:hanging="360"/>
      </w:pPr>
      <w:r>
        <w:rPr>
          <w:rFonts w:ascii="Times New Roman" w:cs="Times New Roman" w:eastAsia="Times New Roman" w:hAnsi="Times New Roman"/>
          <w:sz w:val="20"/>
          <w:szCs w:val="20"/>
        </w:rPr>
        <w:t xml:space="preserve">3. World Health Organization. World report on ageing and health. Geneva: WHO; 2015.</w:t>
      </w:r>
    </w:p>
    <w:p>
      <w:pPr>
        <w:spacing w:after="60" w:line="276"/>
        <w:ind w:left="360" w:hanging="360"/>
      </w:pPr>
      <w:r>
        <w:rPr>
          <w:rFonts w:ascii="Times New Roman" w:cs="Times New Roman" w:eastAsia="Times New Roman" w:hAnsi="Times New Roman"/>
          <w:sz w:val="20"/>
          <w:szCs w:val="20"/>
        </w:rPr>
        <w:t xml:space="preserve">4. Börsch-Supan A, Brandt M, Hunkler C, Kneip T, Korbmacher J, Malter F, et al. Data resource profile: The Survey of Health, Ageing and Retirement in Europe (SHARE). Int J Epidemiol. 2013;42(4):992-1001.</w:t>
      </w:r>
    </w:p>
    <w:p>
      <w:pPr>
        <w:spacing w:after="60" w:line="276"/>
        <w:ind w:left="360" w:hanging="360"/>
      </w:pPr>
      <w:r>
        <w:rPr>
          <w:rFonts w:ascii="Times New Roman" w:cs="Times New Roman" w:eastAsia="Times New Roman" w:hAnsi="Times New Roman"/>
          <w:sz w:val="20"/>
          <w:szCs w:val="20"/>
        </w:rPr>
        <w:t xml:space="preserve">5. Handing EP, Strobl C, Gerstorf D. Predictors of depression among middle-aged and older men and women in Europe: A machine learning approach. Lancet Reg Health Eur. 2022;18:100391.</w:t>
      </w:r>
    </w:p>
    <w:p>
      <w:pPr>
        <w:spacing w:after="60" w:line="276"/>
        <w:ind w:left="360" w:hanging="360"/>
      </w:pPr>
      <w:r>
        <w:rPr>
          <w:rFonts w:ascii="Times New Roman" w:cs="Times New Roman" w:eastAsia="Times New Roman" w:hAnsi="Times New Roman"/>
          <w:sz w:val="20"/>
          <w:szCs w:val="20"/>
        </w:rPr>
        <w:t xml:space="preserve">6. Prati G. Health status prediction for the elderly based on machine learning. Arch Gerontol Geriatr. 2022;101:104690.</w:t>
      </w:r>
    </w:p>
    <w:p>
      <w:pPr>
        <w:spacing w:after="60" w:line="276"/>
        <w:ind w:left="360" w:hanging="360"/>
      </w:pPr>
      <w:r>
        <w:rPr>
          <w:rFonts w:ascii="Times New Roman" w:cs="Times New Roman" w:eastAsia="Times New Roman" w:hAnsi="Times New Roman"/>
          <w:sz w:val="20"/>
          <w:szCs w:val="20"/>
        </w:rPr>
        <w:t xml:space="preserve">7. Lu Y, Yin J, Chen Z, Gong Y, Liu Z, Zhang L, et al. Determinants of depressive symptoms in multinational middle-aged and older adults. npj Digit Med. 2025;8:186.</w:t>
      </w:r>
    </w:p>
    <w:p>
      <w:pPr>
        <w:spacing w:after="60" w:line="276"/>
        <w:ind w:left="360" w:hanging="360"/>
      </w:pPr>
      <w:r>
        <w:rPr>
          <w:rFonts w:ascii="Times New Roman" w:cs="Times New Roman" w:eastAsia="Times New Roman" w:hAnsi="Times New Roman"/>
          <w:sz w:val="20"/>
          <w:szCs w:val="20"/>
        </w:rPr>
        <w:t xml:space="preserve">8. Shen X, Peng X, Zhang H, Wang J, Li K. Algorithm fairness in predicting unmet preventive care: Evidence from 16 European countries using SHARE. medRxiv [Preprint]. 2025 [cited 2026 Feb 13]. Available from: https://doi.org/10.1101/2025.09.09.25335389</w:t>
      </w:r>
    </w:p>
    <w:p>
      <w:pPr>
        <w:spacing w:after="60" w:line="276"/>
        <w:ind w:left="360" w:hanging="360"/>
      </w:pPr>
      <w:r>
        <w:rPr>
          <w:rFonts w:ascii="Times New Roman" w:cs="Times New Roman" w:eastAsia="Times New Roman" w:hAnsi="Times New Roman"/>
          <w:sz w:val="20"/>
          <w:szCs w:val="20"/>
        </w:rPr>
        <w:t xml:space="preserve">9. Rajkomar A, Hardt M, Howell MD, Corrado G, Chin MH. Ensuring fairness in machine learning to advance health equity. Ann Intern Med. 2018;169(12):866-872.</w:t>
      </w:r>
    </w:p>
    <w:p>
      <w:pPr>
        <w:spacing w:after="60" w:line="276"/>
        <w:ind w:left="360" w:hanging="360"/>
      </w:pPr>
      <w:r>
        <w:rPr>
          <w:rFonts w:ascii="Times New Roman" w:cs="Times New Roman" w:eastAsia="Times New Roman" w:hAnsi="Times New Roman"/>
          <w:sz w:val="20"/>
          <w:szCs w:val="20"/>
        </w:rPr>
        <w:t xml:space="preserve">10. Juhn YJ, Ryu E, Wi CI, King KS, Malik M, Juhn HJ, et al. Assessing socioeconomic bias in machine learning algorithms in health care: A case study of the HOUSES index. J Am Med Inform Assoc. 2022;29(7):1142-1151.</w:t>
      </w:r>
    </w:p>
    <w:p>
      <w:pPr>
        <w:spacing w:after="60" w:line="276"/>
        <w:ind w:left="360" w:hanging="360"/>
      </w:pPr>
      <w:r>
        <w:rPr>
          <w:rFonts w:ascii="Times New Roman" w:cs="Times New Roman" w:eastAsia="Times New Roman" w:hAnsi="Times New Roman"/>
          <w:sz w:val="20"/>
          <w:szCs w:val="20"/>
        </w:rPr>
        <w:t xml:space="preserve">11. Ciernikova S, Pospisilova E, Pec M, Bertinyova S, Nagyova I. Fairness and bias correction in machine learning for depression prediction across four study populations. Sci Rep. 2024;14:8567.</w:t>
      </w:r>
    </w:p>
    <w:p>
      <w:pPr>
        <w:spacing w:after="60" w:line="276"/>
        <w:ind w:left="360" w:hanging="360"/>
      </w:pPr>
      <w:r>
        <w:rPr>
          <w:rFonts w:ascii="Times New Roman" w:cs="Times New Roman" w:eastAsia="Times New Roman" w:hAnsi="Times New Roman"/>
          <w:sz w:val="20"/>
          <w:szCs w:val="20"/>
        </w:rPr>
        <w:t xml:space="preserve">12. Stahl D, Karcher N, Gkika S. Strategies to mitigate age-related bias in machine learning: Scoping review. JMIR Aging. 2024;7:e53564.</w:t>
      </w:r>
    </w:p>
    <w:p>
      <w:pPr>
        <w:spacing w:after="60" w:line="276"/>
        <w:ind w:left="360" w:hanging="360"/>
      </w:pPr>
      <w:r>
        <w:rPr>
          <w:rFonts w:ascii="Times New Roman" w:cs="Times New Roman" w:eastAsia="Times New Roman" w:hAnsi="Times New Roman"/>
          <w:sz w:val="20"/>
          <w:szCs w:val="20"/>
        </w:rPr>
        <w:t xml:space="preserve">13. Mehrabi N, Morstatter F, Saxena N, Leskovec J, Galstyan A. A survey on bias and fairness in machine learning. ACM Comput Surv. 2021;54(6):1-35.</w:t>
      </w:r>
    </w:p>
    <w:p>
      <w:pPr>
        <w:spacing w:after="60" w:line="276"/>
        <w:ind w:left="360" w:hanging="360"/>
      </w:pPr>
      <w:r>
        <w:rPr>
          <w:rFonts w:ascii="Times New Roman" w:cs="Times New Roman" w:eastAsia="Times New Roman" w:hAnsi="Times New Roman"/>
          <w:sz w:val="20"/>
          <w:szCs w:val="20"/>
        </w:rPr>
        <w:t xml:space="preserve">14. Zong Y, Yang Y, Hospedales T. MEDFAIR: Benchmarking fairness for medical imaging. In: ICLR; 2023.</w:t>
      </w:r>
    </w:p>
    <w:p>
      <w:pPr>
        <w:spacing w:after="60" w:line="276"/>
        <w:ind w:left="360" w:hanging="360"/>
      </w:pPr>
      <w:r>
        <w:rPr>
          <w:rFonts w:ascii="Times New Roman" w:cs="Times New Roman" w:eastAsia="Times New Roman" w:hAnsi="Times New Roman"/>
          <w:sz w:val="20"/>
          <w:szCs w:val="20"/>
        </w:rPr>
        <w:t xml:space="preserve">15. Pfohl SR, Foryciarz A, Shah NH. An empirical characterization of fair machine learning for clinical risk prediction. J Biomed Inform. 2021;113:103621.</w:t>
      </w:r>
    </w:p>
    <w:p>
      <w:pPr>
        <w:spacing w:after="60" w:line="276"/>
        <w:ind w:left="360" w:hanging="360"/>
      </w:pPr>
      <w:r>
        <w:rPr>
          <w:rFonts w:ascii="Times New Roman" w:cs="Times New Roman" w:eastAsia="Times New Roman" w:hAnsi="Times New Roman"/>
          <w:sz w:val="20"/>
          <w:szCs w:val="20"/>
        </w:rPr>
        <w:t xml:space="preserve">16. Chen Z, Zhang JM, Sarro F, Harman M. A comprehensive empirical study of bias mitigation methods for machine learning classifiers. ACM Trans Softw Eng Methodol. 2023;32(4):1-30.</w:t>
      </w:r>
    </w:p>
    <w:p>
      <w:pPr>
        <w:spacing w:after="60" w:line="276"/>
        <w:ind w:left="360" w:hanging="360"/>
      </w:pPr>
      <w:r>
        <w:rPr>
          <w:rFonts w:ascii="Times New Roman" w:cs="Times New Roman" w:eastAsia="Times New Roman" w:hAnsi="Times New Roman"/>
          <w:sz w:val="20"/>
          <w:szCs w:val="20"/>
        </w:rPr>
        <w:t xml:space="preserve">17. Friedler SA, Scheidegger C, Venkatasubramanian S, Choudhary S, Hamilton EP, Roth D. A comparative study of fairness-enhancing interventions in machine learning. In: FAccT; 2019. pp. 329-338.</w:t>
      </w:r>
    </w:p>
    <w:p>
      <w:pPr>
        <w:spacing w:after="60" w:line="276"/>
        <w:ind w:left="360" w:hanging="360"/>
      </w:pPr>
      <w:r>
        <w:rPr>
          <w:rFonts w:ascii="Times New Roman" w:cs="Times New Roman" w:eastAsia="Times New Roman" w:hAnsi="Times New Roman"/>
          <w:sz w:val="20"/>
          <w:szCs w:val="20"/>
        </w:rPr>
        <w:t xml:space="preserve">18. Han X, Tsang I, Zhu J, Liu T, Gong M, Liu F, et al. FFB: A fair fairness benchmark for in-processing group fairness methods. In: ICLR; 2024.</w:t>
      </w:r>
    </w:p>
    <w:p>
      <w:pPr>
        <w:spacing w:after="60" w:line="276"/>
        <w:ind w:left="360" w:hanging="360"/>
      </w:pPr>
      <w:r>
        <w:rPr>
          <w:rFonts w:ascii="Times New Roman" w:cs="Times New Roman" w:eastAsia="Times New Roman" w:hAnsi="Times New Roman"/>
          <w:sz w:val="20"/>
          <w:szCs w:val="20"/>
        </w:rPr>
        <w:t xml:space="preserve">19. Defrance M, Vanderdonckt J, Verleysen M. ABCFair: An adaptable benchmark approach for comparing fairness methods. In: NeurIPS Datasets and Benchmarks Track; 2024.</w:t>
      </w:r>
    </w:p>
    <w:p>
      <w:pPr>
        <w:spacing w:after="60" w:line="276"/>
        <w:ind w:left="360" w:hanging="360"/>
      </w:pPr>
      <w:r>
        <w:rPr>
          <w:rFonts w:ascii="Times New Roman" w:cs="Times New Roman" w:eastAsia="Times New Roman" w:hAnsi="Times New Roman"/>
          <w:sz w:val="20"/>
          <w:szCs w:val="20"/>
        </w:rPr>
        <w:t xml:space="preserve">20. Rodolfa KT, Lamba H, Ghani R. Empirical observation of negligible fairness-accuracy trade-offs in machine learning for public policy. Nat Mach Intell. 2021;3(10):896-904.</w:t>
      </w:r>
    </w:p>
    <w:p>
      <w:pPr>
        <w:spacing w:after="60" w:line="276"/>
        <w:ind w:left="360" w:hanging="360"/>
      </w:pPr>
      <w:r>
        <w:rPr>
          <w:rFonts w:ascii="Times New Roman" w:cs="Times New Roman" w:eastAsia="Times New Roman" w:hAnsi="Times New Roman"/>
          <w:sz w:val="20"/>
          <w:szCs w:val="20"/>
        </w:rPr>
        <w:t xml:space="preserve">21. Corbett-Davies S, Goel S. The measure and mismeasure of fairness: A critical review of fair machine learning. J Mach Learn Res. 2023;24(312):1-117.</w:t>
      </w:r>
    </w:p>
    <w:p>
      <w:pPr>
        <w:spacing w:after="60" w:line="276"/>
        <w:ind w:left="360" w:hanging="360"/>
      </w:pPr>
      <w:r>
        <w:rPr>
          <w:rFonts w:ascii="Times New Roman" w:cs="Times New Roman" w:eastAsia="Times New Roman" w:hAnsi="Times New Roman"/>
          <w:sz w:val="20"/>
          <w:szCs w:val="20"/>
        </w:rPr>
        <w:t xml:space="preserve">22. Hort M, Chen Z, Zhang JM, Harman M, Sarro F. Bias mitigation for machine learning classifiers: A comprehensive survey. ACM J Responsib Comput. 2024;1(2):1-52.</w:t>
      </w:r>
    </w:p>
    <w:p>
      <w:pPr>
        <w:spacing w:after="60" w:line="276"/>
        <w:ind w:left="360" w:hanging="360"/>
      </w:pPr>
      <w:r>
        <w:rPr>
          <w:rFonts w:ascii="Times New Roman" w:cs="Times New Roman" w:eastAsia="Times New Roman" w:hAnsi="Times New Roman"/>
          <w:sz w:val="20"/>
          <w:szCs w:val="20"/>
        </w:rPr>
        <w:t xml:space="preserve">23. Mhasawade V, Zhao Y, Chunara R. Machine learning and algorithmic fairness in public and population health. Nat Mach Intell. 2021;3(8):659-666.</w:t>
      </w:r>
    </w:p>
    <w:p>
      <w:pPr>
        <w:spacing w:after="60" w:line="276"/>
        <w:ind w:left="360" w:hanging="360"/>
      </w:pPr>
      <w:r>
        <w:rPr>
          <w:rFonts w:ascii="Times New Roman" w:cs="Times New Roman" w:eastAsia="Times New Roman" w:hAnsi="Times New Roman"/>
          <w:sz w:val="20"/>
          <w:szCs w:val="20"/>
        </w:rPr>
        <w:t xml:space="preserve">24. Regulation (EU) 2024/1689 of the European Parliament and of the Council of 13 June 2024 laying down harmonised rules on artificial intelligence (AI Act). OJ L, 2024/1689.</w:t>
      </w:r>
    </w:p>
    <w:p>
      <w:pPr>
        <w:spacing w:after="60" w:line="276"/>
        <w:ind w:left="360" w:hanging="360"/>
      </w:pPr>
      <w:r>
        <w:rPr>
          <w:rFonts w:ascii="Times New Roman" w:cs="Times New Roman" w:eastAsia="Times New Roman" w:hAnsi="Times New Roman"/>
          <w:sz w:val="20"/>
          <w:szCs w:val="20"/>
        </w:rPr>
        <w:t xml:space="preserve">25. Regulation (EU) 2016/679 of the European Parliament and of the Council of 27 April 2016 on the protection of natural persons with regard to the processing of personal data (GDPR). OJ L 119.</w:t>
      </w:r>
    </w:p>
    <w:p>
      <w:pPr>
        <w:spacing w:after="60" w:line="276"/>
        <w:ind w:left="360" w:hanging="360"/>
      </w:pPr>
      <w:r>
        <w:rPr>
          <w:rFonts w:ascii="Times New Roman" w:cs="Times New Roman" w:eastAsia="Times New Roman" w:hAnsi="Times New Roman"/>
          <w:sz w:val="20"/>
          <w:szCs w:val="20"/>
        </w:rPr>
        <w:t xml:space="preserve">26. Wachter S, Mittelstadt B, Russell C. Why fairness cannot be automated: Bridging the gap between EU non-discrimination law and AI. Comput Law Secur Rev. 2021;41:105567.</w:t>
      </w:r>
    </w:p>
    <w:p>
      <w:pPr>
        <w:spacing w:after="60" w:line="276"/>
        <w:ind w:left="360" w:hanging="360"/>
      </w:pPr>
      <w:r>
        <w:rPr>
          <w:rFonts w:ascii="Times New Roman" w:cs="Times New Roman" w:eastAsia="Times New Roman" w:hAnsi="Times New Roman"/>
          <w:sz w:val="20"/>
          <w:szCs w:val="20"/>
        </w:rPr>
        <w:t xml:space="preserve">27. Veale M, Binns R. Fairer machine learning in the real world: Mitigating discrimination without collecting sensitive data. Big Data Soc. 2017;4(2):1-17.</w:t>
      </w:r>
    </w:p>
    <w:p>
      <w:pPr>
        <w:spacing w:after="60" w:line="276"/>
        <w:ind w:left="360" w:hanging="360"/>
      </w:pPr>
      <w:r>
        <w:rPr>
          <w:rFonts w:ascii="Times New Roman" w:cs="Times New Roman" w:eastAsia="Times New Roman" w:hAnsi="Times New Roman"/>
          <w:sz w:val="20"/>
          <w:szCs w:val="20"/>
        </w:rPr>
        <w:t xml:space="preserve">28. European Parliament Research Service. Algorithmic discrimination under the AI Act and the GDPR. Brussels: EPRS; 2025.</w:t>
      </w:r>
    </w:p>
    <w:p>
      <w:pPr>
        <w:spacing w:after="60" w:line="276"/>
        <w:ind w:left="360" w:hanging="360"/>
      </w:pPr>
      <w:r>
        <w:rPr>
          <w:rFonts w:ascii="Times New Roman" w:cs="Times New Roman" w:eastAsia="Times New Roman" w:hAnsi="Times New Roman"/>
          <w:sz w:val="20"/>
          <w:szCs w:val="20"/>
        </w:rPr>
        <w:t xml:space="preserve">29. Deck C, Krafft PM, Stark P. It's complicated: The relationship of algorithmic fairness and non-discrimination regulations for high-risk systems in the EU AI Act. arXiv:2501.12962 [Preprint]. 2025 [cited 2026 Feb 13]. Available from: https://arxiv.org/abs/2501.12962</w:t>
      </w:r>
    </w:p>
    <w:p>
      <w:pPr>
        <w:spacing w:after="60" w:line="276"/>
        <w:ind w:left="360" w:hanging="360"/>
      </w:pPr>
      <w:r>
        <w:rPr>
          <w:rFonts w:ascii="Times New Roman" w:cs="Times New Roman" w:eastAsia="Times New Roman" w:hAnsi="Times New Roman"/>
          <w:sz w:val="20"/>
          <w:szCs w:val="20"/>
        </w:rPr>
        <w:t xml:space="preserve">30. Prince MJ, Reischies F, Beekman AT, Fuhrer R, Jonker C, Kivela SL, et al. Development of the EURO-D scale—a European Union initiative to compare symptoms of depression in 14 European centres. Br J Psychiatry. 1999;174(4):330-338.</w:t>
      </w:r>
    </w:p>
    <w:p>
      <w:pPr>
        <w:spacing w:after="60" w:line="276"/>
        <w:ind w:left="360" w:hanging="360"/>
      </w:pPr>
      <w:r>
        <w:rPr>
          <w:rFonts w:ascii="Times New Roman" w:cs="Times New Roman" w:eastAsia="Times New Roman" w:hAnsi="Times New Roman"/>
          <w:sz w:val="20"/>
          <w:szCs w:val="20"/>
        </w:rPr>
        <w:t xml:space="preserve">31. Hyde M, Wiggins RD, Higgs P, Blane DB. A measure of quality of life in early old age: The theory, development and properties of a needs satisfaction model (CASP-19). Aging Ment Health. 2003;7(3):186-194.</w:t>
      </w:r>
    </w:p>
    <w:p>
      <w:pPr>
        <w:spacing w:after="60" w:line="276"/>
        <w:ind w:left="360" w:hanging="360"/>
      </w:pPr>
      <w:r>
        <w:rPr>
          <w:rFonts w:ascii="Times New Roman" w:cs="Times New Roman" w:eastAsia="Times New Roman" w:hAnsi="Times New Roman"/>
          <w:sz w:val="20"/>
          <w:szCs w:val="20"/>
        </w:rPr>
        <w:t xml:space="preserve">32. Jylhä M. What is self-rated health and why does it predict mortality? Towards a unified conceptual model. Soc Sci Med. 2009;68(3):553-560.</w:t>
      </w:r>
    </w:p>
    <w:p>
      <w:pPr>
        <w:spacing w:after="60" w:line="276"/>
        <w:ind w:left="360" w:hanging="360"/>
      </w:pPr>
      <w:r>
        <w:rPr>
          <w:rFonts w:ascii="Times New Roman" w:cs="Times New Roman" w:eastAsia="Times New Roman" w:hAnsi="Times New Roman"/>
          <w:sz w:val="20"/>
          <w:szCs w:val="20"/>
        </w:rPr>
        <w:t xml:space="preserve">33. Ke G, Meng Q, Finley T, Wang T, Chen W, Ma W, et al. LightGBM: A highly efficient gradient boosting decision tree. In: NeurIPS; 2017. pp. 3146-3154.</w:t>
      </w:r>
    </w:p>
    <w:p>
      <w:pPr>
        <w:spacing w:after="60" w:line="276"/>
        <w:ind w:left="360" w:hanging="360"/>
      </w:pPr>
      <w:r>
        <w:rPr>
          <w:rFonts w:ascii="Times New Roman" w:cs="Times New Roman" w:eastAsia="Times New Roman" w:hAnsi="Times New Roman"/>
          <w:sz w:val="20"/>
          <w:szCs w:val="20"/>
        </w:rPr>
        <w:t xml:space="preserve">34. Agarwal A, Beygelzimer A, Dudík M, Langford J, Wallach H. A reductions approach to fair classification. In: ICML; 2018. pp. 60-69.</w:t>
      </w:r>
    </w:p>
    <w:p>
      <w:pPr>
        <w:spacing w:after="60" w:line="276"/>
        <w:ind w:left="360" w:hanging="360"/>
      </w:pPr>
      <w:r>
        <w:rPr>
          <w:rFonts w:ascii="Times New Roman" w:cs="Times New Roman" w:eastAsia="Times New Roman" w:hAnsi="Times New Roman"/>
          <w:sz w:val="20"/>
          <w:szCs w:val="20"/>
        </w:rPr>
        <w:t xml:space="preserve">35. Cruz AF, Bel P, Soares C, Ghani R. FairGBM: Gradient boosting with fairness constraints. In: ICLR; 2023.</w:t>
      </w:r>
    </w:p>
    <w:p>
      <w:pPr>
        <w:spacing w:after="60" w:line="276"/>
        <w:ind w:left="360" w:hanging="360"/>
      </w:pPr>
      <w:r>
        <w:rPr>
          <w:rFonts w:ascii="Times New Roman" w:cs="Times New Roman" w:eastAsia="Times New Roman" w:hAnsi="Times New Roman"/>
          <w:sz w:val="20"/>
          <w:szCs w:val="20"/>
        </w:rPr>
        <w:t xml:space="preserve">36. Zafar MB, Valera I, Gomez Rodriguez M, Gummadi KP. Fairness constraints: Mechanisms for fair classification. J Mach Learn Res. 2019;20(75):1-42.</w:t>
      </w:r>
    </w:p>
    <w:p>
      <w:pPr>
        <w:spacing w:after="60" w:line="276"/>
        <w:ind w:left="360" w:hanging="360"/>
      </w:pPr>
      <w:r>
        <w:rPr>
          <w:rFonts w:ascii="Times New Roman" w:cs="Times New Roman" w:eastAsia="Times New Roman" w:hAnsi="Times New Roman"/>
          <w:sz w:val="20"/>
          <w:szCs w:val="20"/>
        </w:rPr>
        <w:t xml:space="preserve">37. Sagawa S, Koh PW, Hashimoto TB, Liang P. Distributionally robust neural networks for group shifts: On the importance of regularization for worst-case generalization. In: ICLR; 2020.</w:t>
      </w:r>
    </w:p>
    <w:p>
      <w:pPr>
        <w:spacing w:after="60" w:line="276"/>
        <w:ind w:left="360" w:hanging="360"/>
      </w:pPr>
      <w:r>
        <w:rPr>
          <w:rFonts w:ascii="Times New Roman" w:cs="Times New Roman" w:eastAsia="Times New Roman" w:hAnsi="Times New Roman"/>
          <w:sz w:val="20"/>
          <w:szCs w:val="20"/>
        </w:rPr>
        <w:t xml:space="preserve">38. Liu EZ, Haghgoo B, Chen AS, Raghunathan A, Koh PW, Sagawa S, et al. Just train twice: Improving group robustness without training group information. In: ICML; 2021. pp. 6781-6792.</w:t>
      </w:r>
    </w:p>
    <w:p>
      <w:pPr>
        <w:spacing w:after="60" w:line="276"/>
        <w:ind w:left="360" w:hanging="360"/>
      </w:pPr>
      <w:r>
        <w:rPr>
          <w:rFonts w:ascii="Times New Roman" w:cs="Times New Roman" w:eastAsia="Times New Roman" w:hAnsi="Times New Roman"/>
          <w:sz w:val="20"/>
          <w:szCs w:val="20"/>
        </w:rPr>
        <w:t xml:space="preserve">39. Dwork C, Immorlica N, Kalai AT, Leiserson M. Decoupled classifiers for group-fair and efficient machine learning. In: FAccT; 2018. pp. 119-133.</w:t>
      </w:r>
    </w:p>
    <w:p>
      <w:pPr>
        <w:spacing w:after="60" w:line="276"/>
        <w:ind w:left="360" w:hanging="360"/>
      </w:pPr>
      <w:r>
        <w:rPr>
          <w:rFonts w:ascii="Times New Roman" w:cs="Times New Roman" w:eastAsia="Times New Roman" w:hAnsi="Times New Roman"/>
          <w:sz w:val="20"/>
          <w:szCs w:val="20"/>
        </w:rPr>
        <w:t xml:space="preserve">40. Kearns M, Neel S, Roth A, Wu ZS. Preventing fairness gerrymandering: Auditing and learning for subgroup fairness. In: ICML; 2018. pp. 2564-2572.</w:t>
      </w:r>
    </w:p>
    <w:p>
      <w:pPr>
        <w:spacing w:after="60" w:line="276"/>
        <w:ind w:left="360" w:hanging="360"/>
      </w:pPr>
      <w:r>
        <w:rPr>
          <w:rFonts w:ascii="Times New Roman" w:cs="Times New Roman" w:eastAsia="Times New Roman" w:hAnsi="Times New Roman"/>
          <w:sz w:val="20"/>
          <w:szCs w:val="20"/>
        </w:rPr>
        <w:t xml:space="preserve">41. Kamiran F, Karim A, Zhang X. Decision theory for discrimination-aware classification. In: ICDM; 2012. pp. 924-929.</w:t>
      </w:r>
    </w:p>
    <w:p>
      <w:pPr>
        <w:spacing w:after="60" w:line="276"/>
        <w:ind w:left="360" w:hanging="360"/>
      </w:pPr>
      <w:r>
        <w:rPr>
          <w:rFonts w:ascii="Times New Roman" w:cs="Times New Roman" w:eastAsia="Times New Roman" w:hAnsi="Times New Roman"/>
          <w:sz w:val="20"/>
          <w:szCs w:val="20"/>
        </w:rPr>
        <w:t xml:space="preserve">42. Bellamy RKE, Dey K, Hind M, Hoffman SC, Houde S, Kannan K, et al. AI Fairness 360: An extensible toolkit for detecting and mitigating algorithmic bias. IBM J Res Dev. 2019;63(4/5):4:1-4:15.</w:t>
      </w:r>
    </w:p>
    <w:p>
      <w:pPr>
        <w:spacing w:after="60" w:line="276"/>
        <w:ind w:left="360" w:hanging="360"/>
      </w:pPr>
      <w:r>
        <w:rPr>
          <w:rFonts w:ascii="Times New Roman" w:cs="Times New Roman" w:eastAsia="Times New Roman" w:hAnsi="Times New Roman"/>
          <w:sz w:val="20"/>
          <w:szCs w:val="20"/>
        </w:rPr>
        <w:t xml:space="preserve">43. Bird S, Dudík M, Edgar R, Horn B, Lutz R, Milan V, et al. Fairlearn: A toolkit for assessing and improving fairness in AI. Microsoft Research; 2020. Available from: https://fairlearn.org</w:t>
      </w:r>
    </w:p>
    <w:p>
      <w:pPr>
        <w:spacing w:after="60" w:line="276"/>
        <w:ind w:left="360" w:hanging="360"/>
      </w:pPr>
      <w:r>
        <w:rPr>
          <w:rFonts w:ascii="Times New Roman" w:cs="Times New Roman" w:eastAsia="Times New Roman" w:hAnsi="Times New Roman"/>
          <w:sz w:val="20"/>
          <w:szCs w:val="20"/>
        </w:rPr>
        <w:t xml:space="preserve">44. Chakraborty J, Majumder S, Menzies T. Bias in machine learning software: Why? How? What to do? In: ESEC/FSE; 2021. pp. 429-440.</w:t>
      </w:r>
    </w:p>
    <w:p>
      <w:pPr>
        <w:spacing w:after="60" w:line="276"/>
        <w:ind w:left="360" w:hanging="360"/>
      </w:pPr>
      <w:r>
        <w:rPr>
          <w:rFonts w:ascii="Times New Roman" w:cs="Times New Roman" w:eastAsia="Times New Roman" w:hAnsi="Times New Roman"/>
          <w:sz w:val="20"/>
          <w:szCs w:val="20"/>
        </w:rPr>
        <w:t xml:space="preserve">45. Xu L, Skoularidou M, Cuesta-Infante A, Veeramachaneni K. Modeling tabular data using conditional GAN. In: NeurIPS; 2019.</w:t>
      </w:r>
    </w:p>
    <w:p>
      <w:pPr>
        <w:spacing w:after="60" w:line="276"/>
        <w:ind w:left="360" w:hanging="360"/>
      </w:pPr>
      <w:r>
        <w:rPr>
          <w:rFonts w:ascii="Times New Roman" w:cs="Times New Roman" w:eastAsia="Times New Roman" w:hAnsi="Times New Roman"/>
          <w:sz w:val="20"/>
          <w:szCs w:val="20"/>
        </w:rPr>
        <w:t xml:space="preserve">46. Pleiss G, Raghavan M, Wu F, Kleinberg J, Weinberger KQ. On fairness and calibration. In: NeurIPS; 2017.</w:t>
      </w:r>
    </w:p>
    <w:p>
      <w:pPr>
        <w:spacing w:after="60" w:line="276"/>
        <w:ind w:left="360" w:hanging="360"/>
      </w:pPr>
      <w:r>
        <w:rPr>
          <w:rFonts w:ascii="Times New Roman" w:cs="Times New Roman" w:eastAsia="Times New Roman" w:hAnsi="Times New Roman"/>
          <w:sz w:val="20"/>
          <w:szCs w:val="20"/>
        </w:rPr>
        <w:t xml:space="preserve">47. Wyllie EC, Shumailov I, Papernot N. Fairness feedback loops: Training on synthetic data amplifies bias. In: FAccT; 2024.</w:t>
      </w:r>
    </w:p>
    <w:p>
      <w:pPr>
        <w:spacing w:after="60" w:line="276"/>
        <w:ind w:left="360" w:hanging="360"/>
      </w:pPr>
      <w:r>
        <w:rPr>
          <w:rFonts w:ascii="Times New Roman" w:cs="Times New Roman" w:eastAsia="Times New Roman" w:hAnsi="Times New Roman"/>
          <w:sz w:val="20"/>
          <w:szCs w:val="20"/>
        </w:rPr>
        <w:t xml:space="preserve">48. Montorsi C, Ferro Luzzi G, Ferretti C, Ferro Luzzi A. Predicting depression in old age: Combining life course data with machine learning. Econ Hum Biol. 2024;52:101330.</w:t>
      </w:r>
    </w:p>
    <w:p>
      <w:pPr>
        <w:spacing w:after="60" w:line="276"/>
        <w:ind w:left="360" w:hanging="360"/>
      </w:pPr>
      <w:r>
        <w:rPr>
          <w:rFonts w:ascii="Times New Roman" w:cs="Times New Roman" w:eastAsia="Times New Roman" w:hAnsi="Times New Roman"/>
          <w:sz w:val="20"/>
          <w:szCs w:val="20"/>
        </w:rPr>
        <w:t xml:space="preserve">49. Gumà J, Arpino B. A machine learning approach to determine the influence of specific health conditions on self-rated health across education groups. BMC Public Health. 2023;23:197.</w:t>
      </w:r>
    </w:p>
    <w:p>
      <w:pPr>
        <w:spacing w:after="60" w:line="276"/>
        <w:ind w:left="360" w:hanging="360"/>
      </w:pPr>
      <w:r>
        <w:rPr>
          <w:rFonts w:ascii="Times New Roman" w:cs="Times New Roman" w:eastAsia="Times New Roman" w:hAnsi="Times New Roman"/>
          <w:sz w:val="20"/>
          <w:szCs w:val="20"/>
        </w:rPr>
        <w:t xml:space="preserve">50. Jin Y, Liu Y, Cai Y, Wang H, Shu H, Chen D, et al. FairMedFM: Fairness benchmarking for medical foundation models. In: NeurIPS Datasets and Benchmarks Track; 2024.</w:t>
      </w:r>
    </w:p>
    <w:p>
      <w:pPr>
        <w:spacing w:after="60" w:line="276"/>
        <w:ind w:left="360" w:hanging="360"/>
      </w:pPr>
      <w:r>
        <w:rPr>
          <w:rFonts w:ascii="Times New Roman" w:cs="Times New Roman" w:eastAsia="Times New Roman" w:hAnsi="Times New Roman"/>
          <w:sz w:val="20"/>
          <w:szCs w:val="20"/>
        </w:rPr>
        <w:t xml:space="preserve">51. BMC Digital Health. Post-processing methods for mitigating algorithmic bias in healthcare classification models: An extended umbrella review. BMC Digit Health. 2025;3:62.</w:t>
      </w:r>
    </w:p>
    <w:p>
      <w:pPr>
        <w:spacing w:after="60" w:line="276"/>
        <w:ind w:left="360" w:hanging="360"/>
      </w:pPr>
      <w:r>
        <w:rPr>
          <w:rFonts w:ascii="Times New Roman" w:cs="Times New Roman" w:eastAsia="Times New Roman" w:hAnsi="Times New Roman"/>
          <w:sz w:val="20"/>
          <w:szCs w:val="20"/>
        </w:rPr>
        <w:t xml:space="preserve">52. Stypińska J, Franke A. AI ageism: A critical roadmap for studying age discrimination and exclusion in digitalized societies. Front Sociol. 2023;7:1017887.</w:t>
      </w:r>
    </w:p>
    <w:p>
      <w:pPr>
        <w:spacing w:after="60" w:line="276"/>
        <w:ind w:left="360" w:hanging="360"/>
      </w:pPr>
      <w:r>
        <w:rPr>
          <w:rFonts w:ascii="Times New Roman" w:cs="Times New Roman" w:eastAsia="Times New Roman" w:hAnsi="Times New Roman"/>
          <w:sz w:val="20"/>
          <w:szCs w:val="20"/>
        </w:rPr>
        <w:t xml:space="preserve">53. Luo Y, Carretta HJ, Li Q, Roth H, Prosperi M, Bian J. FAIM: Fairness-aware interpretable modeling for trustworthy machine learning in healthcare. Patterns. 2024;5(10):101061.</w:t>
      </w:r>
    </w:p>
    <w:p>
      <w:pPr>
        <w:spacing w:after="60" w:line="276"/>
        <w:ind w:left="360" w:hanging="360"/>
      </w:pPr>
      <w:r>
        <w:rPr>
          <w:rFonts w:ascii="Times New Roman" w:cs="Times New Roman" w:eastAsia="Times New Roman" w:hAnsi="Times New Roman"/>
          <w:sz w:val="20"/>
          <w:szCs w:val="20"/>
        </w:rPr>
        <w:t xml:space="preserve">54. Wang S, Guo W, Narasimhan H, Cotter A, Gupta M, Jordan MI. How robust is your fairness? Evaluating and sustaining fairness under unseen distribution shifts. Trans Mach Learn Res. 2023.</w:t>
      </w:r>
    </w:p>
    <w:p>
      <w:pPr>
        <w:spacing w:after="60" w:line="276"/>
        <w:ind w:left="360" w:hanging="360"/>
      </w:pPr>
      <w:r>
        <w:rPr>
          <w:rFonts w:ascii="Times New Roman" w:cs="Times New Roman" w:eastAsia="Times New Roman" w:hAnsi="Times New Roman"/>
          <w:sz w:val="20"/>
          <w:szCs w:val="20"/>
        </w:rPr>
        <w:t xml:space="preserve">55. Hardt M, Price E, Srebro N. Equality of opportunity in supervised learning. In: NeurIPS; 2016. pp. 3315-3323.</w:t>
      </w:r>
    </w:p>
    <w:p>
      <w:pPr>
        <w:spacing w:after="60" w:line="276"/>
        <w:ind w:left="360" w:hanging="360"/>
      </w:pPr>
      <w:r>
        <w:rPr>
          <w:rFonts w:ascii="Times New Roman" w:cs="Times New Roman" w:eastAsia="Times New Roman" w:hAnsi="Times New Roman"/>
          <w:sz w:val="20"/>
          <w:szCs w:val="20"/>
        </w:rPr>
        <w:t xml:space="preserve">56. Lundberg SM, Lee SI. A unified approach to interpreting model predictions. In: NeurIPS; 2017. pp. 4765-4774.</w:t>
      </w:r>
    </w:p>
    <w:p>
      <w:pPr>
        <w:spacing w:after="60" w:line="276"/>
        <w:ind w:left="360" w:hanging="360"/>
      </w:pPr>
      <w:r>
        <w:rPr>
          <w:rFonts w:ascii="Times New Roman" w:cs="Times New Roman" w:eastAsia="Times New Roman" w:hAnsi="Times New Roman"/>
          <w:sz w:val="20"/>
          <w:szCs w:val="20"/>
        </w:rPr>
        <w:t xml:space="preserve">57. Chen I, Johansson FD, Sontag D. Why is my classifier discriminatory? In: NeurIPS; 2018.</w:t>
      </w:r>
    </w:p>
    <w:p>
      <w:r>
        <w:br w:type="page"/>
      </w:r>
    </w:p>
    <w:p>
      <w:pPr>
        <w:pStyle w:val="Heading1"/>
        <w:spacing w:before="360" w:after="120" w:line="480"/>
      </w:pPr>
      <w:r>
        <w:rPr>
          <w:rFonts w:ascii="Times New Roman" w:cs="Times New Roman" w:eastAsia="Times New Roman" w:hAnsi="Times New Roman"/>
          <w:b/>
          <w:bCs/>
          <w:sz w:val="24"/>
          <w:szCs w:val="24"/>
        </w:rPr>
        <w:t xml:space="preserve">Supporting information</w:t>
      </w:r>
    </w:p>
    <w:p>
      <w:pPr>
        <w:spacing w:after="0" w:line="480"/>
        <w:ind/>
      </w:pPr>
      <w:r>
        <w:rPr>
          <w:rFonts w:ascii="Times New Roman" w:cs="Times New Roman" w:eastAsia="Times New Roman" w:hAnsi="Times New Roman"/>
          <w:b/>
          <w:bCs/>
          <w:sz w:val="24"/>
          <w:szCs w:val="24"/>
        </w:rPr>
        <w:t xml:space="preserve">S1 Table. </w:t>
      </w:r>
      <w:r>
        <w:rPr>
          <w:rFonts w:ascii="Times New Roman" w:cs="Times New Roman" w:eastAsia="Times New Roman" w:hAnsi="Times New Roman"/>
          <w:sz w:val="24"/>
          <w:szCs w:val="24"/>
        </w:rPr>
        <w:t xml:space="preserve">Complete benchmark results for all 26 methods across four health outcomes. </w:t>
      </w:r>
      <w:r>
        <w:rPr>
          <w:rFonts w:ascii="Times New Roman" w:cs="Times New Roman" w:eastAsia="Times New Roman" w:hAnsi="Times New Roman"/>
          <w:sz w:val="24"/>
          <w:szCs w:val="24"/>
        </w:rPr>
        <w:t xml:space="preserve">AUROC, TPR gap, percentage reduction, 95% CI, equalised odds gap, demographic parity gap, AUROC gap, and sign test results.</w:t>
      </w:r>
    </w:p>
    <w:p>
      <w:pPr>
        <w:spacing w:after="0" w:line="480"/>
      </w:pPr>
    </w:p>
    <w:p>
      <w:pPr>
        <w:spacing w:after="0" w:line="480"/>
        <w:ind/>
      </w:pPr>
      <w:r>
        <w:rPr>
          <w:rFonts w:ascii="Times New Roman" w:cs="Times New Roman" w:eastAsia="Times New Roman" w:hAnsi="Times New Roman"/>
          <w:b/>
          <w:bCs/>
          <w:sz w:val="24"/>
          <w:szCs w:val="24"/>
        </w:rPr>
        <w:t xml:space="preserve">S2 Table. </w:t>
      </w:r>
      <w:r>
        <w:rPr>
          <w:rFonts w:ascii="Times New Roman" w:cs="Times New Roman" w:eastAsia="Times New Roman" w:hAnsi="Times New Roman"/>
          <w:sz w:val="24"/>
          <w:szCs w:val="24"/>
        </w:rPr>
        <w:t xml:space="preserve">Multi-threshold robustness analysis. </w:t>
      </w:r>
      <w:r>
        <w:rPr>
          <w:rFonts w:ascii="Times New Roman" w:cs="Times New Roman" w:eastAsia="Times New Roman" w:hAnsi="Times New Roman"/>
          <w:sz w:val="24"/>
          <w:szCs w:val="24"/>
        </w:rPr>
        <w:t xml:space="preserve">TPR gaps under four threshold strategies for all methods and outcomes.</w:t>
      </w:r>
    </w:p>
    <w:p>
      <w:pPr>
        <w:spacing w:after="0" w:line="480"/>
      </w:pPr>
    </w:p>
    <w:p>
      <w:pPr>
        <w:spacing w:after="0" w:line="480"/>
        <w:ind/>
      </w:pPr>
      <w:r>
        <w:rPr>
          <w:rFonts w:ascii="Times New Roman" w:cs="Times New Roman" w:eastAsia="Times New Roman" w:hAnsi="Times New Roman"/>
          <w:b/>
          <w:bCs/>
          <w:sz w:val="24"/>
          <w:szCs w:val="24"/>
        </w:rPr>
        <w:t xml:space="preserve">S3 Table. </w:t>
      </w:r>
      <w:r>
        <w:rPr>
          <w:rFonts w:ascii="Times New Roman" w:cs="Times New Roman" w:eastAsia="Times New Roman" w:hAnsi="Times New Roman"/>
          <w:sz w:val="24"/>
          <w:szCs w:val="24"/>
        </w:rPr>
        <w:t xml:space="preserve">Cross-validation fold stability. </w:t>
      </w:r>
      <w:r>
        <w:rPr>
          <w:rFonts w:ascii="Times New Roman" w:cs="Times New Roman" w:eastAsia="Times New Roman" w:hAnsi="Times New Roman"/>
          <w:sz w:val="24"/>
          <w:szCs w:val="24"/>
        </w:rPr>
        <w:t xml:space="preserve">Per-fold metrics and sign test results for all 26 methods.</w:t>
      </w:r>
    </w:p>
    <w:p>
      <w:pPr>
        <w:spacing w:after="0" w:line="480"/>
      </w:pPr>
    </w:p>
    <w:p>
      <w:pPr>
        <w:spacing w:after="0" w:line="480"/>
        <w:ind/>
      </w:pPr>
      <w:r>
        <w:rPr>
          <w:rFonts w:ascii="Times New Roman" w:cs="Times New Roman" w:eastAsia="Times New Roman" w:hAnsi="Times New Roman"/>
          <w:b/>
          <w:bCs/>
          <w:sz w:val="24"/>
          <w:szCs w:val="24"/>
        </w:rPr>
        <w:t xml:space="preserve">S4 Table. </w:t>
      </w:r>
      <w:r>
        <w:rPr>
          <w:rFonts w:ascii="Times New Roman" w:cs="Times New Roman" w:eastAsia="Times New Roman" w:hAnsi="Times New Roman"/>
          <w:sz w:val="24"/>
          <w:szCs w:val="24"/>
        </w:rPr>
        <w:t xml:space="preserve">Computational timing. </w:t>
      </w:r>
      <w:r>
        <w:rPr>
          <w:rFonts w:ascii="Times New Roman" w:cs="Times New Roman" w:eastAsia="Times New Roman" w:hAnsi="Times New Roman"/>
          <w:sz w:val="24"/>
          <w:szCs w:val="24"/>
        </w:rPr>
        <w:t xml:space="preserve">Training time per method per outcome.</w:t>
      </w:r>
    </w:p>
    <w:p>
      <w:pPr>
        <w:spacing w:after="0" w:line="480"/>
      </w:pPr>
    </w:p>
    <w:p>
      <w:pPr>
        <w:spacing w:after="0" w:line="480"/>
        <w:ind/>
      </w:pPr>
      <w:r>
        <w:rPr>
          <w:rFonts w:ascii="Times New Roman" w:cs="Times New Roman" w:eastAsia="Times New Roman" w:hAnsi="Times New Roman"/>
          <w:b/>
          <w:bCs/>
          <w:sz w:val="24"/>
          <w:szCs w:val="24"/>
        </w:rPr>
        <w:t xml:space="preserve">S5 Table. </w:t>
      </w:r>
      <w:r>
        <w:rPr>
          <w:rFonts w:ascii="Times New Roman" w:cs="Times New Roman" w:eastAsia="Times New Roman" w:hAnsi="Times New Roman"/>
          <w:sz w:val="24"/>
          <w:szCs w:val="24"/>
        </w:rPr>
        <w:t xml:space="preserve">Variable definitions. </w:t>
      </w:r>
      <w:r>
        <w:rPr>
          <w:rFonts w:ascii="Times New Roman" w:cs="Times New Roman" w:eastAsia="Times New Roman" w:hAnsi="Times New Roman"/>
          <w:sz w:val="24"/>
          <w:szCs w:val="24"/>
        </w:rPr>
        <w:t xml:space="preserve">All 175 predictor features with SHARE variable names and descriptions.</w:t>
      </w:r>
    </w:p>
    <w:p>
      <w:pPr>
        <w:spacing w:after="0" w:line="480"/>
      </w:pPr>
    </w:p>
    <w:p>
      <w:pPr>
        <w:spacing w:after="0" w:line="480"/>
        <w:ind/>
      </w:pPr>
      <w:r>
        <w:rPr>
          <w:rFonts w:ascii="Times New Roman" w:cs="Times New Roman" w:eastAsia="Times New Roman" w:hAnsi="Times New Roman"/>
          <w:b/>
          <w:bCs/>
          <w:sz w:val="24"/>
          <w:szCs w:val="24"/>
        </w:rPr>
        <w:t xml:space="preserve">S1 Fig. </w:t>
      </w:r>
      <w:r>
        <w:rPr>
          <w:rFonts w:ascii="Times New Roman" w:cs="Times New Roman" w:eastAsia="Times New Roman" w:hAnsi="Times New Roman"/>
          <w:sz w:val="24"/>
          <w:szCs w:val="24"/>
        </w:rPr>
        <w:t xml:space="preserve">Pareto frontier plots. </w:t>
      </w:r>
      <w:r>
        <w:rPr>
          <w:rFonts w:ascii="Times New Roman" w:cs="Times New Roman" w:eastAsia="Times New Roman" w:hAnsi="Times New Roman"/>
          <w:sz w:val="24"/>
          <w:szCs w:val="24"/>
        </w:rPr>
        <w:t xml:space="preserve">Fairness-performance trade-off for all methods across four outcomes.</w:t>
      </w:r>
    </w:p>
    <w:p>
      <w:pPr>
        <w:spacing w:after="0" w:line="480"/>
      </w:pPr>
    </w:p>
    <w:p>
      <w:pPr>
        <w:spacing w:after="0" w:line="480"/>
        <w:ind/>
      </w:pPr>
      <w:r>
        <w:rPr>
          <w:rFonts w:ascii="Times New Roman" w:cs="Times New Roman" w:eastAsia="Times New Roman" w:hAnsi="Times New Roman"/>
          <w:b/>
          <w:bCs/>
          <w:sz w:val="24"/>
          <w:szCs w:val="24"/>
        </w:rPr>
        <w:t xml:space="preserve">S2 Fig. </w:t>
      </w:r>
      <w:r>
        <w:rPr>
          <w:rFonts w:ascii="Times New Roman" w:cs="Times New Roman" w:eastAsia="Times New Roman" w:hAnsi="Times New Roman"/>
          <w:sz w:val="24"/>
          <w:szCs w:val="24"/>
        </w:rPr>
        <w:t xml:space="preserve">ROC curves by income quintile. </w:t>
      </w:r>
      <w:r>
        <w:rPr>
          <w:rFonts w:ascii="Times New Roman" w:cs="Times New Roman" w:eastAsia="Times New Roman" w:hAnsi="Times New Roman"/>
          <w:sz w:val="24"/>
          <w:szCs w:val="24"/>
        </w:rPr>
        <w:t xml:space="preserve">Baseline and top methods, stratified by quintile.</w:t>
      </w:r>
    </w:p>
    <w:p>
      <w:pPr>
        <w:spacing w:after="0" w:line="480"/>
      </w:pPr>
    </w:p>
    <w:p>
      <w:pPr>
        <w:spacing w:after="0" w:line="480"/>
        <w:ind/>
      </w:pPr>
      <w:r>
        <w:rPr>
          <w:rFonts w:ascii="Times New Roman" w:cs="Times New Roman" w:eastAsia="Times New Roman" w:hAnsi="Times New Roman"/>
          <w:b/>
          <w:bCs/>
          <w:sz w:val="24"/>
          <w:szCs w:val="24"/>
        </w:rPr>
        <w:t xml:space="preserve">S3 Fig. </w:t>
      </w:r>
      <w:r>
        <w:rPr>
          <w:rFonts w:ascii="Times New Roman" w:cs="Times New Roman" w:eastAsia="Times New Roman" w:hAnsi="Times New Roman"/>
          <w:sz w:val="24"/>
          <w:szCs w:val="24"/>
        </w:rPr>
        <w:t xml:space="preserve">SHAP feature importance. </w:t>
      </w:r>
      <w:r>
        <w:rPr>
          <w:rFonts w:ascii="Times New Roman" w:cs="Times New Roman" w:eastAsia="Times New Roman" w:hAnsi="Times New Roman"/>
          <w:sz w:val="24"/>
          <w:szCs w:val="24"/>
        </w:rPr>
        <w:t xml:space="preserve">Top 20 predictors for each outcome.</w:t>
      </w:r>
    </w:p>
    <w:p>
      <w:pPr>
        <w:spacing w:after="0" w:line="480"/>
      </w:pPr>
    </w:p>
    <w:p>
      <w:pPr>
        <w:spacing w:after="0" w:line="480"/>
        <w:ind/>
      </w:pPr>
      <w:r>
        <w:rPr>
          <w:rFonts w:ascii="Times New Roman" w:cs="Times New Roman" w:eastAsia="Times New Roman" w:hAnsi="Times New Roman"/>
          <w:b/>
          <w:bCs/>
          <w:sz w:val="24"/>
          <w:szCs w:val="24"/>
        </w:rPr>
        <w:t xml:space="preserve">S4 Fig. </w:t>
      </w:r>
      <w:r>
        <w:rPr>
          <w:rFonts w:ascii="Times New Roman" w:cs="Times New Roman" w:eastAsia="Times New Roman" w:hAnsi="Times New Roman"/>
          <w:sz w:val="24"/>
          <w:szCs w:val="24"/>
        </w:rPr>
        <w:t xml:space="preserve">Predicted probability distributions by income group. </w:t>
      </w:r>
      <w:r>
        <w:rPr>
          <w:rFonts w:ascii="Times New Roman" w:cs="Times New Roman" w:eastAsia="Times New Roman" w:hAnsi="Times New Roman"/>
          <w:sz w:val="24"/>
          <w:szCs w:val="24"/>
        </w:rPr>
        <w:t xml:space="preserve">Kernel density estimates for baseline and corrected models.</w:t>
      </w:r>
    </w:p>
    <w:p>
      <w:pPr>
        <w:spacing w:after="0" w:line="480"/>
      </w:pPr>
    </w:p>
    <w:p>
      <w:pPr>
        <w:spacing w:after="0" w:line="480"/>
        <w:ind/>
      </w:pPr>
      <w:r>
        <w:rPr>
          <w:rFonts w:ascii="Times New Roman" w:cs="Times New Roman" w:eastAsia="Times New Roman" w:hAnsi="Times New Roman"/>
          <w:b/>
          <w:bCs/>
          <w:sz w:val="24"/>
          <w:szCs w:val="24"/>
        </w:rPr>
        <w:t xml:space="preserve">S5 Fig. </w:t>
      </w:r>
      <w:r>
        <w:rPr>
          <w:rFonts w:ascii="Times New Roman" w:cs="Times New Roman" w:eastAsia="Times New Roman" w:hAnsi="Times New Roman"/>
          <w:sz w:val="24"/>
          <w:szCs w:val="24"/>
        </w:rPr>
        <w:t xml:space="preserve">Fairea trade-off classification. </w:t>
      </w:r>
      <w:r>
        <w:rPr>
          <w:rFonts w:ascii="Times New Roman" w:cs="Times New Roman" w:eastAsia="Times New Roman" w:hAnsi="Times New Roman"/>
          <w:sz w:val="24"/>
          <w:szCs w:val="24"/>
        </w:rPr>
        <w:t xml:space="preserve">Composite plot classifying each method's fairness improvement.</w:t>
      </w:r>
    </w:p>
    <w:p>
      <w:r>
        <w:br w:type="page"/>
      </w:r>
    </w:p>
    <w:p>
      <w:pPr>
        <w:pStyle w:val="Heading1"/>
        <w:spacing w:before="360" w:after="120" w:line="480"/>
      </w:pPr>
      <w:r>
        <w:rPr>
          <w:rFonts w:ascii="Times New Roman" w:cs="Times New Roman" w:eastAsia="Times New Roman" w:hAnsi="Times New Roman"/>
          <w:b/>
          <w:bCs/>
          <w:sz w:val="24"/>
          <w:szCs w:val="24"/>
        </w:rPr>
        <w:t xml:space="preserve">Figure legends</w:t>
      </w:r>
    </w:p>
    <w:p>
      <w:pPr>
        <w:spacing w:after="0" w:line="480"/>
        <w:ind/>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Cross-validation stability and benchmark overview. </w:t>
      </w:r>
      <w:r>
        <w:rPr>
          <w:rFonts w:ascii="Times New Roman" w:cs="Times New Roman" w:eastAsia="Times New Roman" w:hAnsi="Times New Roman"/>
          <w:sz w:val="24"/>
          <w:szCs w:val="24"/>
        </w:rPr>
        <w:t xml:space="preserve">(A) Fold-level TPR gaps for the top 10 methods across four outcomes, demonstrating consistent improvement for constraint-based and threshold methods. (B) Percentage reduction in TPR gap versus AUROC change for all 26 methods; the upper-right quadrant represents effective fairness correction with minimal accuracy cost.</w:t>
      </w:r>
    </w:p>
    <w:p>
      <w:pPr>
        <w:spacing w:after="0" w:line="480"/>
      </w:pPr>
    </w:p>
    <w:p>
      <w:pPr>
        <w:spacing w:after="0" w:line="480"/>
        <w:ind/>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Performance by method category. </w:t>
      </w:r>
      <w:r>
        <w:rPr>
          <w:rFonts w:ascii="Times New Roman" w:cs="Times New Roman" w:eastAsia="Times New Roman" w:hAnsi="Times New Roman"/>
          <w:sz w:val="24"/>
          <w:szCs w:val="24"/>
        </w:rPr>
        <w:t xml:space="preserve">Box plots showing TPR gap distributions for pre-processing, in-processing, post-processing, and augmentation methods across four outcomes. Post-processing achieves the lowest gaps with lowest variance; in-processing achieves comparable gaps with higher variance; augmentation methods are ineffective.</w:t>
      </w:r>
    </w:p>
    <w:p>
      <w:pPr>
        <w:spacing w:after="0" w:line="480"/>
      </w:pPr>
    </w:p>
    <w:p>
      <w:pPr>
        <w:spacing w:after="0" w:line="480"/>
        <w:ind/>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sz w:val="24"/>
          <w:szCs w:val="24"/>
        </w:rPr>
        <w:t xml:space="preserve">Method heatmap. </w:t>
      </w:r>
      <w:r>
        <w:rPr>
          <w:rFonts w:ascii="Times New Roman" w:cs="Times New Roman" w:eastAsia="Times New Roman" w:hAnsi="Times New Roman"/>
          <w:sz w:val="24"/>
          <w:szCs w:val="24"/>
        </w:rPr>
        <w:t xml:space="preserve">Percentage reduction in TPR gap for all 26 methods (rows) across four outcomes (columns). Reveals five consistently top-performing methods and widespread failure of augmentation and pre-processing approaches.</w:t>
      </w:r>
    </w:p>
    <w:p>
      <w:pPr>
        <w:spacing w:after="0" w:line="480"/>
      </w:pPr>
    </w:p>
    <w:p>
      <w:pPr>
        <w:spacing w:after="0" w:line="480"/>
        <w:ind/>
      </w:pPr>
      <w:r>
        <w:rPr>
          <w:rFonts w:ascii="Times New Roman" w:cs="Times New Roman" w:eastAsia="Times New Roman" w:hAnsi="Times New Roman"/>
          <w:b/>
          <w:bCs/>
          <w:sz w:val="24"/>
          <w:szCs w:val="24"/>
        </w:rPr>
        <w:t xml:space="preserve">Fig 4. </w:t>
      </w:r>
      <w:r>
        <w:rPr>
          <w:rFonts w:ascii="Times New Roman" w:cs="Times New Roman" w:eastAsia="Times New Roman" w:hAnsi="Times New Roman"/>
          <w:sz w:val="24"/>
          <w:szCs w:val="24"/>
        </w:rPr>
        <w:t xml:space="preserve">Income-stratified predicted probability distributions. </w:t>
      </w:r>
      <w:r>
        <w:rPr>
          <w:rFonts w:ascii="Times New Roman" w:cs="Times New Roman" w:eastAsia="Times New Roman" w:hAnsi="Times New Roman"/>
          <w:sz w:val="24"/>
          <w:szCs w:val="24"/>
        </w:rPr>
        <w:t xml:space="preserve">Kernel density estimates before (baseline) and after (ExpGrad_TPR) fairness correction, showing convergence of score distributions across income quintiles.</w:t>
      </w:r>
    </w:p>
    <w:sectPr>
      <w:headerReference w:type="default" r:id="rId6"/>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2026-02-13T14:44:04.240Z</dcterms:created>
  <dcterms:modified xsi:type="dcterms:W3CDTF">2026-02-13T14:44:04.241Z</dcterms:modified>
</cp:coreProperties>
</file>

<file path=docProps/custom.xml><?xml version="1.0" encoding="utf-8"?>
<Properties xmlns="http://schemas.openxmlformats.org/officeDocument/2006/custom-properties" xmlns:vt="http://schemas.openxmlformats.org/officeDocument/2006/docPropsVTypes"/>
</file>