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
        <w:jc w:val="center"/>
      </w:pPr>
      <w:r>
        <w:rPr>
          <w:rFonts w:ascii="Calibri" w:cs="Calibri" w:eastAsia="Calibri" w:hAnsi="Calibri"/>
          <w:b/>
          <w:bCs/>
          <w:color w:val="1A2E44"/>
          <w:spacing w:val="120"/>
          <w:sz w:val="64"/>
          <w:szCs w:val="64"/>
        </w:rPr>
        <w:t xml:space="preserve">PARITYSCOPE</w:t>
      </w:r>
    </w:p>
    <w:p>
      <w:pPr>
        <w:spacing w:after="80"/>
        <w:jc w:val="center"/>
      </w:pPr>
      <w:r>
        <w:rPr>
          <w:rFonts w:ascii="Calibri" w:cs="Calibri" w:eastAsia="Calibri" w:hAnsi="Calibri"/>
          <w:color w:val="2B7A99"/>
          <w:sz w:val="36"/>
          <w:szCs w:val="36"/>
        </w:rPr>
        <w:t xml:space="preserve">—</w:t>
      </w:r>
    </w:p>
    <w:p>
      <w:pPr>
        <w:spacing w:after="600"/>
        <w:jc w:val="center"/>
      </w:pPr>
      <w:r>
        <w:rPr>
          <w:rFonts w:ascii="Calibri" w:cs="Calibri" w:eastAsia="Calibri" w:hAnsi="Calibri"/>
          <w:color w:val="2B7A99"/>
          <w:sz w:val="24"/>
          <w:szCs w:val="24"/>
        </w:rPr>
        <w:t xml:space="preserve">Healthcare AI Fairness Compliance Platform</w:t>
      </w:r>
    </w:p>
    <w:p>
      <w:pPr>
        <w:spacing w:after="40"/>
        <w:jc w:val="center"/>
      </w:pPr>
      <w:r>
        <w:rPr>
          <w:rFonts w:ascii="Calibri" w:cs="Calibri" w:eastAsia="Calibri" w:hAnsi="Calibri"/>
          <w:b/>
          <w:bCs/>
          <w:color w:val="2D3748"/>
          <w:spacing w:val="200"/>
          <w:sz w:val="30"/>
          <w:szCs w:val="30"/>
        </w:rPr>
        <w:t xml:space="preserve">BUSINESS PLAN</w:t>
      </w:r>
    </w:p>
    <w:p>
      <w:pPr>
        <w:spacing w:before="1600"/>
      </w:pPr>
    </w:p>
    <w:p>
      <w:pPr>
        <w:jc w:val="center"/>
      </w:pPr>
      <w:r>
        <w:rPr>
          <w:rFonts w:ascii="Calibri" w:cs="Calibri" w:eastAsia="Calibri" w:hAnsi="Calibri"/>
          <w:color w:val="A0AEC0"/>
          <w:sz w:val="20"/>
          <w:szCs w:val="20"/>
        </w:rPr>
        <w:t xml:space="preserve">February 2026</w:t>
      </w:r>
    </w:p>
    <w:p>
      <w:pPr>
        <w:spacing w:after="40"/>
        <w:jc w:val="center"/>
      </w:pPr>
      <w:r>
        <w:rPr>
          <w:rFonts w:ascii="Calibri" w:cs="Calibri" w:eastAsia="Calibri" w:hAnsi="Calibri"/>
          <w:color w:val="A0AEC0"/>
          <w:spacing w:val="100"/>
          <w:sz w:val="18"/>
          <w:szCs w:val="18"/>
        </w:rPr>
        <w:t xml:space="preserve">Confidential</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EXECUTIVE SUMMARY</w:t>
      </w:r>
    </w:p>
    <w:p>
      <w:pPr>
        <w:spacing w:after="160" w:line="276"/>
      </w:pPr>
      <w:r>
        <w:rPr>
          <w:rFonts w:ascii="Calibri" w:cs="Calibri" w:eastAsia="Calibri" w:hAnsi="Calibri"/>
          <w:color w:val="2D3748"/>
          <w:sz w:val="21"/>
          <w:szCs w:val="21"/>
        </w:rPr>
        <w:t xml:space="preserve">Healthcare AI is a $15–27 billion market growing at 38% annually. Over 1,250 AI-enabled medical devices have been authorized by regulators, and physician AI usage nearly doubled in a single year. Yet these systems are biased — systematically producing worse outcomes for patients based on race, income, age, and gender — and the organizations deploying them have almost no tools to detect, measure, or fix the problem.</w:t>
      </w:r>
    </w:p>
    <w:p>
      <w:pPr>
        <w:spacing w:after="160" w:line="276"/>
      </w:pPr>
      <w:r>
        <w:rPr>
          <w:rFonts w:ascii="Calibri" w:cs="Calibri" w:eastAsia="Calibri" w:hAnsi="Calibri"/>
          <w:color w:val="2D3748"/>
          <w:sz w:val="21"/>
          <w:szCs w:val="21"/>
        </w:rPr>
        <w:t xml:space="preserve">ParityScope is a </w:t>
      </w:r>
      <w:r>
        <w:rPr>
          <w:rFonts w:ascii="Calibri" w:cs="Calibri" w:eastAsia="Calibri" w:hAnsi="Calibri"/>
          <w:b/>
          <w:bCs/>
          <w:color w:val="2D3748"/>
          <w:sz w:val="21"/>
          <w:szCs w:val="21"/>
        </w:rPr>
        <w:t xml:space="preserve">healthcare AI fairness compliance toolkit</w:t>
      </w:r>
      <w:r>
        <w:rPr>
          <w:rFonts w:ascii="Calibri" w:cs="Calibri" w:eastAsia="Calibri" w:hAnsi="Calibri"/>
          <w:color w:val="2D3748"/>
          <w:sz w:val="21"/>
          <w:szCs w:val="21"/>
        </w:rPr>
        <w:t xml:space="preserve"> — installable software that healthcare organizations run inside their own environment to audit clinical AI models for bias, generate regulatory compliance reports, simulate the impact of fairness interventions, and continuously monitor fairness metrics over time.</w:t>
      </w:r>
    </w:p>
    <w:p>
      <w:pPr>
        <w:spacing w:after="160" w:line="276"/>
      </w:pPr>
      <w:r>
        <w:rPr>
          <w:rFonts w:ascii="Calibri" w:cs="Calibri" w:eastAsia="Calibri" w:hAnsi="Calibri"/>
          <w:color w:val="2D3748"/>
          <w:sz w:val="21"/>
          <w:szCs w:val="21"/>
        </w:rPr>
        <w:t xml:space="preserve">The EU AI Act classifies virtually all clinical AI as high-risk, requiring bias testing, documentation, and continuous monitoring. Penalties reach €35 million or 7% of global turnover. Yet only 16% of healthcare organizations have governance frameworks in place, and only 13.5% of enterprises have begun AI compliance programs. ParityScope closes this gap.</w:t>
      </w:r>
    </w:p>
    <w:p>
      <w:pPr>
        <w:pStyle w:val="Heading2"/>
        <w:spacing w:before="280" w:after="140"/>
      </w:pPr>
      <w:r>
        <w:rPr>
          <w:rFonts w:ascii="Calibri" w:cs="Calibri" w:eastAsia="Calibri" w:hAnsi="Calibri"/>
          <w:b/>
          <w:bCs/>
          <w:color w:val="2B7A99"/>
          <w:sz w:val="24"/>
          <w:szCs w:val="24"/>
        </w:rPr>
        <w:t xml:space="preserve">What We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Function</w:t>
            </w:r>
          </w:p>
        </w:tc>
        <w:tc>
          <w:tcPr>
            <w:tcW w:type="dxa" w:w="7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Description</w:t>
            </w:r>
          </w:p>
        </w:tc>
      </w:tr>
      <w:tr>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b/>
                <w:bCs/>
                <w:color w:val="2D3748"/>
                <w:sz w:val="19"/>
                <w:szCs w:val="19"/>
              </w:rPr>
              <w:t xml:space="preserve">Fairness Audit</w:t>
            </w:r>
          </w:p>
        </w:tc>
        <w:tc>
          <w:tcPr>
            <w:tcW w:type="dxa" w:w="7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Evaluates whether a clinical AI model treats patient groups equitably across demographic dimensions. Computes regulation-specific fairness metrics and outputs compliance-ready reports mapping to EU AI Act, Taiwan AI Basic Law, South Korea AI Framework Act, and Section 1557 requirements.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b/>
                <w:bCs/>
                <w:color w:val="2D3748"/>
                <w:sz w:val="19"/>
                <w:szCs w:val="19"/>
              </w:rPr>
              <w:t xml:space="preserve">Mitigation Simulation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Shows the projected impact of fairness interventions before implementation. Post-processing methods can achieve fairness improvements at zero accuracy cost by adjusting decision thresholds rather than retraining models.</w:t>
            </w:r>
          </w:p>
        </w:tc>
      </w:tr>
      <w:tr>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b/>
                <w:bCs/>
                <w:color w:val="2D3748"/>
                <w:sz w:val="19"/>
                <w:szCs w:val="19"/>
              </w:rPr>
              <w:t xml:space="preserve">Continuous Monitoring</w:t>
            </w:r>
          </w:p>
        </w:tc>
        <w:tc>
          <w:tcPr>
            <w:tcW w:type="dxa" w:w="7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Tracks fairness metrics over time as patient populations shift. Detects fairness drift and alerts compliance teams before patient harm occurs or regulators find the problem.</w:t>
            </w:r>
          </w:p>
        </w:tc>
      </w:tr>
    </w:tbl>
    <w:p>
      <w:pPr>
        <w:spacing w:before="100"/>
      </w:pPr>
    </w:p>
    <w:p>
      <w:pPr>
        <w:pStyle w:val="Heading2"/>
        <w:spacing w:before="280" w:after="140"/>
      </w:pPr>
      <w:r>
        <w:rPr>
          <w:rFonts w:ascii="Calibri" w:cs="Calibri" w:eastAsia="Calibri" w:hAnsi="Calibri"/>
          <w:b/>
          <w:bCs/>
          <w:color w:val="2B7A99"/>
          <w:sz w:val="24"/>
          <w:szCs w:val="24"/>
        </w:rPr>
        <w:t xml:space="preserve">Key Differentiators</w:t>
      </w:r>
    </w:p>
    <w:p>
      <w:pPr>
        <w:spacing w:after="160" w:line="276"/>
      </w:pPr>
      <w:r>
        <w:rPr>
          <w:rFonts w:ascii="Calibri" w:cs="Calibri" w:eastAsia="Calibri" w:hAnsi="Calibri"/>
          <w:b/>
          <w:bCs/>
          <w:color w:val="2D3748"/>
          <w:sz w:val="21"/>
          <w:szCs w:val="21"/>
        </w:rPr>
        <w:t xml:space="preserve">Healthcare-only. </w:t>
      </w:r>
      <w:r>
        <w:rPr>
          <w:rFonts w:ascii="Calibri" w:cs="Calibri" w:eastAsia="Calibri" w:hAnsi="Calibri"/>
          <w:color w:val="2D3748"/>
          <w:sz w:val="21"/>
          <w:szCs w:val="21"/>
        </w:rPr>
        <w:t xml:space="preserve">Purpose-built for clinical AI, not a generic governance tool. Every competitor in the market serves multiple industries; ParityScope goes deep on healthcare.</w:t>
      </w:r>
    </w:p>
    <w:p>
      <w:pPr>
        <w:spacing w:after="160" w:line="276"/>
      </w:pPr>
      <w:r>
        <w:rPr>
          <w:rFonts w:ascii="Calibri" w:cs="Calibri" w:eastAsia="Calibri" w:hAnsi="Calibri"/>
          <w:b/>
          <w:bCs/>
          <w:color w:val="2D3748"/>
          <w:sz w:val="21"/>
          <w:szCs w:val="21"/>
        </w:rPr>
        <w:t xml:space="preserve">Regulation-aware. </w:t>
      </w:r>
      <w:r>
        <w:rPr>
          <w:rFonts w:ascii="Calibri" w:cs="Calibri" w:eastAsia="Calibri" w:hAnsi="Calibri"/>
          <w:color w:val="2D3748"/>
          <w:sz w:val="21"/>
          <w:szCs w:val="21"/>
        </w:rPr>
        <w:t xml:space="preserve">Proprietary knowledge base mapping jurisdiction, clinical domain, and model type to recommended fairness metrics and compliance requirements across multiple regulatory frameworks.</w:t>
      </w:r>
    </w:p>
    <w:p>
      <w:pPr>
        <w:spacing w:after="160" w:line="276"/>
      </w:pPr>
      <w:r>
        <w:rPr>
          <w:rFonts w:ascii="Calibri" w:cs="Calibri" w:eastAsia="Calibri" w:hAnsi="Calibri"/>
          <w:b/>
          <w:bCs/>
          <w:color w:val="2D3748"/>
          <w:sz w:val="21"/>
          <w:szCs w:val="21"/>
        </w:rPr>
        <w:t xml:space="preserve">Runs inside client environment. </w:t>
      </w:r>
      <w:r>
        <w:rPr>
          <w:rFonts w:ascii="Calibri" w:cs="Calibri" w:eastAsia="Calibri" w:hAnsi="Calibri"/>
          <w:color w:val="2D3748"/>
          <w:sz w:val="21"/>
          <w:szCs w:val="21"/>
        </w:rPr>
        <w:t xml:space="preserve">SDK-first architecture means patient data never leaves the organization — solving the fundamental privacy barrier that blocks hospital adoption of cloud-based governance tools.</w:t>
      </w:r>
    </w:p>
    <w:p>
      <w:pPr>
        <w:spacing w:after="160" w:line="276"/>
      </w:pPr>
      <w:r>
        <w:rPr>
          <w:rFonts w:ascii="Calibri" w:cs="Calibri" w:eastAsia="Calibri" w:hAnsi="Calibri"/>
          <w:b/>
          <w:bCs/>
          <w:color w:val="2D3748"/>
          <w:sz w:val="21"/>
          <w:szCs w:val="21"/>
        </w:rPr>
        <w:t xml:space="preserve">Consulting-led product model. </w:t>
      </w:r>
      <w:r>
        <w:rPr>
          <w:rFonts w:ascii="Calibri" w:cs="Calibri" w:eastAsia="Calibri" w:hAnsi="Calibri"/>
          <w:color w:val="2D3748"/>
          <w:sz w:val="21"/>
          <w:szCs w:val="21"/>
        </w:rPr>
        <w:t xml:space="preserve">Immediate revenue through expert assessments, with every engagement hardening the product SDK for scalable licensing.</w:t>
      </w:r>
    </w:p>
    <w:p>
      <w:r>
        <w:rPr>
          <w:b/>
        </w:rPr>
        <w:t>Catches failures that overall metrics hide.</w:t>
      </w:r>
      <w:r>
        <w:t xml:space="preserve"> Standard model evaluation metrics — overall accuracy, AUC, F1 — average performance across all patients. A model can report 66% accuracy while failing catastrophically for entire demographic groups. ParityScope breaks open the single number and reveals who the model works for and who it fails. In healthcare, the patients it fails can die.</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THE PROBLEM</w:t>
      </w:r>
    </w:p>
    <w:p>
      <w:pPr>
        <w:pStyle w:val="Heading2"/>
        <w:spacing w:before="280" w:after="140"/>
      </w:pPr>
      <w:r>
        <w:rPr>
          <w:rFonts w:ascii="Calibri" w:cs="Calibri" w:eastAsia="Calibri" w:hAnsi="Calibri"/>
          <w:b/>
          <w:bCs/>
          <w:color w:val="2B7A99"/>
          <w:sz w:val="24"/>
          <w:szCs w:val="24"/>
        </w:rPr>
        <w:t xml:space="preserve">Healthcare AI Is Biased</w:t>
      </w:r>
    </w:p>
    <w:p>
      <w:pPr>
        <w:spacing w:after="160" w:line="276"/>
      </w:pPr>
      <w:r>
        <w:rPr>
          <w:rFonts w:ascii="Calibri" w:cs="Calibri" w:eastAsia="Calibri" w:hAnsi="Calibri"/>
          <w:color w:val="2D3748"/>
          <w:sz w:val="21"/>
          <w:szCs w:val="21"/>
        </w:rPr>
        <w:t xml:space="preserve">Clinical AI systems systematically produce worse outcomes for marginalized populations. The evidence is well-documented: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Case</w:t>
            </w:r>
          </w:p>
        </w:tc>
        <w:tc>
          <w:tcPr>
            <w:tcW w:type="dxa" w:w="65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Impact</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Optum/UnitedHealth (Science, 2019)</w:t>
            </w:r>
          </w:p>
        </w:tc>
        <w:tc>
          <w:tcPr>
            <w:tcW w:type="dxa" w:w="6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Algorithm affecting 200M+ patients used healthcare costs as a proxy for health needs. Black patients had 26% more chronic conditions at the same risk score. Correcting the bias would increase Black patients receiving additional care from 17.7% to 46.5%.</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Dermatology AI (Science Advances, 2022)</w:t>
            </w:r>
          </w:p>
        </w:tc>
        <w:tc>
          <w:tcPr>
            <w:tcW w:type="dxa" w:w="6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Model accuracy dropped from 71% to 42% on the darkest skin tones. A 2024 study found AI-assisted diagnosis actually widened accuracy disparities by 5 percentage points.</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Pulse Oximetry (NEJM, 2020)</w:t>
            </w:r>
          </w:p>
        </w:tc>
        <w:tc>
          <w:tcPr>
            <w:tcW w:type="dxa" w:w="6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Undetected low oxygen in 11.7% of Black patients vs. 3.6% of White patients — a threefold disparity. FDA issued new guidance in January 2025.</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Epic Sepsis Model (JAMA, 2021)</w:t>
            </w:r>
          </w:p>
        </w:tc>
        <w:tc>
          <w:tcPr>
            <w:tcW w:type="dxa" w:w="6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External validation showed AUC of 0.63 vs. claimed 0.76–0.83. Missed 67% of sepsis cases. Deployed across 54% of U.S. patients.</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Chest X-ray AI (Lancet, 2022)</w:t>
            </w:r>
          </w:p>
        </w:tc>
        <w:tc>
          <w:tcPr>
            <w:tcW w:type="dxa" w:w="6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 models predict patient race from X-rays — a capability humans lack. Performance on diagnosis dropped 10.7–11.6% for Black patients.</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Mental Health AI (NPJ, 2025)</w:t>
            </w:r>
          </w:p>
        </w:tc>
        <w:tc>
          <w:tcPr>
            <w:tcW w:type="dxa" w:w="6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LLMs proposed inferior treatments when patient race was indicated as African American, most pronounced in schizophrenia and anxiety cases.</w:t>
            </w:r>
          </w:p>
        </w:tc>
      </w:tr>
    </w:tbl>
    <w:p>
      <w:pPr>
        <w:spacing w:before="100"/>
      </w:pPr>
    </w:p>
    <w:p>
      <w:r>
        <w:rPr>
          <w:b/>
        </w:rPr>
        <w:t xml:space="preserve">NHANES Hypertension Model (ParityScope Audit, 2026): </w:t>
      </w:r>
      <w:r>
        <w:t>ParityScope's own audit of a hypertension prediction model trained on CDC NHANES data (2017–2018) found the model reports 66% overall accuracy but predicts zero cases for patients under 40 and 100% positive for patients over 80. Age accounts for 56.7% of the model's decisions — all other clinical features are effectively ignored. Racial disparities showed a 21-percentage-point gap in detection rates. The model passed standard evaluation metrics but failed 19 of 24 fairness metrics under EU AI Act thresholds.</w:t>
      </w:r>
    </w:p>
    <w:p>
      <w:pPr>
        <w:pStyle w:val="Heading2"/>
        <w:spacing w:before="280" w:after="140"/>
      </w:pPr>
      <w:r>
        <w:rPr>
          <w:rFonts w:ascii="Calibri" w:cs="Calibri" w:eastAsia="Calibri" w:hAnsi="Calibri"/>
          <w:b/>
          <w:bCs/>
          <w:color w:val="2B7A99"/>
          <w:sz w:val="24"/>
          <w:szCs w:val="24"/>
        </w:rPr>
        <w:t xml:space="preserve">The Governance Gap</w:t>
      </w:r>
    </w:p>
    <w:p>
      <w:pPr>
        <w:spacing w:after="160" w:line="276"/>
      </w:pPr>
      <w:r>
        <w:rPr>
          <w:rFonts w:ascii="Calibri" w:cs="Calibri" w:eastAsia="Calibri" w:hAnsi="Calibri"/>
          <w:color w:val="2D3748"/>
          <w:sz w:val="21"/>
          <w:szCs w:val="21"/>
        </w:rPr>
        <w:t xml:space="preserve">Organizations know they need AI governance but lack the tools to implement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60"/>
        <w:gridCol w:w="3800"/>
      </w:tblGrid>
      <w:tr>
        <w:trPr>
          <w:tblHeader/>
        </w:trPr>
        <w:tc>
          <w:tcPr>
            <w:tcW w:type="dxa" w:w="4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Metric</w:t>
            </w:r>
          </w:p>
        </w:tc>
        <w:tc>
          <w:tcPr>
            <w:tcW w:type="dxa" w:w="15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Value</w:t>
            </w:r>
          </w:p>
        </w:tc>
        <w:tc>
          <w:tcPr>
            <w:tcW w:type="dxa" w:w="3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Source</w:t>
            </w:r>
          </w:p>
        </w:tc>
      </w:tr>
      <w:tr>
        <w:tc>
          <w:tcPr>
            <w:tcW w:type="dxa" w:w="4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Organizations with AI governance committees</w:t>
            </w:r>
          </w:p>
        </w:tc>
        <w:tc>
          <w:tcPr>
            <w:tcW w:type="dxa" w:w="1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84%</w:t>
            </w:r>
          </w:p>
        </w:tc>
        <w:tc>
          <w:tcPr>
            <w:tcW w:type="dxa" w:w="3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CHIME/Censinet, Dec 2025</w:t>
            </w:r>
          </w:p>
        </w:tc>
      </w:tr>
      <w:tr>
        <w:tc>
          <w:tcPr>
            <w:tcW w:type="dxa" w:w="4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Organizations with actual governance frameworks</w:t>
            </w:r>
          </w:p>
        </w:tc>
        <w:tc>
          <w:tcPr>
            <w:tcW w:type="dxa" w:w="1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16%</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Strativera, 2025</w:t>
            </w:r>
          </w:p>
        </w:tc>
      </w:tr>
      <w:tr>
        <w:tc>
          <w:tcPr>
            <w:tcW w:type="dxa" w:w="4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Hospitals with implemented and enforced AI policies</w:t>
            </w:r>
          </w:p>
        </w:tc>
        <w:tc>
          <w:tcPr>
            <w:tcW w:type="dxa" w:w="1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29%</w:t>
            </w:r>
          </w:p>
        </w:tc>
        <w:tc>
          <w:tcPr>
            <w:tcW w:type="dxa" w:w="3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Black Book Research, 2025</w:t>
            </w:r>
          </w:p>
        </w:tc>
      </w:tr>
      <w:tr>
        <w:tc>
          <w:tcPr>
            <w:tcW w:type="dxa" w:w="4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European countries with health-specific AI strategies</w:t>
            </w:r>
          </w:p>
        </w:tc>
        <w:tc>
          <w:tcPr>
            <w:tcW w:type="dxa" w:w="1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8% (4 of 50)</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WHO European Region, 2025</w:t>
            </w:r>
          </w:p>
        </w:tc>
      </w:tr>
      <w:tr>
        <w:tc>
          <w:tcPr>
            <w:tcW w:type="dxa" w:w="4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Countries with AI liability standards for health</w:t>
            </w:r>
          </w:p>
        </w:tc>
        <w:tc>
          <w:tcPr>
            <w:tcW w:type="dxa" w:w="1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8% (4 of 50)</w:t>
            </w:r>
          </w:p>
        </w:tc>
        <w:tc>
          <w:tcPr>
            <w:tcW w:type="dxa" w:w="3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WHO European Region, 2025</w:t>
            </w:r>
          </w:p>
        </w:tc>
      </w:tr>
      <w:tr>
        <w:tc>
          <w:tcPr>
            <w:tcW w:type="dxa" w:w="4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Organizations citing legal uncertainty as top AI barrier</w:t>
            </w:r>
          </w:p>
        </w:tc>
        <w:tc>
          <w:tcPr>
            <w:tcW w:type="dxa" w:w="1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86%</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WHO European Region, 2025</w:t>
            </w:r>
          </w:p>
        </w:tc>
      </w:tr>
      <w:tr>
        <w:tc>
          <w:tcPr>
            <w:tcW w:type="dxa" w:w="4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Healthcare organizations encountering shadow AI</w:t>
            </w:r>
          </w:p>
        </w:tc>
        <w:tc>
          <w:tcPr>
            <w:tcW w:type="dxa" w:w="1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40%</w:t>
            </w:r>
          </w:p>
        </w:tc>
        <w:tc>
          <w:tcPr>
            <w:tcW w:type="dxa" w:w="3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Wolters Kluwer, 2025</w:t>
            </w:r>
          </w:p>
        </w:tc>
      </w:tr>
    </w:tbl>
    <w:p>
      <w:pPr>
        <w:spacing w:before="60"/>
      </w:pPr>
    </w:p>
    <w:p>
      <w:pPr>
        <w:pBdr>
          <w:left w:val="single" w:color="2B7A99" w:sz="5"/>
        </w:pBdr>
        <w:spacing w:before="100" w:after="200"/>
        <w:ind w:left="300" w:right="300"/>
      </w:pPr>
      <w:r>
        <w:rPr>
          <w:rFonts w:ascii="Calibri" w:cs="Calibri" w:eastAsia="Calibri" w:hAnsi="Calibri"/>
          <w:i/>
          <w:iCs/>
          <w:color w:val="2B7A99"/>
          <w:sz w:val="21"/>
          <w:szCs w:val="21"/>
        </w:rPr>
        <w:t xml:space="preserve">84% of healthcare organizations have governance committees, but only 16% have the tools to actually govern. The demand exists — the supply does not. This is ParityScope’s core market opportunity.</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OUR SOLUTION</w:t>
      </w:r>
    </w:p>
    <w:p>
      <w:pPr>
        <w:spacing w:after="160" w:line="276"/>
      </w:pPr>
      <w:r>
        <w:rPr>
          <w:rFonts w:ascii="Calibri" w:cs="Calibri" w:eastAsia="Calibri" w:hAnsi="Calibri"/>
          <w:color w:val="2D3748"/>
          <w:sz w:val="21"/>
          <w:szCs w:val="21"/>
        </w:rPr>
        <w:t xml:space="preserve">ParityScope is a </w:t>
      </w:r>
      <w:r>
        <w:rPr>
          <w:rFonts w:ascii="Calibri" w:cs="Calibri" w:eastAsia="Calibri" w:hAnsi="Calibri"/>
          <w:b/>
          <w:bCs/>
          <w:color w:val="2D3748"/>
          <w:sz w:val="21"/>
          <w:szCs w:val="21"/>
        </w:rPr>
        <w:t xml:space="preserve">statistical evaluation engine</w:t>
      </w:r>
      <w:r>
        <w:rPr>
          <w:rFonts w:ascii="Calibri" w:cs="Calibri" w:eastAsia="Calibri" w:hAnsi="Calibri"/>
          <w:color w:val="2D3748"/>
          <w:sz w:val="21"/>
          <w:szCs w:val="21"/>
        </w:rPr>
        <w:t xml:space="preserve">, not a trained AI model. It takes model predictions, demographics, and ground truth outcomes; computes fairness metrics (mathematical calculations); applies regulatory rules (knowledge base); and runs simulations (mathematical operations). This means:</w:t>
      </w:r>
    </w:p>
    <w:p>
      <w:pPr>
        <w:spacing w:after="160" w:line="276"/>
      </w:pPr>
      <w:r>
        <w:rPr>
          <w:rFonts w:ascii="Calibri" w:cs="Calibri" w:eastAsia="Calibri" w:hAnsi="Calibri"/>
          <w:b/>
          <w:bCs/>
          <w:color w:val="2D3748"/>
          <w:sz w:val="21"/>
          <w:szCs w:val="21"/>
        </w:rPr>
        <w:t xml:space="preserve">Deterministic, reproducible results </w:t>
      </w:r>
      <w:r>
        <w:rPr>
          <w:rFonts w:ascii="Calibri" w:cs="Calibri" w:eastAsia="Calibri" w:hAnsi="Calibri"/>
          <w:color w:val="2D3748"/>
          <w:sz w:val="21"/>
          <w:szCs w:val="21"/>
        </w:rPr>
        <w:t xml:space="preserve">— critical for regulatory compliance and clinical trust.</w:t>
      </w:r>
    </w:p>
    <w:p>
      <w:pPr>
        <w:spacing w:after="160" w:line="276"/>
      </w:pPr>
      <w:r>
        <w:rPr>
          <w:rFonts w:ascii="Calibri" w:cs="Calibri" w:eastAsia="Calibri" w:hAnsi="Calibri"/>
          <w:b/>
          <w:bCs/>
          <w:color w:val="2D3748"/>
          <w:sz w:val="21"/>
          <w:szCs w:val="21"/>
        </w:rPr>
        <w:t xml:space="preserve">No training data requirements </w:t>
      </w:r>
      <w:r>
        <w:rPr>
          <w:rFonts w:ascii="Calibri" w:cs="Calibri" w:eastAsia="Calibri" w:hAnsi="Calibri"/>
          <w:color w:val="2D3748"/>
          <w:sz w:val="21"/>
          <w:szCs w:val="21"/>
        </w:rPr>
        <w:t xml:space="preserve">— works immediately out of the box with no cold-start problem.</w:t>
      </w:r>
    </w:p>
    <w:p>
      <w:pPr>
        <w:spacing w:after="160" w:line="276"/>
      </w:pPr>
      <w:r>
        <w:rPr>
          <w:rFonts w:ascii="Calibri" w:cs="Calibri" w:eastAsia="Calibri" w:hAnsi="Calibri"/>
          <w:b/>
          <w:bCs/>
          <w:color w:val="2D3748"/>
          <w:sz w:val="21"/>
          <w:szCs w:val="21"/>
        </w:rPr>
        <w:t xml:space="preserve">No black box </w:t>
      </w:r>
      <w:r>
        <w:rPr>
          <w:rFonts w:ascii="Calibri" w:cs="Calibri" w:eastAsia="Calibri" w:hAnsi="Calibri"/>
          <w:color w:val="2D3748"/>
          <w:sz w:val="21"/>
          <w:szCs w:val="21"/>
        </w:rPr>
        <w:t xml:space="preserve">— every output is transparent and explainable.</w:t>
      </w:r>
    </w:p>
    <w:p>
      <w:pPr>
        <w:pStyle w:val="Heading2"/>
      </w:pPr>
      <w:r>
        <w:t>ParityScope in Action: NHANES Hypertension Model</w:t>
      </w:r>
    </w:p>
    <w:p>
      <w:r>
        <w:t>To validate ParityScope's capabilities, we audited a hypertension prediction model trained on real CDC population health data (NHANES 2017–2018, 5,216 adults). The model — a standard logistic regression with clinical features — represents the type of clinical AI commonly deployed in healthcare settings. The results demonstrate exactly the kind of hidden failures ParityScope is designed to catch.</w:t>
      </w:r>
    </w:p>
    <w:p>
      <w:r>
        <w:rPr>
          <w:b/>
        </w:rPr>
        <w:t xml:space="preserve">The headline metric hides the truth. </w:t>
      </w:r>
      <w:r>
        <w:t>The model reports 66% overall accuracy — a number that would satisfy most internal reviews. But ParityScope's per-group analysis revealed the model is fundamentally broken: it predicts zero hypertension cases for anyone under 40, and labels 100% of patients over 80 as hypertensive — regardless of their actual health status.</w:t>
      </w:r>
    </w:p>
    <w:p>
      <w:r>
        <w:rPr>
          <w:b/>
        </w:rPr>
        <w:t xml:space="preserve">The root cause: a model masquerading as a classifier. </w:t>
      </w:r>
      <w:r>
        <w:t>ParityScope's coefficient analysis showed that age accounts for 56.7% of the model's total decision weight — more than all other clinical features combined. BMI, cholesterol, smoking, diabetes, and kidney disease are effectively ignored. The model is not detecting hypertension; it is detecting age. For a patient with median features, the model flips from 'healthy' to 'hypertensive' at exactly age 58, regardless of clinical indicators.</w:t>
      </w:r>
    </w:p>
    <w:p>
      <w:r>
        <w:rPr>
          <w:b/>
        </w:rPr>
        <w:t xml:space="preserve">Real patients harmed in both directions. </w:t>
      </w:r>
      <w:r>
        <w:t>In the 18–39 age group (491 test patients, 6.5% actual prevalence), the model missed every single hypertensive patient — 32 people with a treatable condition who received no flag. In the 80+ group (111 test patients, 53.9% actual prevalence), 46% of patients were healthy but all were labeled hypertensive — driving unnecessary follow-up and resource waste.</w:t>
      </w:r>
    </w:p>
    <w:p>
      <w:r>
        <w:rPr>
          <w:b/>
        </w:rPr>
        <w:t xml:space="preserve">Racial disparities compound the problem. </w:t>
      </w:r>
      <w:r>
        <w:t>Beyond age, ParityScope detected systematic racial bias: the model detects hypertension at 77.6% for Non-Hispanic White patients but only 56.3% for Other/Multi-Racial patients — a 21-percentage-point gap in detection rates. All 8 fairness metrics across race were rated UNFAIR under EU AI Act thresholds.</w:t>
      </w:r>
    </w:p>
    <w:p>
      <w:r>
        <w:rPr>
          <w:b/>
        </w:rPr>
        <w:t xml:space="preserve">The core value proposition demonstrated. </w:t>
      </w:r>
      <w:r>
        <w:t>A standard model evaluation would report '66% accuracy, AUC 0.78' and the model would pass review. ParityScope reveals it is a crude age threshold wearing a lab coat — catching model failures that overall metrics hide. This is not a theoretical risk; it is a validated finding on real U.S. population health data.</w:t>
      </w:r>
    </w:p>
    <w:p>
      <w:pPr>
        <w:pStyle w:val="Heading2"/>
        <w:spacing w:before="280" w:after="140"/>
      </w:pPr>
      <w:r>
        <w:rPr>
          <w:rFonts w:ascii="Calibri" w:cs="Calibri" w:eastAsia="Calibri" w:hAnsi="Calibri"/>
          <w:b/>
          <w:bCs/>
          <w:color w:val="2B7A99"/>
          <w:sz w:val="24"/>
          <w:szCs w:val="24"/>
        </w:rPr>
        <w:t xml:space="preserve">How It Works</w:t>
      </w:r>
    </w:p>
    <w:p>
      <w:pPr>
        <w:spacing w:after="160" w:line="276"/>
      </w:pPr>
      <w:r>
        <w:rPr>
          <w:rFonts w:ascii="Calibri" w:cs="Calibri" w:eastAsia="Calibri" w:hAnsi="Calibri"/>
          <w:color w:val="2D3748"/>
          <w:sz w:val="21"/>
          <w:szCs w:val="21"/>
        </w:rPr>
        <w:t xml:space="preserve">The client’s data team installs ParityScope’s SDK inside their own infrastructure. They point it at their AI model’s outputs, patient demographics, and (when available) ground truth outcomes. ParityScope selects the appropriate fairness metrics based on the regulatory context, runs the evaluation, and generates structured compliance reports mapping to specific regulatory articles.</w:t>
      </w:r>
    </w:p>
    <w:p>
      <w:pPr>
        <w:pBdr>
          <w:left w:val="single" w:color="2B7A99" w:sz="5"/>
        </w:pBdr>
        <w:spacing w:before="100" w:after="200"/>
        <w:ind w:left="300" w:right="300"/>
      </w:pPr>
      <w:r>
        <w:rPr>
          <w:rFonts w:ascii="Calibri" w:cs="Calibri" w:eastAsia="Calibri" w:hAnsi="Calibri"/>
          <w:i/>
          <w:iCs/>
          <w:color w:val="2B7A99"/>
          <w:sz w:val="21"/>
          <w:szCs w:val="21"/>
        </w:rPr>
        <w:t xml:space="preserve">Patient data never leaves the organization. The code goes to the data, not the data to the code.</w:t>
      </w:r>
    </w:p>
    <w:p>
      <w:pPr>
        <w:pStyle w:val="Heading2"/>
        <w:spacing w:before="280" w:after="140"/>
      </w:pPr>
      <w:r>
        <w:rPr>
          <w:rFonts w:ascii="Calibri" w:cs="Calibri" w:eastAsia="Calibri" w:hAnsi="Calibri"/>
          <w:b/>
          <w:bCs/>
          <w:color w:val="2B7A99"/>
          <w:sz w:val="24"/>
          <w:szCs w:val="24"/>
        </w:rPr>
        <w:t xml:space="preserve">Data Access Tiers</w:t>
      </w:r>
    </w:p>
    <w:p>
      <w:pPr>
        <w:spacing w:after="160" w:line="276"/>
      </w:pPr>
      <w:r>
        <w:rPr>
          <w:rFonts w:ascii="Calibri" w:cs="Calibri" w:eastAsia="Calibri" w:hAnsi="Calibri"/>
          <w:color w:val="2D3748"/>
          <w:sz w:val="21"/>
          <w:szCs w:val="21"/>
        </w:rPr>
        <w:t xml:space="preserve">Different clients have different levels of data access. ParityScope adapts its capabilities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Tier</w:t>
            </w:r>
          </w:p>
        </w:tc>
        <w:tc>
          <w:tcPr>
            <w:tcW w:type="dxa" w:w="32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Client Provides</w:t>
            </w:r>
          </w:p>
        </w:tc>
        <w:tc>
          <w:tcPr>
            <w:tcW w:type="dxa" w:w="47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Available Capabilities</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Minimal</w:t>
            </w:r>
          </w:p>
        </w:tc>
        <w:tc>
          <w:tcPr>
            <w:tcW w:type="dxa" w:w="3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Model predictions + demographics</w:t>
            </w:r>
          </w:p>
        </w:tc>
        <w:tc>
          <w:tcPr>
            <w:tcW w:type="dxa" w:w="47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Disparity detection, statistical parity analysis</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Standard</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Predictions + demographics + ground truth outcomes</w:t>
            </w:r>
          </w:p>
        </w:tc>
        <w:tc>
          <w:tcPr>
            <w:tcW w:type="dxa" w:w="47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Full fairness metrics, compliance reporting, post-processing simulation</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Full</w:t>
            </w:r>
          </w:p>
        </w:tc>
        <w:tc>
          <w:tcPr>
            <w:tcW w:type="dxa" w:w="3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Predictions + demographics + outcomes + training data</w:t>
            </w:r>
          </w:p>
        </w:tc>
        <w:tc>
          <w:tcPr>
            <w:tcW w:type="dxa" w:w="47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All of above plus preprocessing/in-processing mitigation simulation, advanced intersectional analysis</w:t>
            </w:r>
          </w:p>
        </w:tc>
      </w:tr>
    </w:tbl>
    <w:p>
      <w:pPr>
        <w:spacing w:before="60"/>
      </w:pPr>
    </w:p>
    <w:p>
      <w:pPr>
        <w:spacing w:after="160" w:line="276"/>
      </w:pPr>
      <w:r>
        <w:rPr>
          <w:rFonts w:ascii="Calibri" w:cs="Calibri" w:eastAsia="Calibri" w:hAnsi="Calibri"/>
          <w:color w:val="2D3748"/>
          <w:sz w:val="21"/>
          <w:szCs w:val="21"/>
        </w:rPr>
        <w:t xml:space="preserve">Most hospitals with established AI systems can provide standard access. The SDK architecture makes full access possible without requiring data to leave the organization.</w:t>
      </w:r>
    </w:p>
    <w:p>
      <w:pPr>
        <w:pStyle w:val="Heading2"/>
        <w:spacing w:before="280" w:after="140"/>
      </w:pPr>
      <w:r>
        <w:rPr>
          <w:rFonts w:ascii="Calibri" w:cs="Calibri" w:eastAsia="Calibri" w:hAnsi="Calibri"/>
          <w:b/>
          <w:bCs/>
          <w:color w:val="2B7A99"/>
          <w:sz w:val="24"/>
          <w:szCs w:val="24"/>
        </w:rPr>
        <w:t xml:space="preserve">Regulation-Aware Metric Selection</w:t>
      </w:r>
    </w:p>
    <w:p>
      <w:pPr>
        <w:spacing w:after="160" w:line="276"/>
      </w:pPr>
      <w:r>
        <w:rPr>
          <w:rFonts w:ascii="Calibri" w:cs="Calibri" w:eastAsia="Calibri" w:hAnsi="Calibri"/>
          <w:color w:val="2D3748"/>
          <w:sz w:val="21"/>
          <w:szCs w:val="21"/>
        </w:rPr>
        <w:t xml:space="preserve">Instead of asking clients which fairness metric they want (which requires expertise most organizations lack), ParityScope asks where they are deploying and what type of model they are evaluating. It then recommends the appropriate metrics based on a proprietary knowledge base mapping jurisdiction, clinical domain, and model type to specific regulatory requirements. This turns the well-known impossibility of satisfying all fairness definitions simultaneously from a limitation into a structured decision framework.</w:t>
      </w:r>
    </w:p>
    <w:p>
      <w:pPr>
        <w:pStyle w:val="Heading2"/>
        <w:spacing w:before="280" w:after="140"/>
      </w:pPr>
      <w:r>
        <w:rPr>
          <w:rFonts w:ascii="Calibri" w:cs="Calibri" w:eastAsia="Calibri" w:hAnsi="Calibri"/>
          <w:b/>
          <w:bCs/>
          <w:color w:val="2B7A99"/>
          <w:sz w:val="24"/>
          <w:szCs w:val="24"/>
        </w:rPr>
        <w:t xml:space="preserve">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Phase</w:t>
            </w:r>
          </w:p>
        </w:tc>
        <w:tc>
          <w:tcPr>
            <w:tcW w:type="dxa" w:w="16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Timeline</w:t>
            </w:r>
          </w:p>
        </w:tc>
        <w:tc>
          <w:tcPr>
            <w:tcW w:type="dxa" w:w="65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Capabilities</w:t>
            </w:r>
          </w:p>
        </w:tc>
      </w:tr>
      <w:tr>
        <w:tc>
          <w:tcPr>
            <w:tcW w:type="dxa" w:w="1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Phase 1</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0–9</w:t>
            </w:r>
          </w:p>
        </w:tc>
        <w:tc>
          <w:tcPr>
            <w:tcW w:type="dxa" w:w="6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Fairness audit engine, regulatory compliance report generation, post-processing mitigation simulation, multi-jurisdiction mapping (EU AI Act, Taiwan, South Korea, Section 1557)</w:t>
            </w:r>
          </w:p>
        </w:tc>
      </w:tr>
      <w:tr>
        <w:tc>
          <w:tcPr>
            <w:tcW w:type="dxa" w:w="1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Phase 2</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Months 9–18</w:t>
            </w:r>
          </w:p>
        </w:tc>
        <w:tc>
          <w:tcPr>
            <w:tcW w:type="dxa" w:w="6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Continuous monitoring and fairness drift detection, alerting, API integration with ML pipelines</w:t>
            </w:r>
          </w:p>
        </w:tc>
      </w:tr>
      <w:tr>
        <w:tc>
          <w:tcPr>
            <w:tcW w:type="dxa" w:w="1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Phase 3</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18–30</w:t>
            </w:r>
          </w:p>
        </w:tc>
        <w:tc>
          <w:tcPr>
            <w:tcW w:type="dxa" w:w="6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Predictive fairness degradation forecasting, platform with role-based dashboards, compliance certification workflows</w:t>
            </w:r>
          </w:p>
        </w:tc>
      </w:tr>
    </w:tbl>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MARKET OPPORTUNITY</w:t>
      </w:r>
    </w:p>
    <w:p>
      <w:pPr>
        <w:pStyle w:val="Heading2"/>
        <w:spacing w:before="280" w:after="140"/>
      </w:pPr>
      <w:r>
        <w:rPr>
          <w:rFonts w:ascii="Calibri" w:cs="Calibri" w:eastAsia="Calibri" w:hAnsi="Calibri"/>
          <w:b/>
          <w:bCs/>
          <w:color w:val="2B7A99"/>
          <w:sz w:val="24"/>
          <w:szCs w:val="24"/>
        </w:rPr>
        <w:t xml:space="preserve">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Segment</w:t>
            </w:r>
          </w:p>
        </w:tc>
        <w:tc>
          <w:tcPr>
            <w:tcW w:type="dxa" w:w="16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2024 Size</w:t>
            </w:r>
          </w:p>
        </w:tc>
        <w:tc>
          <w:tcPr>
            <w:tcW w:type="dxa" w:w="1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2030 Projection</w:t>
            </w:r>
          </w:p>
        </w:tc>
        <w:tc>
          <w:tcPr>
            <w:tcW w:type="dxa" w:w="31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CAGR</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Global Healthcare AI</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$15–27B</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$110–190B</w:t>
            </w:r>
          </w:p>
        </w:tc>
        <w:tc>
          <w:tcPr>
            <w:tcW w:type="dxa" w:w="31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37–39%</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European Healthcare AI</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$4.3–6.1B</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$31.7–39.3B</w:t>
            </w:r>
          </w:p>
        </w:tc>
        <w:tc>
          <w:tcPr>
            <w:tcW w:type="dxa" w:w="3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37–39%</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 Governance (all sectors)</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$228M–890M</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$1.4–7.4B</w:t>
            </w:r>
          </w:p>
        </w:tc>
        <w:tc>
          <w:tcPr>
            <w:tcW w:type="dxa" w:w="31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28–51%</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Healthcare AI Governance (estimated)</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$20–90M</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$140–800M</w:t>
            </w:r>
          </w:p>
        </w:tc>
        <w:tc>
          <w:tcPr>
            <w:tcW w:type="dxa" w:w="3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~40%</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Healthcare Compliance Software</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$3.4–3.8B</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$6–7B</w:t>
            </w:r>
          </w:p>
        </w:tc>
        <w:tc>
          <w:tcPr>
            <w:tcW w:type="dxa" w:w="31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~13%</w:t>
            </w:r>
          </w:p>
        </w:tc>
      </w:tr>
    </w:tbl>
    <w:p>
      <w:pPr>
        <w:spacing w:before="60"/>
      </w:pPr>
    </w:p>
    <w:p>
      <w:pPr>
        <w:spacing w:after="160" w:line="276"/>
      </w:pPr>
      <w:r>
        <w:rPr>
          <w:rFonts w:ascii="Calibri" w:cs="Calibri" w:eastAsia="Calibri" w:hAnsi="Calibri"/>
          <w:color w:val="2D3748"/>
          <w:sz w:val="21"/>
          <w:szCs w:val="21"/>
        </w:rPr>
        <w:t xml:space="preserve">Healthcare is consistently identified as the fastest-growing vertical within AI governance. Germany holds 28.4% of the European healthcare AI market. Health systems spend an estimated $7–9 million per year on compliance administration.</w:t>
      </w:r>
    </w:p>
    <w:p>
      <w:pPr>
        <w:pStyle w:val="Heading2"/>
        <w:spacing w:before="280" w:after="140"/>
      </w:pPr>
      <w:r>
        <w:rPr>
          <w:rFonts w:ascii="Calibri" w:cs="Calibri" w:eastAsia="Calibri" w:hAnsi="Calibri"/>
          <w:b/>
          <w:bCs/>
          <w:color w:val="2B7A99"/>
          <w:sz w:val="24"/>
          <w:szCs w:val="24"/>
        </w:rPr>
        <w:t xml:space="preserve">Why Now</w:t>
      </w:r>
    </w:p>
    <w:p>
      <w:pPr>
        <w:spacing w:after="160" w:line="276"/>
      </w:pPr>
      <w:r>
        <w:rPr>
          <w:rFonts w:ascii="Calibri" w:cs="Calibri" w:eastAsia="Calibri" w:hAnsi="Calibri"/>
          <w:b/>
          <w:bCs/>
          <w:color w:val="2D3748"/>
          <w:sz w:val="21"/>
          <w:szCs w:val="21"/>
        </w:rPr>
        <w:t xml:space="preserve">Regulatory pressure is here. </w:t>
      </w:r>
      <w:r>
        <w:rPr>
          <w:rFonts w:ascii="Calibri" w:cs="Calibri" w:eastAsia="Calibri" w:hAnsi="Calibri"/>
          <w:color w:val="2D3748"/>
          <w:sz w:val="21"/>
          <w:szCs w:val="21"/>
        </w:rPr>
        <w:t xml:space="preserve">The EU AI Act classifies healthcare AI as high-risk with penalties up to €35M or 7% of global turnover. South Korea’s AI Framework Act became active law in January 2026. Taiwan’s AI Basic Law was passed in December 2025 with implementing regulations in development.</w:t>
      </w:r>
    </w:p>
    <w:p>
      <w:pPr>
        <w:spacing w:after="160" w:line="276"/>
      </w:pPr>
      <w:r>
        <w:rPr>
          <w:rFonts w:ascii="Calibri" w:cs="Calibri" w:eastAsia="Calibri" w:hAnsi="Calibri"/>
          <w:b/>
          <w:bCs/>
          <w:color w:val="2D3748"/>
          <w:sz w:val="21"/>
          <w:szCs w:val="21"/>
        </w:rPr>
        <w:t xml:space="preserve">The evidence of harm is undeniable. </w:t>
      </w:r>
      <w:r>
        <w:rPr>
          <w:rFonts w:ascii="Calibri" w:cs="Calibri" w:eastAsia="Calibri" w:hAnsi="Calibri"/>
          <w:color w:val="2D3748"/>
          <w:sz w:val="21"/>
          <w:szCs w:val="21"/>
        </w:rPr>
        <w:t xml:space="preserve">From Optum’s 200M+ affected patients to Epic’s sepsis model deployed to 54% of U.S. hospitals despite poor validation, algorithmic bias in healthcare is a board-level concern. The AMA stated in November 2024: “Voluntary standards are not going to be enough.”</w:t>
      </w:r>
    </w:p>
    <w:p>
      <w:pPr>
        <w:spacing w:after="160" w:line="276"/>
      </w:pPr>
      <w:r>
        <w:rPr>
          <w:rFonts w:ascii="Calibri" w:cs="Calibri" w:eastAsia="Calibri" w:hAnsi="Calibri"/>
          <w:b/>
          <w:bCs/>
          <w:color w:val="2D3748"/>
          <w:sz w:val="21"/>
          <w:szCs w:val="21"/>
        </w:rPr>
        <w:t xml:space="preserve">The governance gap is massive. </w:t>
      </w:r>
      <w:r>
        <w:rPr>
          <w:rFonts w:ascii="Calibri" w:cs="Calibri" w:eastAsia="Calibri" w:hAnsi="Calibri"/>
          <w:color w:val="2D3748"/>
          <w:sz w:val="21"/>
          <w:szCs w:val="21"/>
        </w:rPr>
        <w:t xml:space="preserve">84% of organizations have governance committees but only 16% have frameworks. 92% of European stakeholders agree clear liability rules are key enablers. The demand exists; the tools do not.</w:t>
      </w:r>
    </w:p>
    <w:p>
      <w:pPr>
        <w:pStyle w:val="Heading2"/>
        <w:spacing w:before="280" w:after="140"/>
      </w:pPr>
      <w:r>
        <w:rPr>
          <w:rFonts w:ascii="Calibri" w:cs="Calibri" w:eastAsia="Calibri" w:hAnsi="Calibri"/>
          <w:b/>
          <w:bCs/>
          <w:color w:val="2B7A99"/>
          <w:sz w:val="24"/>
          <w:szCs w:val="24"/>
        </w:rPr>
        <w:t xml:space="preserve">The Compliance Market Lifecycle</w:t>
      </w:r>
    </w:p>
    <w:p>
      <w:pPr>
        <w:spacing w:after="160" w:line="276"/>
      </w:pPr>
      <w:r>
        <w:rPr>
          <w:rFonts w:ascii="Calibri" w:cs="Calibri" w:eastAsia="Calibri" w:hAnsi="Calibri"/>
          <w:color w:val="2D3748"/>
          <w:sz w:val="21"/>
          <w:szCs w:val="21"/>
        </w:rPr>
        <w:t xml:space="preserve">Every major regulatory compliance market — SOX, HIPAA, GDPR, PCI-DSS — follows the same pattern. Companies that build product during the pre-enforcement window capture disproportionate market share. OneTrust grew from $0 to $550M+ revenue by entering the GDPR market two years before enforcement. ParityScope is positioned at the same point in the EU AI Act cycle.</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REGULATORY LANDSCAPE</w:t>
      </w:r>
    </w:p>
    <w:p>
      <w:pPr>
        <w:spacing w:after="160" w:line="276"/>
      </w:pPr>
      <w:r>
        <w:rPr>
          <w:rFonts w:ascii="Calibri" w:cs="Calibri" w:eastAsia="Calibri" w:hAnsi="Calibri"/>
          <w:color w:val="2D3748"/>
          <w:sz w:val="21"/>
          <w:szCs w:val="21"/>
        </w:rPr>
        <w:t xml:space="preserve">Healthcare AI regulations are emerging worldwide and converge on three requirements: assess whether AI systems are biased, document the assessment, and monitor on an ongoing basis. ParityScope builds once and maps to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tblHeader/>
        </w:trPr>
        <w:tc>
          <w:tcPr>
            <w:tcW w:type="dxa" w:w="1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Jurisdiction</w:t>
            </w:r>
          </w:p>
        </w:tc>
        <w:tc>
          <w:tcPr>
            <w:tcW w:type="dxa" w:w="16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Law</w:t>
            </w:r>
          </w:p>
        </w:tc>
        <w:tc>
          <w:tcPr>
            <w:tcW w:type="dxa" w:w="2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Status</w:t>
            </w:r>
          </w:p>
        </w:tc>
        <w:tc>
          <w:tcPr>
            <w:tcW w:type="dxa" w:w="4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Healthcare Impact</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European Union</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 Act</w:t>
            </w:r>
          </w:p>
        </w:tc>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High-risk rules: Aug 2026–2028</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All clinical AI classified as high-risk. Penalties up to €35M / 7% global turnover. Requires bias detection (Art. 10), risk management (Art. 9), post-market monitoring (Art. 72).</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South Korea</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AI Framework Act</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Active law (Jan 22, 2026)</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Impact assessments for healthcare AI. Five-year document retention. Extraterritorial application.</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Taiwan</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 Basic Law</w:t>
            </w:r>
          </w:p>
        </w:tc>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Passed Dec 2025; regs coming</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Seven core principles including fairness &amp; non-discrimination. Risk classification framework in development.</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Japan</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AI Promotion Act</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Effective Jun 2025</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Innovation-first, no penalties yet. ¥22B healthcare AI investment. Binding rules may follow for healthcare.</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Singapore</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Model AI Governance</w:t>
            </w:r>
          </w:p>
        </w:tc>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Voluntary</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 Verify testing toolkit. No enforcement but sets ASEAN standards.</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United States</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State patchwork</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250+ state AI bills; federal rollback</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Section 1557 in effect but enforcement uncertain. HTI-5 deregulates Biden-era requirements.</w:t>
            </w:r>
          </w:p>
        </w:tc>
      </w:tr>
    </w:tbl>
    <w:p>
      <w:pPr>
        <w:spacing w:before="100"/>
      </w:pPr>
    </w:p>
    <w:p>
      <w:pPr>
        <w:pStyle w:val="Heading2"/>
        <w:spacing w:before="280" w:after="140"/>
      </w:pPr>
      <w:r>
        <w:rPr>
          <w:rFonts w:ascii="Calibri" w:cs="Calibri" w:eastAsia="Calibri" w:hAnsi="Calibri"/>
          <w:b/>
          <w:bCs/>
          <w:color w:val="2B7A99"/>
          <w:sz w:val="24"/>
          <w:szCs w:val="24"/>
        </w:rPr>
        <w:t xml:space="preserve">EU AI Act — Primary Market Driver</w:t>
      </w:r>
    </w:p>
    <w:p>
      <w:pPr>
        <w:spacing w:after="160" w:line="276"/>
      </w:pPr>
      <w:r>
        <w:rPr>
          <w:rFonts w:ascii="Calibri" w:cs="Calibri" w:eastAsia="Calibri" w:hAnsi="Calibri"/>
          <w:color w:val="2D3748"/>
          <w:sz w:val="21"/>
          <w:szCs w:val="21"/>
        </w:rPr>
        <w:t xml:space="preserve">The EU AI Act classifies healthcare AI as high-risk through two pathways: AI embedded in medical devices requiring conformity assessment (Annex I), and specific use cases including patient triage and eligibility evaluation (Annex III). Compliance requirements include continuous risk management, data governance with explicit bias detection, technical documentation, automatic logging, transparency, and human oversight.</w:t>
      </w:r>
    </w:p>
    <w:p>
      <w:pPr>
        <w:spacing w:after="160" w:line="276"/>
      </w:pPr>
      <w:r>
        <w:rPr>
          <w:rFonts w:ascii="Calibri" w:cs="Calibri" w:eastAsia="Calibri" w:hAnsi="Calibri"/>
          <w:color w:val="2D3748"/>
          <w:sz w:val="21"/>
          <w:szCs w:val="21"/>
        </w:rPr>
        <w:t xml:space="preserve">The Digital Omnibus proposal (November 2025) may delay enforcement to December 2027 for Annex III and August 2028 for Annex I. This paradoxically benefits ParityScope by extending the preparation window during which organizations actively seek readiness tools.</w:t>
      </w:r>
    </w:p>
    <w:p>
      <w:pPr>
        <w:pStyle w:val="Heading2"/>
        <w:spacing w:before="280" w:after="140"/>
      </w:pPr>
      <w:r>
        <w:rPr>
          <w:rFonts w:ascii="Calibri" w:cs="Calibri" w:eastAsia="Calibri" w:hAnsi="Calibri"/>
          <w:b/>
          <w:bCs/>
          <w:color w:val="2B7A99"/>
          <w:sz w:val="24"/>
          <w:szCs w:val="24"/>
        </w:rPr>
        <w:t xml:space="preserve">Strategic Implication</w:t>
      </w:r>
    </w:p>
    <w:p>
      <w:pPr>
        <w:spacing w:after="160" w:line="276"/>
      </w:pPr>
      <w:r>
        <w:rPr>
          <w:rFonts w:ascii="Calibri" w:cs="Calibri" w:eastAsia="Calibri" w:hAnsi="Calibri"/>
          <w:color w:val="2D3748"/>
          <w:sz w:val="21"/>
          <w:szCs w:val="21"/>
        </w:rPr>
        <w:t xml:space="preserve">Organizations operating across borders face compliance obligations in multiple jurisdictions simultaneously. A single toolkit that maps to the EU AI Act, South Korean Framework Act, Taiwan Basic Law, and Section 1557 is significantly more valuable than jurisdiction-specific solutions. ParityScope’s multi-jurisdictional approach serves MedTech companies, multinational hospital groups, and EHR vendors operating across markets.</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COMPETITIVE ANALYSIS</w:t>
      </w:r>
    </w:p>
    <w:p>
      <w:pPr>
        <w:spacing w:after="160" w:line="276"/>
      </w:pPr>
      <w:r>
        <w:rPr>
          <w:rFonts w:ascii="Calibri" w:cs="Calibri" w:eastAsia="Calibri" w:hAnsi="Calibri"/>
          <w:color w:val="2D3748"/>
          <w:sz w:val="21"/>
          <w:szCs w:val="21"/>
        </w:rPr>
        <w:t xml:space="preserve">No dedicated healthcare AI fairness compliance platform exists today. All current AI governance platforms serve multiple industries with healthcare as one vertical among many. The largest players are estimated at $5M–15M ARR each despite raising $16M–64M in venture funding, underscoring the market’s immaturity.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Competitor</w:t>
            </w:r>
          </w:p>
        </w:tc>
        <w:tc>
          <w:tcPr>
            <w:tcW w:type="dxa" w:w="1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Focus</w:t>
            </w:r>
          </w:p>
        </w:tc>
        <w:tc>
          <w:tcPr>
            <w:tcW w:type="dxa" w:w="1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Healthcare Depth</w:t>
            </w:r>
          </w:p>
        </w:tc>
        <w:tc>
          <w:tcPr>
            <w:tcW w:type="dxa" w:w="3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Key Gap</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Credo AI ($41M raised)</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Enterprise governance</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One of many verticals</w:t>
            </w:r>
          </w:p>
        </w:tc>
        <w:tc>
          <w:tcPr>
            <w:tcW w:type="dxa" w:w="3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No clinical expertise or healthcare regulation mapping</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Holistic AI (~$8M rev)</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Lifecycle governance</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No dedicated product</w:t>
            </w:r>
          </w:p>
        </w:tc>
        <w:tc>
          <w:tcPr>
            <w:tcW w:type="dxa" w:w="3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Generalist across all industries</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Fiddler AI (~$100M raised)</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Model monitoring</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Solutions page exists</w:t>
            </w:r>
          </w:p>
        </w:tc>
        <w:tc>
          <w:tcPr>
            <w:tcW w:type="dxa" w:w="3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Monitoring, not compliance; usage-based pricing</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Arthur AI ($63M raised)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Model monitoring</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Listed as vertical</w:t>
            </w:r>
          </w:p>
        </w:tc>
        <w:tc>
          <w:tcPr>
            <w:tcW w:type="dxa" w:w="3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Pivoted to LLM monitoring</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Pacific AI</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Healthcare governance</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Healthcare only</w:t>
            </w:r>
          </w:p>
        </w:tc>
        <w:tc>
          <w:tcPr>
            <w:tcW w:type="dxa" w:w="3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Policy management, not quantitative fairness analysis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ClosedLoop.ai ($34M+ raised)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Healthcare predictive analytics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Healthcare only</w:t>
            </w:r>
          </w:p>
        </w:tc>
        <w:tc>
          <w:tcPr>
            <w:tcW w:type="dxa" w:w="3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Predictive analytics, not governance or fairness</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Epic Seismometer</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EHR-embedded monitoring</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Epic models only</w:t>
            </w:r>
          </w:p>
        </w:tc>
        <w:tc>
          <w:tcPr>
            <w:tcW w:type="dxa" w:w="3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Only monitors Epic models; minimal European presence</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Open source (AIF360, Fairlearn)</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ML fairness libraries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Not healthcare-specific</w:t>
            </w:r>
          </w:p>
        </w:tc>
        <w:tc>
          <w:tcPr>
            <w:tcW w:type="dxa" w:w="3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Found unusable for clinical settings</w:t>
            </w:r>
          </w:p>
        </w:tc>
      </w:tr>
    </w:tbl>
    <w:p>
      <w:pPr>
        <w:spacing w:before="100"/>
      </w:pPr>
    </w:p>
    <w:p>
      <w:pPr>
        <w:pStyle w:val="Heading2"/>
        <w:spacing w:before="280" w:after="140"/>
      </w:pPr>
      <w:r>
        <w:rPr>
          <w:rFonts w:ascii="Calibri" w:cs="Calibri" w:eastAsia="Calibri" w:hAnsi="Calibri"/>
          <w:b/>
          <w:bCs/>
          <w:color w:val="2B7A99"/>
          <w:sz w:val="24"/>
          <w:szCs w:val="24"/>
        </w:rPr>
        <w:t xml:space="preserve">Lessons from Equality AI</w:t>
      </w:r>
    </w:p>
    <w:p>
      <w:pPr>
        <w:spacing w:after="160" w:line="276"/>
      </w:pPr>
      <w:r>
        <w:rPr>
          <w:rFonts w:ascii="Calibri" w:cs="Calibri" w:eastAsia="Calibri" w:hAnsi="Calibri"/>
          <w:color w:val="2D3748"/>
          <w:sz w:val="21"/>
          <w:szCs w:val="21"/>
        </w:rPr>
        <w:t xml:space="preserve">Equality AI was the closest prior attempt at a healthcare AI fairness platform. It raised $3.2M, built open-source tools, and shut down in 2024. ParityScope directly addresses each failure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What Failed</w:t>
            </w:r>
          </w:p>
        </w:tc>
        <w:tc>
          <w:tcPr>
            <w:tcW w:type="dxa" w:w="468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How ParityScope Differs</w:t>
            </w:r>
          </w:p>
        </w:tc>
      </w:tr>
      <w:tr>
        <w:tc>
          <w:tcPr>
            <w:tcW w:type="dxa" w:w="468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Insufficient funding for long healthcare sales cycles</w:t>
            </w:r>
          </w:p>
        </w:tc>
        <w:tc>
          <w:tcPr>
            <w:tcW w:type="dxa" w:w="468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Consulting-first model generates revenue from month one</w:t>
            </w:r>
          </w:p>
        </w:tc>
      </w:tr>
      <w:tr>
        <w:tc>
          <w:tcPr>
            <w:tcW w:type="dxa" w:w="46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U.S.-only focus in a deregulating market</w:t>
            </w:r>
          </w:p>
        </w:tc>
        <w:tc>
          <w:tcPr>
            <w:tcW w:type="dxa" w:w="46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EU AI Act provides binding compliance mandate</w:t>
            </w:r>
          </w:p>
        </w:tc>
      </w:tr>
      <w:tr>
        <w:tc>
          <w:tcPr>
            <w:tcW w:type="dxa" w:w="468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Built product before validating willingness to pay</w:t>
            </w:r>
          </w:p>
        </w:tc>
        <w:tc>
          <w:tcPr>
            <w:tcW w:type="dxa" w:w="468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Paid assessments validate demand while building the product</w:t>
            </w:r>
          </w:p>
        </w:tc>
      </w:tr>
      <w:tr>
        <w:tc>
          <w:tcPr>
            <w:tcW w:type="dxa" w:w="46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No solution for hospital data privacy concerns</w:t>
            </w:r>
          </w:p>
        </w:tc>
        <w:tc>
          <w:tcPr>
            <w:tcW w:type="dxa" w:w="46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SDK-first architecture; data never leaves client environment</w:t>
            </w:r>
          </w:p>
        </w:tc>
      </w:tr>
    </w:tbl>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BUSINESS MODEL</w:t>
      </w:r>
    </w:p>
    <w:p>
      <w:pPr>
        <w:spacing w:after="160" w:line="276"/>
      </w:pPr>
      <w:r>
        <w:rPr>
          <w:rFonts w:ascii="Calibri" w:cs="Calibri" w:eastAsia="Calibri" w:hAnsi="Calibri"/>
          <w:color w:val="2D3748"/>
          <w:sz w:val="21"/>
          <w:szCs w:val="21"/>
        </w:rPr>
        <w:t xml:space="preserve">ParityScope follows a consulting-led product hybrid: start with paid AI fairness assessments powered by the SDK, transition to annual per-model SDK licensing as regulatory enforcement creates urgency.</w:t>
      </w:r>
    </w:p>
    <w:p>
      <w:pPr>
        <w:pStyle w:val="Heading2"/>
        <w:spacing w:before="280" w:after="140"/>
      </w:pPr>
      <w:r>
        <w:rPr>
          <w:rFonts w:ascii="Calibri" w:cs="Calibri" w:eastAsia="Calibri" w:hAnsi="Calibri"/>
          <w:b/>
          <w:bCs/>
          <w:color w:val="2B7A99"/>
          <w:sz w:val="24"/>
          <w:szCs w:val="24"/>
        </w:rPr>
        <w:t xml:space="preserve">Three-Phase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360"/>
        <w:gridCol w:w="2000"/>
      </w:tblGrid>
      <w:tr>
        <w:trPr>
          <w:tblHeader/>
        </w:trPr>
        <w:tc>
          <w:tcPr>
            <w:tcW w:type="dxa" w:w="16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Phase</w:t>
            </w:r>
          </w:p>
        </w:tc>
        <w:tc>
          <w:tcPr>
            <w:tcW w:type="dxa" w:w="1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Timeline</w:t>
            </w:r>
          </w:p>
        </w:tc>
        <w:tc>
          <w:tcPr>
            <w:tcW w:type="dxa" w:w="4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Model</w:t>
            </w:r>
          </w:p>
        </w:tc>
        <w:tc>
          <w:tcPr>
            <w:tcW w:type="dxa" w:w="2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Target</w:t>
            </w:r>
          </w:p>
        </w:tc>
      </w:tr>
      <w:tr>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Expert Assessments</w:t>
            </w:r>
          </w:p>
        </w:tc>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0–12</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Paid AI fairness assessment engagements at €25K–€75K each, using the SDK as the evaluation engine. Every engagement hardens the product.</w:t>
            </w:r>
          </w:p>
        </w:tc>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5–10 anchor customers</w:t>
            </w:r>
          </w:p>
        </w:tc>
      </w:tr>
      <w:tr>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SDK Licensing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Months 6–18</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Tiered annual licensing: Starter (€30K–50K, up to 5 models), Professional (€75K–150K, up to 25 models), Enterprise (€200K–500K, unlimited).</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15–30 licensed customers</w:t>
            </w:r>
          </w:p>
        </w:tc>
      </w:tr>
      <w:tr>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Governance Platform</w:t>
            </w:r>
          </w:p>
        </w:tc>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18–36</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Continuous monitoring, CI/CD integration, multi-jurisdiction reporting, compliance certification workflows.</w:t>
            </w:r>
          </w:p>
        </w:tc>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50–100 customers</w:t>
            </w:r>
          </w:p>
        </w:tc>
      </w:tr>
    </w:tbl>
    <w:p>
      <w:pPr>
        <w:spacing w:before="100"/>
      </w:pPr>
    </w:p>
    <w:p>
      <w:pPr>
        <w:pStyle w:val="Heading2"/>
        <w:spacing w:before="280" w:after="140"/>
      </w:pPr>
      <w:r>
        <w:rPr>
          <w:rFonts w:ascii="Calibri" w:cs="Calibri" w:eastAsia="Calibri" w:hAnsi="Calibri"/>
          <w:b/>
          <w:bCs/>
          <w:color w:val="2B7A99"/>
          <w:sz w:val="24"/>
          <w:szCs w:val="24"/>
        </w:rPr>
        <w:t xml:space="preserve">Why Consulting-First</w:t>
      </w:r>
    </w:p>
    <w:p>
      <w:pPr>
        <w:spacing w:after="160" w:line="276"/>
      </w:pPr>
      <w:r>
        <w:rPr>
          <w:rFonts w:ascii="Calibri" w:cs="Calibri" w:eastAsia="Calibri" w:hAnsi="Calibri"/>
          <w:color w:val="2D3748"/>
          <w:sz w:val="21"/>
          <w:szCs w:val="21"/>
        </w:rPr>
        <w:t xml:space="preserve">Every major regulatory compliance market followed this pattern: consulting dominates early, software platforms win long-term. OneTrust captured 29.7% market share in privacy management by building product during the GDPR pre-enforcement window, growing from $0 to $550M+ in revenue. Consulting engagements provide immediate cash flow, validate willingness to pay, produce case studies, and harden the SDK into a scalable product.</w:t>
      </w:r>
    </w:p>
    <w:p>
      <w:pPr>
        <w:pStyle w:val="Heading2"/>
        <w:spacing w:before="280" w:after="140"/>
      </w:pPr>
      <w:r>
        <w:rPr>
          <w:rFonts w:ascii="Calibri" w:cs="Calibri" w:eastAsia="Calibri" w:hAnsi="Calibri"/>
          <w:b/>
          <w:bCs/>
          <w:color w:val="2B7A99"/>
          <w:sz w:val="24"/>
          <w:szCs w:val="24"/>
        </w:rPr>
        <w:t xml:space="preserve">Pricing Metric</w:t>
      </w:r>
    </w:p>
    <w:p>
      <w:pPr>
        <w:spacing w:after="160" w:line="276"/>
      </w:pPr>
      <w:r>
        <w:rPr>
          <w:rFonts w:ascii="Calibri" w:cs="Calibri" w:eastAsia="Calibri" w:hAnsi="Calibri"/>
          <w:b/>
          <w:bCs/>
          <w:color w:val="2D3748"/>
          <w:sz w:val="21"/>
          <w:szCs w:val="21"/>
        </w:rPr>
        <w:t xml:space="preserve">Per AI model/system audited </w:t>
      </w:r>
      <w:r>
        <w:rPr>
          <w:rFonts w:ascii="Calibri" w:cs="Calibri" w:eastAsia="Calibri" w:hAnsi="Calibri"/>
          <w:color w:val="2D3748"/>
          <w:sz w:val="21"/>
          <w:szCs w:val="21"/>
        </w:rPr>
        <w:t xml:space="preserve">is the primary pricing metric. This aligns with how organizations think about AI governance (each high-risk system requires assessment under the EU AI Act), scales naturally with customer AI adoption, and creates predictable expansion revenue as organizations deploy more AI systems.</w:t>
      </w:r>
    </w:p>
    <w:p>
      <w:pPr>
        <w:pStyle w:val="Heading2"/>
        <w:spacing w:before="280" w:after="140"/>
      </w:pPr>
      <w:r>
        <w:rPr>
          <w:rFonts w:ascii="Calibri" w:cs="Calibri" w:eastAsia="Calibri" w:hAnsi="Calibri"/>
          <w:b/>
          <w:bCs/>
          <w:color w:val="2B7A99"/>
          <w:sz w:val="24"/>
          <w:szCs w:val="24"/>
        </w:rPr>
        <w:t xml:space="preserve">Pilot Structure</w:t>
      </w:r>
    </w:p>
    <w:p>
      <w:pPr>
        <w:spacing w:after="160" w:line="276"/>
      </w:pPr>
      <w:r>
        <w:rPr>
          <w:rFonts w:ascii="Calibri" w:cs="Calibri" w:eastAsia="Calibri" w:hAnsi="Calibri"/>
          <w:color w:val="2D3748"/>
          <w:sz w:val="21"/>
          <w:szCs w:val="21"/>
        </w:rPr>
        <w:t xml:space="preserve">90-day paid pilots at 10–20% of annual contract value, with clear success metrics defined upfront and 100% of pilot fees credited toward the full contract. Properly structured paid pilots convert at 40–60% versus free trials at less than 10% for enterprise software.</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GO-TO-MARKET STRATEGY</w:t>
      </w:r>
    </w:p>
    <w:p>
      <w:pPr>
        <w:pStyle w:val="Heading2"/>
        <w:spacing w:before="280" w:after="140"/>
      </w:pPr>
      <w:r>
        <w:rPr>
          <w:rFonts w:ascii="Calibri" w:cs="Calibri" w:eastAsia="Calibri" w:hAnsi="Calibri"/>
          <w:b/>
          <w:bCs/>
          <w:color w:val="2B7A99"/>
          <w:sz w:val="24"/>
          <w:szCs w:val="24"/>
        </w:rPr>
        <w:t xml:space="preserve">Target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Segment</w:t>
            </w:r>
          </w:p>
        </w:tc>
        <w:tc>
          <w:tcPr>
            <w:tcW w:type="dxa" w:w="4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Why They Need ParityScope</w:t>
            </w:r>
          </w:p>
        </w:tc>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Entry Point</w:t>
            </w:r>
          </w:p>
        </w:tc>
      </w:tr>
      <w:tr>
        <w:tc>
          <w:tcPr>
            <w:tcW w:type="dxa" w:w="2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Academic Medical Centers</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Innovation budgets, clinical champions, publication partnerships. Credibility and case studies unlock larger health systems.</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Chief Health AI Officer or CMIO</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European Health Systems</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EU AI Act compliance obligations. NHS trusts, German university hospitals, Nordic health systems deploying clinical AI.</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AI Governance Committee</w:t>
            </w:r>
          </w:p>
        </w:tc>
      </w:tr>
      <w:tr>
        <w:tc>
          <w:tcPr>
            <w:tcW w:type="dxa" w:w="2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MedTech Companies</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AI-enabled devices require conformity assessment under EU AI Act. Clear deadlines and existing compliance budgets.</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VP Regulatory Affairs</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EHR Vendors &amp; Health AI Startups</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Build clinical AI deployed across many hospitals. One integration serves their entire customer base.</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ML Engineering Lead</w:t>
            </w:r>
          </w:p>
        </w:tc>
      </w:tr>
      <w:tr>
        <w:tc>
          <w:tcPr>
            <w:tcW w:type="dxa" w:w="2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Government Health Agencies</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National AI governance frameworks. Highest contract values. On-premise deployment mandatory.</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Digital Health Directorate</w:t>
            </w:r>
          </w:p>
        </w:tc>
      </w:tr>
    </w:tbl>
    <w:p>
      <w:pPr>
        <w:spacing w:before="100"/>
      </w:pPr>
    </w:p>
    <w:p>
      <w:pPr>
        <w:pStyle w:val="Heading2"/>
        <w:spacing w:before="280" w:after="140"/>
      </w:pPr>
      <w:r>
        <w:rPr>
          <w:rFonts w:ascii="Calibri" w:cs="Calibri" w:eastAsia="Calibri" w:hAnsi="Calibri"/>
          <w:b/>
          <w:bCs/>
          <w:color w:val="2B7A99"/>
          <w:sz w:val="24"/>
          <w:szCs w:val="24"/>
        </w:rPr>
        <w:t xml:space="preserve">Beachhead Markets</w:t>
      </w:r>
    </w:p>
    <w:p>
      <w:pPr>
        <w:spacing w:after="160" w:line="276"/>
      </w:pPr>
      <w:r>
        <w:rPr>
          <w:rFonts w:ascii="Calibri" w:cs="Calibri" w:eastAsia="Calibri" w:hAnsi="Calibri"/>
          <w:b/>
          <w:bCs/>
          <w:color w:val="2D3748"/>
          <w:sz w:val="21"/>
          <w:szCs w:val="21"/>
        </w:rPr>
        <w:t xml:space="preserve">Germany: </w:t>
      </w:r>
      <w:r>
        <w:rPr>
          <w:rFonts w:ascii="Calibri" w:cs="Calibri" w:eastAsia="Calibri" w:hAnsi="Calibri"/>
          <w:color w:val="2D3748"/>
          <w:sz w:val="21"/>
          <w:szCs w:val="21"/>
        </w:rPr>
        <w:t xml:space="preserve">28.4% of the European healthcare AI market, strong regulatory culture, dense MedTech ecosystem (Siemens Healthineers, Fresenius, hundreds of mid-market firms), and 1,900 hospitals. Expansion path: Germany → DACH → Nordics → UK → Southern Europe.</w:t>
      </w:r>
    </w:p>
    <w:p>
      <w:pPr>
        <w:spacing w:after="160" w:line="276"/>
      </w:pPr>
      <w:r>
        <w:rPr>
          <w:rFonts w:ascii="Calibri" w:cs="Calibri" w:eastAsia="Calibri" w:hAnsi="Calibri"/>
          <w:b/>
          <w:bCs/>
          <w:color w:val="2D3748"/>
          <w:sz w:val="21"/>
          <w:szCs w:val="21"/>
        </w:rPr>
        <w:t xml:space="preserve">Taiwan: </w:t>
      </w:r>
      <w:r>
        <w:rPr>
          <w:rFonts w:ascii="Calibri" w:cs="Calibri" w:eastAsia="Calibri" w:hAnsi="Calibri"/>
          <w:color w:val="2D3748"/>
          <w:sz w:val="21"/>
          <w:szCs w:val="21"/>
        </w:rPr>
        <w:t xml:space="preserve">AI Basic Law creating new compliance demand, strong public healthcare system, and the founding team’s research network and market familiarity.</w:t>
      </w:r>
    </w:p>
    <w:p>
      <w:pPr>
        <w:pStyle w:val="Heading2"/>
        <w:spacing w:before="280" w:after="140"/>
      </w:pPr>
      <w:r>
        <w:rPr>
          <w:rFonts w:ascii="Calibri" w:cs="Calibri" w:eastAsia="Calibri" w:hAnsi="Calibri"/>
          <w:b/>
          <w:bCs/>
          <w:color w:val="2B7A99"/>
          <w:sz w:val="24"/>
          <w:szCs w:val="24"/>
        </w:rPr>
        <w:t xml:space="preserve">Buyer Persona</w:t>
      </w:r>
    </w:p>
    <w:p>
      <w:pPr>
        <w:spacing w:after="160" w:line="276"/>
      </w:pPr>
      <w:r>
        <w:rPr>
          <w:rFonts w:ascii="Calibri" w:cs="Calibri" w:eastAsia="Calibri" w:hAnsi="Calibri"/>
          <w:color w:val="2D3748"/>
          <w:sz w:val="21"/>
          <w:szCs w:val="21"/>
        </w:rPr>
        <w:t xml:space="preserve">The emerging Chief Health AI Officer (CHAIO) role consolidates AI governance authority previously fragmented across IT, compliance, quality, and legal. 48+ hospitals have appointed CHAIOs, including Cleveland Clinic, Mayo Clinic, UCSF Health, and Cedars-Sinai. Where no CHAIO exists, the buying committee typically involves the CMIO, Chief Compliance Officer, and CIO/CISO. Healthcare procurement averages 9 decision-makers and 12–18 month sales cycles for European public health systems.</w:t>
      </w:r>
    </w:p>
    <w:p>
      <w:pPr>
        <w:pStyle w:val="Heading2"/>
        <w:spacing w:before="280" w:after="140"/>
      </w:pPr>
      <w:r>
        <w:rPr>
          <w:rFonts w:ascii="Calibri" w:cs="Calibri" w:eastAsia="Calibri" w:hAnsi="Calibri"/>
          <w:b/>
          <w:bCs/>
          <w:color w:val="2B7A99"/>
          <w:sz w:val="24"/>
          <w:szCs w:val="24"/>
        </w:rPr>
        <w:t xml:space="preserve">Sales Motion</w:t>
      </w:r>
    </w:p>
    <w:p>
      <w:pPr>
        <w:spacing w:after="160" w:line="276"/>
      </w:pPr>
      <w:r>
        <w:rPr>
          <w:rFonts w:ascii="Calibri" w:cs="Calibri" w:eastAsia="Calibri" w:hAnsi="Calibri"/>
          <w:b/>
          <w:bCs/>
          <w:color w:val="2D3748"/>
          <w:sz w:val="21"/>
          <w:szCs w:val="21"/>
        </w:rPr>
        <w:t xml:space="preserve">Months 0–6: </w:t>
      </w:r>
      <w:r>
        <w:rPr>
          <w:rFonts w:ascii="Calibri" w:cs="Calibri" w:eastAsia="Calibri" w:hAnsi="Calibri"/>
          <w:color w:val="2D3748"/>
          <w:sz w:val="21"/>
          <w:szCs w:val="21"/>
        </w:rPr>
        <w:t xml:space="preserve">Founder-led sales through academic and conference networks (HIMSS Europe, AMIA, DMEA). Secure 3–5 paid assessment engagements.</w:t>
      </w:r>
    </w:p>
    <w:p>
      <w:pPr>
        <w:spacing w:after="160" w:line="276"/>
      </w:pPr>
      <w:r>
        <w:rPr>
          <w:rFonts w:ascii="Calibri" w:cs="Calibri" w:eastAsia="Calibri" w:hAnsi="Calibri"/>
          <w:b/>
          <w:bCs/>
          <w:color w:val="2D3748"/>
          <w:sz w:val="21"/>
          <w:szCs w:val="21"/>
        </w:rPr>
        <w:t xml:space="preserve">Months 6–12: </w:t>
      </w:r>
      <w:r>
        <w:rPr>
          <w:rFonts w:ascii="Calibri" w:cs="Calibri" w:eastAsia="Calibri" w:hAnsi="Calibri"/>
          <w:color w:val="2D3748"/>
          <w:sz w:val="21"/>
          <w:szCs w:val="21"/>
        </w:rPr>
        <w:t xml:space="preserve">Reference-driven. Use case studies and compliance reports from initial customers to sell into same regulatory jurisdiction.</w:t>
      </w:r>
    </w:p>
    <w:p>
      <w:pPr>
        <w:spacing w:after="160" w:line="276"/>
      </w:pPr>
      <w:r>
        <w:rPr>
          <w:rFonts w:ascii="Calibri" w:cs="Calibri" w:eastAsia="Calibri" w:hAnsi="Calibri"/>
          <w:b/>
          <w:bCs/>
          <w:color w:val="2D3748"/>
          <w:sz w:val="21"/>
          <w:szCs w:val="21"/>
        </w:rPr>
        <w:t xml:space="preserve">Months 12–24: </w:t>
      </w:r>
      <w:r>
        <w:rPr>
          <w:rFonts w:ascii="Calibri" w:cs="Calibri" w:eastAsia="Calibri" w:hAnsi="Calibri"/>
          <w:color w:val="2D3748"/>
          <w:sz w:val="21"/>
          <w:szCs w:val="21"/>
        </w:rPr>
        <w:t xml:space="preserve">Partner-enabled. Channel partnerships with healthcare consulting firms, cloud marketplaces (AWS/Azure), and innovation networks.</w:t>
      </w:r>
    </w:p>
    <w:p>
      <w:pPr>
        <w:pStyle w:val="Heading2"/>
        <w:spacing w:before="280" w:after="140"/>
      </w:pPr>
      <w:r>
        <w:rPr>
          <w:rFonts w:ascii="Calibri" w:cs="Calibri" w:eastAsia="Calibri" w:hAnsi="Calibri"/>
          <w:b/>
          <w:bCs/>
          <w:color w:val="2B7A99"/>
          <w:sz w:val="24"/>
          <w:szCs w:val="24"/>
        </w:rPr>
        <w:t xml:space="preserve">Security Certifications</w:t>
      </w:r>
    </w:p>
    <w:p>
      <w:pPr>
        <w:spacing w:after="160" w:line="276"/>
      </w:pPr>
      <w:r>
        <w:rPr>
          <w:rFonts w:ascii="Calibri" w:cs="Calibri" w:eastAsia="Calibri" w:hAnsi="Calibri"/>
          <w:b/>
          <w:bCs/>
          <w:color w:val="2D3748"/>
          <w:sz w:val="21"/>
          <w:szCs w:val="21"/>
        </w:rPr>
        <w:t xml:space="preserve">Year 1: SOC 2 Type II </w:t>
      </w:r>
      <w:r>
        <w:rPr>
          <w:rFonts w:ascii="Calibri" w:cs="Calibri" w:eastAsia="Calibri" w:hAnsi="Calibri"/>
          <w:color w:val="2D3748"/>
          <w:sz w:val="21"/>
          <w:szCs w:val="21"/>
        </w:rPr>
        <w:t xml:space="preserve">($30K–$60K). Minimum viable certification for healthcare vendor procurement.</w:t>
      </w:r>
    </w:p>
    <w:p>
      <w:pPr>
        <w:spacing w:after="160" w:line="276"/>
      </w:pPr>
      <w:r>
        <w:rPr>
          <w:rFonts w:ascii="Calibri" w:cs="Calibri" w:eastAsia="Calibri" w:hAnsi="Calibri"/>
          <w:b/>
          <w:bCs/>
          <w:color w:val="2D3748"/>
          <w:sz w:val="21"/>
          <w:szCs w:val="21"/>
        </w:rPr>
        <w:t xml:space="preserve">Year 2: HITRUST </w:t>
      </w:r>
      <w:r>
        <w:rPr>
          <w:rFonts w:ascii="Calibri" w:cs="Calibri" w:eastAsia="Calibri" w:hAnsi="Calibri"/>
          <w:color w:val="2D3748"/>
          <w:sz w:val="21"/>
          <w:szCs w:val="21"/>
        </w:rPr>
        <w:t xml:space="preserve">($50K–$200K). Gold standard for healthcare vendors. Required for most large health system procurement.</w:t>
      </w:r>
    </w:p>
    <w:p>
      <w:pPr>
        <w:spacing w:after="160" w:line="276"/>
      </w:pPr>
      <w:r>
        <w:rPr>
          <w:rFonts w:ascii="Calibri" w:cs="Calibri" w:eastAsia="Calibri" w:hAnsi="Calibri"/>
          <w:b/>
          <w:bCs/>
          <w:color w:val="2D3748"/>
          <w:sz w:val="21"/>
          <w:szCs w:val="21"/>
        </w:rPr>
        <w:t xml:space="preserve">Year 2–3: ISO/IEC 42001 </w:t>
      </w:r>
      <w:r>
        <w:rPr>
          <w:rFonts w:ascii="Calibri" w:cs="Calibri" w:eastAsia="Calibri" w:hAnsi="Calibri"/>
          <w:color w:val="2D3748"/>
          <w:sz w:val="21"/>
          <w:szCs w:val="21"/>
        </w:rPr>
        <w:t xml:space="preserve">(AI management system standard). Demonstrates ParityScope practices what it sells.</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DEPLOYMENT ARCHITECTURE</w:t>
      </w:r>
    </w:p>
    <w:p>
      <w:pPr>
        <w:pBdr>
          <w:left w:val="single" w:color="2B7A99" w:sz="5"/>
        </w:pBdr>
        <w:spacing w:before="100" w:after="200"/>
        <w:ind w:left="300" w:right="300"/>
      </w:pPr>
      <w:r>
        <w:rPr>
          <w:rFonts w:ascii="Calibri" w:cs="Calibri" w:eastAsia="Calibri" w:hAnsi="Calibri"/>
          <w:i/>
          <w:iCs/>
          <w:color w:val="2B7A99"/>
          <w:sz w:val="21"/>
          <w:szCs w:val="21"/>
        </w:rPr>
        <w:t xml:space="preserve">Medical organizations and government agencies will not allow patient data to leave their environment. ParityScope’s SDK-first architecture solves this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360"/>
        <w:gridCol w:w="2800"/>
      </w:tblGrid>
      <w:tr>
        <w:trPr>
          <w:tblHeader/>
        </w:trPr>
        <w:tc>
          <w:tcPr>
            <w:tcW w:type="dxa" w:w="1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Tier</w:t>
            </w:r>
          </w:p>
        </w:tc>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Description</w:t>
            </w:r>
          </w:p>
        </w:tc>
        <w:tc>
          <w:tcPr>
            <w:tcW w:type="dxa" w:w="2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Target Client</w:t>
            </w:r>
          </w:p>
        </w:tc>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Data Flow</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Cloud SaaS</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Client uploads de-identified prediction outputs + demographics via web interface</w:t>
            </w:r>
          </w:p>
        </w:tc>
        <w:tc>
          <w:tcPr>
            <w:tcW w:type="dxa" w:w="2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MedTech startups, research institutions</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De-identified data only</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On-Premise SDK</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ParityScope runs entirely inside client infrastructure</w:t>
            </w:r>
          </w:p>
        </w:tc>
        <w:tc>
          <w:tcPr>
            <w:tcW w:type="dxa" w:w="2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Hospitals, government agencies, large health systems</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No data leaves client environment</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Privacy-Preserving</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Differential privacy, secure computation, synthetic data</w:t>
            </w:r>
          </w:p>
        </w:tc>
        <w:tc>
          <w:tcPr>
            <w:tcW w:type="dxa" w:w="2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Cross-institutional studies, most sensitive use cases</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Mathematical guarantees; no raw data exposure</w:t>
            </w:r>
          </w:p>
        </w:tc>
      </w:tr>
    </w:tbl>
    <w:p>
      <w:pPr>
        <w:spacing w:before="100"/>
      </w:pPr>
    </w:p>
    <w:p>
      <w:pPr>
        <w:pStyle w:val="Heading2"/>
        <w:spacing w:before="280" w:after="140"/>
      </w:pPr>
      <w:r>
        <w:rPr>
          <w:rFonts w:ascii="Calibri" w:cs="Calibri" w:eastAsia="Calibri" w:hAnsi="Calibri"/>
          <w:b/>
          <w:bCs/>
          <w:color w:val="2B7A99"/>
          <w:sz w:val="24"/>
          <w:szCs w:val="24"/>
        </w:rPr>
        <w:t xml:space="preserve">Why SDK-First</w:t>
      </w:r>
    </w:p>
    <w:p>
      <w:pPr>
        <w:spacing w:after="160" w:line="276"/>
      </w:pPr>
      <w:r>
        <w:rPr>
          <w:rFonts w:ascii="Calibri" w:cs="Calibri" w:eastAsia="Calibri" w:hAnsi="Calibri"/>
          <w:b/>
          <w:bCs/>
          <w:color w:val="2D3748"/>
          <w:sz w:val="21"/>
          <w:szCs w:val="21"/>
        </w:rPr>
        <w:t xml:space="preserve">Privacy: </w:t>
      </w:r>
      <w:r>
        <w:rPr>
          <w:rFonts w:ascii="Calibri" w:cs="Calibri" w:eastAsia="Calibri" w:hAnsi="Calibri"/>
          <w:color w:val="2D3748"/>
          <w:sz w:val="21"/>
          <w:szCs w:val="21"/>
        </w:rPr>
        <w:t xml:space="preserve">GDPR and national data protection laws restrict cross-border health data transfer. Germany is particularly strict — hospitals often cannot move data between their own campuses. A local SDK eliminates this entire class of objections.</w:t>
      </w:r>
    </w:p>
    <w:p>
      <w:pPr>
        <w:spacing w:after="160" w:line="276"/>
      </w:pPr>
      <w:r>
        <w:rPr>
          <w:rFonts w:ascii="Calibri" w:cs="Calibri" w:eastAsia="Calibri" w:hAnsi="Calibri"/>
          <w:b/>
          <w:bCs/>
          <w:color w:val="2D3748"/>
          <w:sz w:val="21"/>
          <w:szCs w:val="21"/>
        </w:rPr>
        <w:t xml:space="preserve">Data access: </w:t>
      </w:r>
      <w:r>
        <w:rPr>
          <w:rFonts w:ascii="Calibri" w:cs="Calibri" w:eastAsia="Calibri" w:hAnsi="Calibri"/>
          <w:color w:val="2D3748"/>
          <w:sz w:val="21"/>
          <w:szCs w:val="21"/>
        </w:rPr>
        <w:t xml:space="preserve">Cloud SaaS limits capabilities to post-processing methods (clients upload only predictions). On-premise SDK can access full training data, enabling the complete range of mitigation methods.</w:t>
      </w:r>
    </w:p>
    <w:p>
      <w:pPr>
        <w:spacing w:after="160" w:line="276"/>
      </w:pPr>
      <w:r>
        <w:rPr>
          <w:rFonts w:ascii="Calibri" w:cs="Calibri" w:eastAsia="Calibri" w:hAnsi="Calibri"/>
          <w:b/>
          <w:bCs/>
          <w:color w:val="2D3748"/>
          <w:sz w:val="21"/>
          <w:szCs w:val="21"/>
        </w:rPr>
        <w:t xml:space="preserve">Speed: </w:t>
      </w:r>
      <w:r>
        <w:rPr>
          <w:rFonts w:ascii="Calibri" w:cs="Calibri" w:eastAsia="Calibri" w:hAnsi="Calibri"/>
          <w:color w:val="2D3748"/>
          <w:sz w:val="21"/>
          <w:szCs w:val="21"/>
        </w:rPr>
        <w:t xml:space="preserve">Building an SDK is faster than building a cloud platform with authentication, multi-tenancy, and security infrastructure.</w:t>
      </w:r>
    </w:p>
    <w:p>
      <w:pPr>
        <w:spacing w:after="160" w:line="276"/>
      </w:pPr>
      <w:r>
        <w:rPr>
          <w:rFonts w:ascii="Calibri" w:cs="Calibri" w:eastAsia="Calibri" w:hAnsi="Calibri"/>
          <w:b/>
          <w:bCs/>
          <w:color w:val="2D3748"/>
          <w:sz w:val="21"/>
          <w:szCs w:val="21"/>
        </w:rPr>
        <w:t xml:space="preserve">Competitive advantage: </w:t>
      </w:r>
      <w:r>
        <w:rPr>
          <w:rFonts w:ascii="Calibri" w:cs="Calibri" w:eastAsia="Calibri" w:hAnsi="Calibri"/>
          <w:color w:val="2D3748"/>
          <w:sz w:val="21"/>
          <w:szCs w:val="21"/>
        </w:rPr>
        <w:t xml:space="preserve">Most AI governance platforms are cloud-first and struggle with on-premise healthcare deployments. SDK-first is a genuine differentiator.</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TEAM</w:t>
      </w:r>
    </w:p>
    <w:p>
      <w:pPr>
        <w:spacing w:after="160" w:line="276"/>
      </w:pPr>
      <w:r>
        <w:rPr>
          <w:rFonts w:ascii="Calibri" w:cs="Calibri" w:eastAsia="Calibri" w:hAnsi="Calibri"/>
          <w:color w:val="2D3748"/>
          <w:sz w:val="21"/>
          <w:szCs w:val="21"/>
        </w:rPr>
        <w:t xml:space="preserve">ParityScope is founded by a team with deep expertise in algorithmic fairness for healthcare, combining ML research depth with healthcare domain knowledge and European population health data experience.</w:t>
      </w:r>
    </w:p>
    <w:p>
      <w:pPr>
        <w:pStyle w:val="Heading2"/>
        <w:spacing w:before="280" w:after="140"/>
      </w:pPr>
      <w:r>
        <w:rPr>
          <w:rFonts w:ascii="Calibri" w:cs="Calibri" w:eastAsia="Calibri" w:hAnsi="Calibri"/>
          <w:b/>
          <w:bCs/>
          <w:color w:val="2B7A99"/>
          <w:sz w:val="24"/>
          <w:szCs w:val="24"/>
        </w:rPr>
        <w:t xml:space="preserve">Founding Strengths</w:t>
      </w:r>
    </w:p>
    <w:p>
      <w:pPr>
        <w:spacing w:after="160" w:line="276"/>
      </w:pPr>
      <w:r>
        <w:rPr>
          <w:rFonts w:ascii="Calibri" w:cs="Calibri" w:eastAsia="Calibri" w:hAnsi="Calibri"/>
          <w:b/>
          <w:bCs/>
          <w:color w:val="2D3748"/>
          <w:sz w:val="21"/>
          <w:szCs w:val="21"/>
        </w:rPr>
        <w:t xml:space="preserve">Algorithmic fairness expertise: </w:t>
      </w:r>
      <w:r>
        <w:rPr>
          <w:rFonts w:ascii="Calibri" w:cs="Calibri" w:eastAsia="Calibri" w:hAnsi="Calibri"/>
          <w:color w:val="2D3748"/>
          <w:sz w:val="21"/>
          <w:szCs w:val="21"/>
        </w:rPr>
        <w:t xml:space="preserve">Deep technical knowledge of fairness metrics, bias mitigation methods, and their trade-offs in healthcare contexts — including which approaches work in practice and which consistently fail.</w:t>
      </w:r>
    </w:p>
    <w:p>
      <w:pPr>
        <w:spacing w:after="160" w:line="276"/>
      </w:pPr>
      <w:r>
        <w:rPr>
          <w:rFonts w:ascii="Calibri" w:cs="Calibri" w:eastAsia="Calibri" w:hAnsi="Calibri"/>
          <w:b/>
          <w:bCs/>
          <w:color w:val="2D3748"/>
          <w:sz w:val="21"/>
          <w:szCs w:val="21"/>
        </w:rPr>
        <w:t xml:space="preserve">European healthcare data: </w:t>
      </w:r>
      <w:r>
        <w:rPr>
          <w:rFonts w:ascii="Calibri" w:cs="Calibri" w:eastAsia="Calibri" w:hAnsi="Calibri"/>
          <w:color w:val="2D3748"/>
          <w:sz w:val="21"/>
          <w:szCs w:val="21"/>
        </w:rPr>
        <w:t xml:space="preserve">Direct experience with European population health data, providing cross-national fairness analysis directly applicable to ParityScope’s EU market focus.</w:t>
      </w:r>
    </w:p>
    <w:p>
      <w:pPr>
        <w:spacing w:after="160" w:line="276"/>
      </w:pPr>
      <w:r>
        <w:rPr>
          <w:rFonts w:ascii="Calibri" w:cs="Calibri" w:eastAsia="Calibri" w:hAnsi="Calibri"/>
          <w:b/>
          <w:bCs/>
          <w:color w:val="2D3748"/>
          <w:sz w:val="21"/>
          <w:szCs w:val="21"/>
        </w:rPr>
        <w:t xml:space="preserve">Socioeconomic fairness: </w:t>
      </w:r>
      <w:r>
        <w:rPr>
          <w:rFonts w:ascii="Calibri" w:cs="Calibri" w:eastAsia="Calibri" w:hAnsi="Calibri"/>
          <w:color w:val="2D3748"/>
          <w:sz w:val="21"/>
          <w:szCs w:val="21"/>
        </w:rPr>
        <w:t xml:space="preserve">Expertise in income-based algorithmic fairness — a critical but underserved dimension for universal healthcare systems where socioeconomic status drives outcome disparities.</w:t>
      </w:r>
    </w:p>
    <w:p>
      <w:pPr>
        <w:pStyle w:val="Heading2"/>
        <w:spacing w:before="280" w:after="140"/>
      </w:pPr>
      <w:r>
        <w:rPr>
          <w:rFonts w:ascii="Calibri" w:cs="Calibri" w:eastAsia="Calibri" w:hAnsi="Calibri"/>
          <w:b/>
          <w:bCs/>
          <w:color w:val="2B7A99"/>
          <w:sz w:val="24"/>
          <w:szCs w:val="24"/>
        </w:rPr>
        <w:t xml:space="preserve">Growth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Phase</w:t>
            </w:r>
          </w:p>
        </w:tc>
        <w:tc>
          <w:tcPr>
            <w:tcW w:type="dxa" w:w="1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Team</w:t>
            </w:r>
          </w:p>
        </w:tc>
        <w:tc>
          <w:tcPr>
            <w:tcW w:type="dxa" w:w="6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Key Hires</w:t>
            </w:r>
          </w:p>
        </w:tc>
      </w:tr>
      <w:tr>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0–12</w:t>
            </w:r>
          </w:p>
        </w:tc>
        <w:tc>
          <w:tcPr>
            <w:tcW w:type="dxa" w:w="1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2–3</w:t>
            </w:r>
          </w:p>
        </w:tc>
        <w:tc>
          <w:tcPr>
            <w:tcW w:type="dxa" w:w="6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Full-stack engineer, regulatory/business development</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Months 12–24</w:t>
            </w:r>
          </w:p>
        </w:tc>
        <w:tc>
          <w:tcPr>
            <w:tcW w:type="dxa" w:w="1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5–8</w:t>
            </w:r>
          </w:p>
        </w:tc>
        <w:tc>
          <w:tcPr>
            <w:tcW w:type="dxa" w:w="6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ML engineer, frontend developer, sales lead, compliance specialist</w:t>
            </w:r>
          </w:p>
        </w:tc>
      </w:tr>
      <w:tr>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24–36</w:t>
            </w:r>
          </w:p>
        </w:tc>
        <w:tc>
          <w:tcPr>
            <w:tcW w:type="dxa" w:w="1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12–20</w:t>
            </w:r>
          </w:p>
        </w:tc>
        <w:tc>
          <w:tcPr>
            <w:tcW w:type="dxa" w:w="6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Engineering team, customer success, marketing, additional sales</w:t>
            </w:r>
          </w:p>
        </w:tc>
      </w:tr>
    </w:tbl>
    <w:p>
      <w:pPr>
        <w:spacing w:before="100"/>
      </w:pPr>
    </w:p>
    <w:p>
      <w:pPr>
        <w:pStyle w:val="Heading2"/>
        <w:spacing w:before="280" w:after="140"/>
      </w:pPr>
      <w:r>
        <w:rPr>
          <w:rFonts w:ascii="Calibri" w:cs="Calibri" w:eastAsia="Calibri" w:hAnsi="Calibri"/>
          <w:b/>
          <w:bCs/>
          <w:color w:val="2B7A99"/>
          <w:sz w:val="24"/>
          <w:szCs w:val="24"/>
        </w:rPr>
        <w:t xml:space="preserve">Why This Team</w:t>
      </w:r>
    </w:p>
    <w:p>
      <w:pPr>
        <w:spacing w:after="160" w:line="276"/>
      </w:pPr>
      <w:r>
        <w:rPr>
          <w:rFonts w:ascii="Calibri" w:cs="Calibri" w:eastAsia="Calibri" w:hAnsi="Calibri"/>
          <w:color w:val="2D3748"/>
          <w:sz w:val="21"/>
          <w:szCs w:val="21"/>
        </w:rPr>
        <w:t xml:space="preserve">AI governance is a space where competitors are built either by governance consultants who lack ML depth, or by ML engineers who lack healthcare domain expertise. ParityScope’s founding team combines rigorous algorithmic fairness knowledge with deep understanding of healthcare data — the exact intersection required to build a credible, healthcare-specific compliance toolkit.</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Risk</w:t>
            </w:r>
          </w:p>
        </w:tc>
        <w:tc>
          <w:tcPr>
            <w:tcW w:type="dxa" w:w="1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Severity</w:t>
            </w:r>
          </w:p>
        </w:tc>
        <w:tc>
          <w:tcPr>
            <w:tcW w:type="dxa" w:w="55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Mitigation</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EU AI Act enforcement delayed further</w:t>
            </w:r>
          </w:p>
        </w:tc>
        <w:tc>
          <w:tcPr>
            <w:tcW w:type="dxa" w:w="1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High</w:t>
            </w:r>
          </w:p>
        </w:tc>
        <w:tc>
          <w:tcPr>
            <w:tcW w:type="dxa" w:w="5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Revenue model not dependent on enforcement deadline. Pre-enforcement preparation demand persists regardless (OneTrust precedent).</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Long healthcare sales cycles exhaust runway</w:t>
            </w:r>
          </w:p>
        </w:tc>
        <w:tc>
          <w:tcPr>
            <w:tcW w:type="dxa" w:w="1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High</w:t>
            </w:r>
          </w:p>
        </w:tc>
        <w:tc>
          <w:tcPr>
            <w:tcW w:type="dxa" w:w="5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Consulting revenue from month one. Non-dilutive EU grants extend runway. Target 24–36 months runway.</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Large platforms add fairness capabilities</w:t>
            </w:r>
          </w:p>
        </w:tc>
        <w:tc>
          <w:tcPr>
            <w:tcW w:type="dxa" w:w="1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Medium</w:t>
            </w:r>
          </w:p>
        </w:tc>
        <w:tc>
          <w:tcPr>
            <w:tcW w:type="dxa" w:w="5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Healthcare-specific regulation mapping is the moat. Azure Responsible AI and SageMaker Clarify exist but lack healthcare context. Veeva survived Salesforce for the same reason.</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Epic/EHR vendors build sufficient governance</w:t>
            </w:r>
          </w:p>
        </w:tc>
        <w:tc>
          <w:tcPr>
            <w:tcW w:type="dxa" w:w="1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Medium</w:t>
            </w:r>
          </w:p>
        </w:tc>
        <w:tc>
          <w:tcPr>
            <w:tcW w:type="dxa" w:w="5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Epic Seismometer monitors only Epic-deployed models. ParityScope is model-agnostic, regulation-aware, and has stronger European positioning.</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Difficult to demonstrate ROI</w:t>
            </w:r>
          </w:p>
        </w:tc>
        <w:tc>
          <w:tcPr>
            <w:tcW w:type="dxa" w:w="1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Medium</w:t>
            </w:r>
          </w:p>
        </w:tc>
        <w:tc>
          <w:tcPr>
            <w:tcW w:type="dxa" w:w="5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Quantify: cost of non-compliance (€35M), cost of manual governance (2–3 FTE at €200K+), reputational risk from publicized bias incidents.</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Data privacy blocks cloud deployment</w:t>
            </w:r>
          </w:p>
        </w:tc>
        <w:tc>
          <w:tcPr>
            <w:tcW w:type="dxa" w:w="1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Low</w:t>
            </w:r>
          </w:p>
        </w:tc>
        <w:tc>
          <w:tcPr>
            <w:tcW w:type="dxa" w:w="5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SDK-first architecture solves this from day one. This is a competitive advantage, not a risk.</w:t>
            </w:r>
          </w:p>
        </w:tc>
      </w:tr>
    </w:tbl>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VISION &amp; IMPACT</w:t>
      </w:r>
    </w:p>
    <w:p>
      <w:pPr>
        <w:spacing w:after="160" w:line="276"/>
      </w:pPr>
      <w:r>
        <w:rPr>
          <w:rFonts w:ascii="Calibri" w:cs="Calibri" w:eastAsia="Calibri" w:hAnsi="Calibri"/>
          <w:color w:val="2D3748"/>
          <w:sz w:val="21"/>
          <w:szCs w:val="21"/>
        </w:rPr>
        <w:t xml:space="preserve">We are building toward a healthcare system where every AI-assisted clinical decision is held to the same standard of fairness — regardless of which vendor built the model, which hospital deployed it, or which country the patient lives in.</w:t>
      </w:r>
    </w:p>
    <w:p>
      <w:pPr>
        <w:spacing w:after="160" w:line="276"/>
      </w:pPr>
      <w:r>
        <w:rPr>
          <w:rFonts w:ascii="Calibri" w:cs="Calibri" w:eastAsia="Calibri" w:hAnsi="Calibri"/>
          <w:color w:val="2D3748"/>
          <w:sz w:val="21"/>
          <w:szCs w:val="21"/>
        </w:rPr>
        <w:t xml:space="preserve">We want fairness auditing to become as routine in healthcare AI as safety testing is for pharmaceuticals.</w:t>
      </w:r>
    </w:p>
    <w:p>
      <w:pPr>
        <w:pStyle w:val="Heading2"/>
        <w:spacing w:before="280" w:after="140"/>
      </w:pPr>
      <w:r>
        <w:rPr>
          <w:rFonts w:ascii="Calibri" w:cs="Calibri" w:eastAsia="Calibri" w:hAnsi="Calibri"/>
          <w:b/>
          <w:bCs/>
          <w:color w:val="2B7A99"/>
          <w:sz w:val="24"/>
          <w:szCs w:val="24"/>
        </w:rPr>
        <w:t xml:space="preserve">UN Sustainable Development Goals</w:t>
      </w:r>
    </w:p>
    <w:p>
      <w:pPr>
        <w:spacing w:after="160" w:line="276"/>
      </w:pPr>
      <w:r>
        <w:rPr>
          <w:rFonts w:ascii="Calibri" w:cs="Calibri" w:eastAsia="Calibri" w:hAnsi="Calibri"/>
          <w:color w:val="2D3748"/>
          <w:sz w:val="21"/>
          <w:szCs w:val="21"/>
        </w:rPr>
        <w:t xml:space="preserve">ParityScope aligns with three SDGs, providing impact credibility and eligibility for European grants (Horizon Europe, EIC Accelerator, EU4Health) and ESG-oriented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SDG</w:t>
            </w:r>
          </w:p>
        </w:tc>
        <w:tc>
          <w:tcPr>
            <w:tcW w:type="dxa" w:w="69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Alignment</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SDG 3 — Good Health &amp; Well-being</w:t>
            </w:r>
          </w:p>
        </w:tc>
        <w:tc>
          <w:tcPr>
            <w:tcW w:type="dxa" w:w="69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Algorithmic bias directly undermines equitable access to care. The Optum case affected 200M+ patients; dermatology AI accuracy dropped 29 percentage points on dark skin. ParityScope’s auditing addresses quantifiable harm.</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SDG 10 — Reduced Inequalities</w:t>
            </w:r>
          </w:p>
        </w:tc>
        <w:tc>
          <w:tcPr>
            <w:tcW w:type="dxa" w:w="69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Healthcare AI bias is systemic discrimination. ParityScope’s focus on socioeconomic fairness is particularly relevant for universal healthcare systems in Europe and Asia.</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SDG 16 — Peace, Justice &amp; Strong Institutions</w:t>
            </w:r>
          </w:p>
        </w:tc>
        <w:tc>
          <w:tcPr>
            <w:tcW w:type="dxa" w:w="69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Only 4 of 50 European countries have AI liability standards for health. ParityScope provides the accountability infrastructure institutions currently lack.</w:t>
            </w:r>
          </w:p>
        </w:tc>
      </w:tr>
    </w:tbl>
    <w:p>
      <w:pPr>
        <w:spacing w:before="100"/>
      </w:pPr>
    </w:p>
    <w:p>
      <w:pPr>
        <w:pStyle w:val="Heading2"/>
        <w:spacing w:before="280" w:after="140"/>
      </w:pPr>
      <w:r>
        <w:rPr>
          <w:rFonts w:ascii="Calibri" w:cs="Calibri" w:eastAsia="Calibri" w:hAnsi="Calibri"/>
          <w:b/>
          <w:bCs/>
          <w:color w:val="2B7A99"/>
          <w:sz w:val="24"/>
          <w:szCs w:val="24"/>
        </w:rPr>
        <w:t xml:space="preserve">The Opportunity</w:t>
      </w:r>
    </w:p>
    <w:p>
      <w:pPr>
        <w:spacing w:after="160" w:line="276"/>
      </w:pPr>
      <w:r>
        <w:rPr>
          <w:rFonts w:ascii="Calibri" w:cs="Calibri" w:eastAsia="Calibri" w:hAnsi="Calibri"/>
          <w:color w:val="2D3748"/>
          <w:sz w:val="21"/>
          <w:szCs w:val="21"/>
        </w:rPr>
        <w:t xml:space="preserve">Three forces are converging: the regulatory framework is being built globally, the evidence of harm is undeniable, and the governance gap between committee formation and actual tool adoption remains vast. ParityScope is positioned to become the standard toolkit that hospitals, regulators, and MedTech companies reach for when they need to ensure their AI systems treat all patients fairly.</w:t>
      </w:r>
    </w:p>
    <w:p>
      <w:pPr>
        <w:spacing w:before="600"/>
      </w:pPr>
    </w:p>
    <w:p>
      <w:pPr>
        <w:jc w:val="center"/>
      </w:pPr>
      <w:r>
        <w:rPr>
          <w:rFonts w:ascii="Calibri" w:cs="Calibri" w:eastAsia="Calibri" w:hAnsi="Calibri"/>
          <w:b/>
          <w:bCs/>
          <w:color w:val="1A2E44"/>
          <w:sz w:val="30"/>
          <w:szCs w:val="30"/>
        </w:rPr>
        <w:t xml:space="preserve">ParityScope</w:t>
      </w:r>
    </w:p>
    <w:p>
      <w:pPr>
        <w:spacing w:after="80"/>
        <w:jc w:val="center"/>
      </w:pPr>
      <w:r>
        <w:rPr>
          <w:rFonts w:ascii="Calibri" w:cs="Calibri" w:eastAsia="Calibri" w:hAnsi="Calibri"/>
          <w:i/>
          <w:iCs/>
          <w:color w:val="2B7A99"/>
          <w:sz w:val="22"/>
          <w:szCs w:val="22"/>
        </w:rPr>
        <w:t xml:space="preserve">Audit. Monitor. Improve.</w:t>
      </w:r>
    </w:p>
    <w:p>
      <w:pPr>
        <w:jc w:val="center"/>
      </w:pPr>
      <w:r>
        <w:rPr>
          <w:rFonts w:ascii="Calibri" w:cs="Calibri" w:eastAsia="Calibri" w:hAnsi="Calibri"/>
          <w:color w:val="4A5568"/>
          <w:sz w:val="21"/>
          <w:szCs w:val="21"/>
        </w:rPr>
        <w:t xml:space="preserve">Making healthcare AI fair for every patient.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0AEC0"/>
        <w:sz w:val="15"/>
        <w:szCs w:val="15"/>
      </w:rPr>
      <w:t xml:space="preserve">Confidential   •   Page </w:t>
    </w:r>
    <w:r>
      <w:rPr>
        <w:rFonts w:ascii="Calibri" w:cs="Calibri" w:eastAsia="Calibri" w:hAnsi="Calibri"/>
        <w:color w:val="A0AEC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A0AEC0"/>
        <w:sz w:val="15"/>
        <w:szCs w:val="15"/>
      </w:rPr>
      <w:t xml:space="preserve">ParityScope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200"/>
      <w:outlineLvl w:val="0"/>
    </w:pPr>
    <w:rPr>
      <w:rFonts w:ascii="Calibri" w:cs="Calibri" w:eastAsia="Calibri" w:hAnsi="Calibri"/>
      <w:b/>
      <w:bCs/>
      <w:color w:val="1A2E44"/>
      <w:sz w:val="28"/>
      <w:szCs w:val="28"/>
    </w:rPr>
  </w:style>
  <w:style w:type="paragraph" w:styleId="Heading2">
    <w:name w:val="Heading 2"/>
    <w:basedOn w:val="Normal"/>
    <w:next w:val="Normal"/>
    <w:qFormat/>
    <w:pPr>
      <w:spacing w:before="280" w:after="140"/>
      <w:outlineLvl w:val="1"/>
    </w:pPr>
    <w:rPr>
      <w:rFonts w:ascii="Calibri" w:cs="Calibri" w:eastAsia="Calibri" w:hAnsi="Calibri"/>
      <w:b/>
      <w:bCs/>
      <w:color w:val="2B7A99"/>
      <w:sz w:val="24"/>
      <w:szCs w:val="24"/>
    </w:rPr>
  </w:style>
  <w:style w:type="paragraph" w:styleId="Heading3">
    <w:name w:val="Heading 3"/>
    <w:basedOn w:val="Normal"/>
    <w:next w:val="Normal"/>
    <w:qFormat/>
    <w:pPr>
      <w:spacing w:before="200" w:after="100"/>
      <w:outlineLvl w:val="2"/>
    </w:pPr>
    <w:rPr>
      <w:rFonts w:ascii="Calibri" w:cs="Calibri" w:eastAsia="Calibri" w:hAnsi="Calibri"/>
      <w:b/>
      <w:bCs/>
      <w:color w:val="1A2E44"/>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2026-02-12T18:42:01.695Z</dcterms:created>
  <dcterms:modified xsi:type="dcterms:W3CDTF">2026-02-12T18:42:01.696Z</dcterms:modified>
</cp:coreProperties>
</file>

<file path=docProps/custom.xml><?xml version="1.0" encoding="utf-8"?>
<Properties xmlns="http://schemas.openxmlformats.org/officeDocument/2006/custom-properties" xmlns:vt="http://schemas.openxmlformats.org/officeDocument/2006/docPropsVTypes"/>
</file>