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jc w:val="center"/>
      </w:pPr>
      <w:r>
        <w:rPr>
          <w:rFonts w:ascii="Calibri" w:cs="Calibri" w:eastAsia="Calibri" w:hAnsi="Calibri"/>
          <w:b/>
          <w:bCs/>
          <w:color w:val="1A2E44"/>
          <w:spacing w:val="120"/>
          <w:sz w:val="64"/>
          <w:szCs w:val="64"/>
        </w:rPr>
        <w:t xml:space="preserve">PARITYSCOPE</w:t>
      </w:r>
    </w:p>
    <w:p>
      <w:pPr>
        <w:spacing w:after="80"/>
        <w:jc w:val="center"/>
      </w:pPr>
      <w:r>
        <w:rPr>
          <w:rFonts w:ascii="Calibri" w:cs="Calibri" w:eastAsia="Calibri" w:hAnsi="Calibri"/>
          <w:color w:val="2B7A99"/>
          <w:sz w:val="36"/>
          <w:szCs w:val="36"/>
        </w:rPr>
        <w:t xml:space="preserve">—</w:t>
      </w:r>
    </w:p>
    <w:p>
      <w:pPr>
        <w:spacing w:after="600"/>
        <w:jc w:val="center"/>
      </w:pPr>
      <w:r>
        <w:rPr>
          <w:rFonts w:ascii="Calibri" w:cs="Calibri" w:eastAsia="Calibri" w:hAnsi="Calibri"/>
          <w:color w:val="2B7A99"/>
          <w:sz w:val="24"/>
          <w:szCs w:val="24"/>
        </w:rPr>
        <w:t xml:space="preserve">Healthcare AI Fairness Compliance Platform</w:t>
      </w:r>
    </w:p>
    <w:p>
      <w:pPr>
        <w:spacing w:after="40"/>
        <w:jc w:val="center"/>
      </w:pPr>
      <w:r>
        <w:rPr>
          <w:rFonts w:ascii="Calibri" w:cs="Calibri" w:eastAsia="Calibri" w:hAnsi="Calibri"/>
          <w:b/>
          <w:bCs/>
          <w:color w:val="2D3748"/>
          <w:spacing w:val="200"/>
          <w:sz w:val="30"/>
          <w:szCs w:val="30"/>
        </w:rPr>
        <w:t xml:space="preserve">BUSINESS PLAN</w:t>
      </w:r>
    </w:p>
    <w:p>
      <w:pPr>
        <w:spacing w:before="1600"/>
      </w:pPr>
    </w:p>
    <w:p>
      <w:pPr>
        <w:jc w:val="center"/>
      </w:pPr>
      <w:r>
        <w:rPr>
          <w:rFonts w:ascii="Calibri" w:cs="Calibri" w:eastAsia="Calibri" w:hAnsi="Calibri"/>
          <w:color w:val="A0AEC0"/>
          <w:sz w:val="20"/>
          <w:szCs w:val="20"/>
        </w:rPr>
        <w:t xml:space="preserve">February 2026</w:t>
      </w:r>
    </w:p>
    <w:p>
      <w:pPr>
        <w:spacing w:after="40"/>
        <w:jc w:val="center"/>
      </w:pPr>
      <w:r>
        <w:rPr>
          <w:rFonts w:ascii="Calibri" w:cs="Calibri" w:eastAsia="Calibri" w:hAnsi="Calibri"/>
          <w:color w:val="A0AEC0"/>
          <w:spacing w:val="100"/>
          <w:sz w:val="18"/>
          <w:szCs w:val="18"/>
        </w:rPr>
        <w:t xml:space="preserve">Confidential</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EXECUTIVE SUMMARY</w:t>
      </w:r>
    </w:p>
    <w:p>
      <w:pPr>
        <w:spacing w:after="160" w:line="276"/>
      </w:pPr>
      <w:r>
        <w:rPr>
          <w:rFonts w:ascii="Calibri" w:cs="Calibri" w:eastAsia="Calibri" w:hAnsi="Calibri"/>
          <w:color w:val="2D3748"/>
          <w:sz w:val="21"/>
          <w:szCs w:val="21"/>
        </w:rPr>
        <w:t xml:space="preserve">Healthcare AI is a $15–27 billion market growing at 38% annually. Over 1,250 AI-enabled medical devices have been authorized by regulators, and physician AI usage nearly doubled in a single year. Yet these systems are biased — systematically producing worse outcomes for patients based on race, income, age, and gender — and the organizations deploying them have almost no tools to detect, measure, or fix the problem.</w:t>
      </w:r>
    </w:p>
    <w:p>
      <w:pPr>
        <w:spacing w:after="160" w:line="276"/>
      </w:pPr>
      <w:r>
        <w:rPr>
          <w:rFonts w:ascii="Calibri" w:cs="Calibri" w:eastAsia="Calibri" w:hAnsi="Calibri"/>
          <w:color w:val="2D3748"/>
          <w:sz w:val="21"/>
          <w:szCs w:val="21"/>
        </w:rPr>
        <w:t xml:space="preserve">ParityScope is a </w:t>
      </w:r>
      <w:r>
        <w:rPr>
          <w:rFonts w:ascii="Calibri" w:cs="Calibri" w:eastAsia="Calibri" w:hAnsi="Calibri"/>
          <w:b/>
          <w:bCs/>
          <w:color w:val="2D3748"/>
          <w:sz w:val="21"/>
          <w:szCs w:val="21"/>
        </w:rPr>
        <w:t xml:space="preserve">healthcare AI fairness compliance toolkit</w:t>
      </w:r>
      <w:r>
        <w:rPr>
          <w:rFonts w:ascii="Calibri" w:cs="Calibri" w:eastAsia="Calibri" w:hAnsi="Calibri"/>
          <w:color w:val="2D3748"/>
          <w:sz w:val="21"/>
          <w:szCs w:val="21"/>
        </w:rPr>
        <w:t xml:space="preserve"> — installable software that healthcare organizations run inside their own environment to audit clinical AI models for bias, generate regulatory compliance reports, simulate the impact of fairness interventions, and continuously monitor fairness metrics over time.</w:t>
      </w:r>
    </w:p>
    <w:p>
      <w:pPr>
        <w:spacing w:after="160" w:line="276"/>
      </w:pPr>
      <w:r>
        <w:rPr>
          <w:rFonts w:ascii="Calibri" w:cs="Calibri" w:eastAsia="Calibri" w:hAnsi="Calibri"/>
          <w:color w:val="2D3748"/>
          <w:sz w:val="21"/>
          <w:szCs w:val="21"/>
        </w:rPr>
        <w:t xml:space="preserve">The EU AI Act classifies virtually all clinical AI as high-risk, requiring bias testing, documentation, and continuous monitoring. Penalties reach €35 million or 7% of global turnover. Yet only 16% of healthcare organizations have governance frameworks in place, and only 13.5% of enterprises have begun AI compliance programs. ParityScope closes this gap.</w:t>
      </w:r>
    </w:p>
    <w:p>
      <w:pPr>
        <w:pStyle w:val="Heading2"/>
        <w:spacing w:before="280" w:after="140"/>
      </w:pPr>
      <w:r>
        <w:rPr>
          <w:rFonts w:ascii="Calibri" w:cs="Calibri" w:eastAsia="Calibri" w:hAnsi="Calibri"/>
          <w:b/>
          <w:bCs/>
          <w:color w:val="2B7A99"/>
          <w:sz w:val="24"/>
          <w:szCs w:val="24"/>
        </w:rPr>
        <w:t xml:space="preserve">What We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Function</w:t>
            </w:r>
          </w:p>
        </w:tc>
        <w:tc>
          <w:tcPr>
            <w:tcW w:type="dxa" w:w="7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Description</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b/>
                <w:bCs/>
                <w:color w:val="2D3748"/>
                <w:sz w:val="19"/>
                <w:szCs w:val="19"/>
              </w:rPr>
              <w:t xml:space="preserve">Fairness Audit</w:t>
            </w:r>
          </w:p>
        </w:tc>
        <w:tc>
          <w:tcPr>
            <w:tcW w:type="dxa" w:w="7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Evaluates whether a clinical AI model treats patient groups equitably across demographic dimensions. Computes regulation-specific fairness metrics and outputs compliance-ready reports mapping to EU AI Act, Taiwan AI Basic Law, South Korea AI Framework Act, and Section 1557 requirements.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b/>
                <w:bCs/>
                <w:color w:val="2D3748"/>
                <w:sz w:val="19"/>
                <w:szCs w:val="19"/>
              </w:rPr>
              <w:t xml:space="preserve">Mitigation Simulation</w:t>
            </w:r>
          </w:p>
        </w:tc>
        <w:tc>
          <w:tcPr>
            <w:tcW w:type="dxa" w:w="7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Shows the projected impact of fairness interventions before implementation. Post-processing methods can achieve fairness improvements at zero accuracy cost by adjusting decision thresholds rather than retraining models.</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b/>
                <w:bCs/>
                <w:color w:val="2D3748"/>
                <w:sz w:val="19"/>
                <w:szCs w:val="19"/>
              </w:rPr>
              <w:t xml:space="preserve">Continuous Monitoring</w:t>
            </w:r>
          </w:p>
        </w:tc>
        <w:tc>
          <w:tcPr>
            <w:tcW w:type="dxa" w:w="7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Tracks fairness metrics over time as patient populations shift. Detects fairness drift and alerts compliance teams before patient harm occurs or regulators find the problem.</w:t>
            </w:r>
          </w:p>
        </w:tc>
      </w:tr>
    </w:tbl>
    <w:p>
      <w:pPr>
        <w:spacing w:before="100"/>
      </w:pPr>
    </w:p>
    <w:p>
      <w:pPr>
        <w:pStyle w:val="Heading2"/>
        <w:spacing w:before="280" w:after="140"/>
      </w:pPr>
      <w:r>
        <w:rPr>
          <w:rFonts w:ascii="Calibri" w:cs="Calibri" w:eastAsia="Calibri" w:hAnsi="Calibri"/>
          <w:b/>
          <w:bCs/>
          <w:color w:val="2B7A99"/>
          <w:sz w:val="24"/>
          <w:szCs w:val="24"/>
        </w:rPr>
        <w:t xml:space="preserve">Key Differentiators</w:t>
      </w:r>
    </w:p>
    <w:p>
      <w:pPr>
        <w:spacing w:after="160" w:line="276"/>
      </w:pPr>
      <w:r>
        <w:rPr>
          <w:rFonts w:ascii="Calibri" w:cs="Calibri" w:eastAsia="Calibri" w:hAnsi="Calibri"/>
          <w:b/>
          <w:bCs/>
          <w:color w:val="2D3748"/>
          <w:sz w:val="21"/>
          <w:szCs w:val="21"/>
        </w:rPr>
        <w:t xml:space="preserve">Healthcare-only. </w:t>
      </w:r>
      <w:r>
        <w:rPr>
          <w:rFonts w:ascii="Calibri" w:cs="Calibri" w:eastAsia="Calibri" w:hAnsi="Calibri"/>
          <w:color w:val="2D3748"/>
          <w:sz w:val="21"/>
          <w:szCs w:val="21"/>
        </w:rPr>
        <w:t xml:space="preserve">Purpose-built for clinical AI, not a generic governance tool. Every competitor in the market serves multiple industries; ParityScope goes deep on healthcare.</w:t>
      </w:r>
    </w:p>
    <w:p>
      <w:pPr>
        <w:spacing w:after="160" w:line="276"/>
      </w:pPr>
      <w:r>
        <w:rPr>
          <w:rFonts w:ascii="Calibri" w:cs="Calibri" w:eastAsia="Calibri" w:hAnsi="Calibri"/>
          <w:b/>
          <w:bCs/>
          <w:color w:val="2D3748"/>
          <w:sz w:val="21"/>
          <w:szCs w:val="21"/>
        </w:rPr>
        <w:t xml:space="preserve">Regulation-aware. </w:t>
      </w:r>
      <w:r>
        <w:rPr>
          <w:rFonts w:ascii="Calibri" w:cs="Calibri" w:eastAsia="Calibri" w:hAnsi="Calibri"/>
          <w:color w:val="2D3748"/>
          <w:sz w:val="21"/>
          <w:szCs w:val="21"/>
        </w:rPr>
        <w:t xml:space="preserve">Proprietary knowledge base mapping jurisdiction, clinical domain, and model type to recommended fairness metrics and compliance requirements across multiple regulatory frameworks.</w:t>
      </w:r>
    </w:p>
    <w:p>
      <w:pPr>
        <w:spacing w:after="160" w:line="276"/>
      </w:pPr>
      <w:r>
        <w:rPr>
          <w:rFonts w:ascii="Calibri" w:cs="Calibri" w:eastAsia="Calibri" w:hAnsi="Calibri"/>
          <w:b/>
          <w:bCs/>
          <w:color w:val="2D3748"/>
          <w:sz w:val="21"/>
          <w:szCs w:val="21"/>
        </w:rPr>
        <w:t xml:space="preserve">Runs inside client environment. </w:t>
      </w:r>
      <w:r>
        <w:rPr>
          <w:rFonts w:ascii="Calibri" w:cs="Calibri" w:eastAsia="Calibri" w:hAnsi="Calibri"/>
          <w:color w:val="2D3748"/>
          <w:sz w:val="21"/>
          <w:szCs w:val="21"/>
        </w:rPr>
        <w:t xml:space="preserve">SDK-first architecture means patient data never leaves the organization — solving the fundamental privacy barrier that blocks hospital adoption of cloud-based governance tools.</w:t>
      </w:r>
    </w:p>
    <w:p>
      <w:pPr>
        <w:spacing w:after="160" w:line="276"/>
      </w:pPr>
      <w:r>
        <w:rPr>
          <w:rFonts w:ascii="Calibri" w:cs="Calibri" w:eastAsia="Calibri" w:hAnsi="Calibri"/>
          <w:b/>
          <w:bCs/>
          <w:color w:val="2D3748"/>
          <w:sz w:val="21"/>
          <w:szCs w:val="21"/>
        </w:rPr>
        <w:t xml:space="preserve">Consulting-led product model. </w:t>
      </w:r>
      <w:r>
        <w:rPr>
          <w:rFonts w:ascii="Calibri" w:cs="Calibri" w:eastAsia="Calibri" w:hAnsi="Calibri"/>
          <w:color w:val="2D3748"/>
          <w:sz w:val="21"/>
          <w:szCs w:val="21"/>
        </w:rPr>
        <w:t xml:space="preserve">Immediate revenue through expert assessments, with every engagement hardening the product SDK for scalable licensing.</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THE PROBLEM</w:t>
      </w:r>
    </w:p>
    <w:p>
      <w:pPr>
        <w:pStyle w:val="Heading2"/>
        <w:spacing w:before="280" w:after="140"/>
      </w:pPr>
      <w:r>
        <w:rPr>
          <w:rFonts w:ascii="Calibri" w:cs="Calibri" w:eastAsia="Calibri" w:hAnsi="Calibri"/>
          <w:b/>
          <w:bCs/>
          <w:color w:val="2B7A99"/>
          <w:sz w:val="24"/>
          <w:szCs w:val="24"/>
        </w:rPr>
        <w:t xml:space="preserve">Healthcare AI Is Biased</w:t>
      </w:r>
    </w:p>
    <w:p>
      <w:pPr>
        <w:spacing w:after="160" w:line="276"/>
      </w:pPr>
      <w:r>
        <w:rPr>
          <w:rFonts w:ascii="Calibri" w:cs="Calibri" w:eastAsia="Calibri" w:hAnsi="Calibri"/>
          <w:color w:val="2D3748"/>
          <w:sz w:val="21"/>
          <w:szCs w:val="21"/>
        </w:rPr>
        <w:t xml:space="preserve">Clinical AI systems systematically produce worse outcomes for marginalized populations. The evidence is well-documented: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Case</w:t>
            </w:r>
          </w:p>
        </w:tc>
        <w:tc>
          <w:tcPr>
            <w:tcW w:type="dxa" w:w="6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Impact</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Optum/UnitedHealth (Science, 2019)</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Algorithm affecting 200M+ patients used healthcare costs as a proxy for health needs. Black patients had 26% more chronic conditions at the same risk score. Correcting the bias would increase Black patients receiving additional care from 17.7% to 46.5%.</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Dermatology AI (Science Advances, 2022)</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Model accuracy dropped from 71% to 42% on the darkest skin tones. A 2024 study found AI-assisted diagnosis actually widened accuracy disparities by 5 percentage points.</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Pulse Oximetry (NEJM, 2020)</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Undetected low oxygen in 11.7% of Black patients vs. 3.6% of White patients — a threefold disparity. FDA issued new guidance in January 2025.</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Epic Sepsis Model (JAMA, 2021)</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External validation showed AUC of 0.63 vs. claimed 0.76–0.83. Missed 67% of sepsis cases. Deployed across 54% of U.S. patients.</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Chest X-ray AI (Lancet, 2022)</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models predict patient race from X-rays — a capability humans lack. Performance on diagnosis dropped 10.7–11.6% for Black patients.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Mental Health AI (NPJ, 2025)</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LLMs proposed inferior treatments when patient race was indicated as African American, most pronounced in schizophrenia and anxiety cases.</w:t>
            </w:r>
          </w:p>
        </w:tc>
      </w:tr>
    </w:tbl>
    <w:p>
      <w:pPr>
        <w:spacing w:before="100"/>
      </w:pPr>
    </w:p>
    <w:p>
      <w:pPr>
        <w:pStyle w:val="Heading2"/>
        <w:spacing w:before="280" w:after="140"/>
      </w:pPr>
      <w:r>
        <w:rPr>
          <w:rFonts w:ascii="Calibri" w:cs="Calibri" w:eastAsia="Calibri" w:hAnsi="Calibri"/>
          <w:b/>
          <w:bCs/>
          <w:color w:val="2B7A99"/>
          <w:sz w:val="24"/>
          <w:szCs w:val="24"/>
        </w:rPr>
        <w:t xml:space="preserve">The Governance Gap</w:t>
      </w:r>
    </w:p>
    <w:p>
      <w:pPr>
        <w:spacing w:after="160" w:line="276"/>
      </w:pPr>
      <w:r>
        <w:rPr>
          <w:rFonts w:ascii="Calibri" w:cs="Calibri" w:eastAsia="Calibri" w:hAnsi="Calibri"/>
          <w:color w:val="2D3748"/>
          <w:sz w:val="21"/>
          <w:szCs w:val="21"/>
        </w:rPr>
        <w:t xml:space="preserve">Organizations know they need AI governance but lack the tools to implement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3800"/>
      </w:tblGrid>
      <w:tr>
        <w:trPr>
          <w:tblHeader/>
        </w:trPr>
        <w:tc>
          <w:tcPr>
            <w:tcW w:type="dxa" w:w="4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Metric</w:t>
            </w:r>
          </w:p>
        </w:tc>
        <w:tc>
          <w:tcPr>
            <w:tcW w:type="dxa" w:w="1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Value</w:t>
            </w:r>
          </w:p>
        </w:tc>
        <w:tc>
          <w:tcPr>
            <w:tcW w:type="dxa" w:w="3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Source</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Organizations with AI governance committees</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84%</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CHIME/Censinet, Dec 2025</w:t>
            </w:r>
          </w:p>
        </w:tc>
      </w:tr>
      <w:tr>
        <w:tc>
          <w:tcPr>
            <w:tcW w:type="dxa" w:w="4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Organizations with actual governance frameworks</w:t>
            </w:r>
          </w:p>
        </w:tc>
        <w:tc>
          <w:tcPr>
            <w:tcW w:type="dxa" w:w="1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16%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Strativera, 2025</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Hospitals with implemented and enforced AI policies</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29%</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Black Book Research, 2025</w:t>
            </w:r>
          </w:p>
        </w:tc>
      </w:tr>
      <w:tr>
        <w:tc>
          <w:tcPr>
            <w:tcW w:type="dxa" w:w="4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European countries with health-specific AI strategies</w:t>
            </w:r>
          </w:p>
        </w:tc>
        <w:tc>
          <w:tcPr>
            <w:tcW w:type="dxa" w:w="1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8% (4 of 50)</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WHO European Region, 2025</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Countries with AI liability standards for health</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8% (4 of 50)</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WHO European Region, 2025</w:t>
            </w:r>
          </w:p>
        </w:tc>
      </w:tr>
      <w:tr>
        <w:tc>
          <w:tcPr>
            <w:tcW w:type="dxa" w:w="4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Organizations citing legal uncertainty as top AI barrier</w:t>
            </w:r>
          </w:p>
        </w:tc>
        <w:tc>
          <w:tcPr>
            <w:tcW w:type="dxa" w:w="1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86%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WHO European Region, 2025</w:t>
            </w:r>
          </w:p>
        </w:tc>
      </w:tr>
      <w:tr>
        <w:tc>
          <w:tcPr>
            <w:tcW w:type="dxa" w:w="4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organizations encountering shadow AI</w:t>
            </w:r>
          </w:p>
        </w:tc>
        <w:tc>
          <w:tcPr>
            <w:tcW w:type="dxa" w:w="1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40%</w:t>
            </w:r>
          </w:p>
        </w:tc>
        <w:tc>
          <w:tcPr>
            <w:tcW w:type="dxa" w:w="3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Wolters Kluwer, 2025</w:t>
            </w:r>
          </w:p>
        </w:tc>
      </w:tr>
    </w:tbl>
    <w:p>
      <w:pPr>
        <w:spacing w:before="60"/>
      </w:pPr>
    </w:p>
    <w:p>
      <w:pPr>
        <w:pBdr>
          <w:left w:val="single" w:color="2B7A99" w:sz="5"/>
        </w:pBdr>
        <w:spacing w:before="100" w:after="200"/>
        <w:ind w:left="300" w:right="300"/>
      </w:pPr>
      <w:r>
        <w:rPr>
          <w:rFonts w:ascii="Calibri" w:cs="Calibri" w:eastAsia="Calibri" w:hAnsi="Calibri"/>
          <w:i/>
          <w:iCs/>
          <w:color w:val="2B7A99"/>
          <w:sz w:val="21"/>
          <w:szCs w:val="21"/>
        </w:rPr>
        <w:t xml:space="preserve">84% of healthcare organizations have governance committees, but only 16% have the tools to actually govern. The demand exists — the supply does not. This is ParityScope’s core market opportunity.</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OUR SOLUTION</w:t>
      </w:r>
    </w:p>
    <w:p>
      <w:pPr>
        <w:spacing w:after="160" w:line="276"/>
      </w:pPr>
      <w:r>
        <w:rPr>
          <w:rFonts w:ascii="Calibri" w:cs="Calibri" w:eastAsia="Calibri" w:hAnsi="Calibri"/>
          <w:color w:val="2D3748"/>
          <w:sz w:val="21"/>
          <w:szCs w:val="21"/>
        </w:rPr>
        <w:t xml:space="preserve">ParityScope is a </w:t>
      </w:r>
      <w:r>
        <w:rPr>
          <w:rFonts w:ascii="Calibri" w:cs="Calibri" w:eastAsia="Calibri" w:hAnsi="Calibri"/>
          <w:b/>
          <w:bCs/>
          <w:color w:val="2D3748"/>
          <w:sz w:val="21"/>
          <w:szCs w:val="21"/>
        </w:rPr>
        <w:t xml:space="preserve">statistical evaluation engine</w:t>
      </w:r>
      <w:r>
        <w:rPr>
          <w:rFonts w:ascii="Calibri" w:cs="Calibri" w:eastAsia="Calibri" w:hAnsi="Calibri"/>
          <w:color w:val="2D3748"/>
          <w:sz w:val="21"/>
          <w:szCs w:val="21"/>
        </w:rPr>
        <w:t xml:space="preserve">, not a trained AI model. It takes model predictions, demographics, and ground truth outcomes; computes fairness metrics (mathematical calculations); applies regulatory rules (knowledge base); and runs simulations (mathematical operations). This means:</w:t>
      </w:r>
    </w:p>
    <w:p>
      <w:pPr>
        <w:spacing w:after="160" w:line="276"/>
      </w:pPr>
      <w:r>
        <w:rPr>
          <w:rFonts w:ascii="Calibri" w:cs="Calibri" w:eastAsia="Calibri" w:hAnsi="Calibri"/>
          <w:b/>
          <w:bCs/>
          <w:color w:val="2D3748"/>
          <w:sz w:val="21"/>
          <w:szCs w:val="21"/>
        </w:rPr>
        <w:t xml:space="preserve">Deterministic, reproducible results </w:t>
      </w:r>
      <w:r>
        <w:rPr>
          <w:rFonts w:ascii="Calibri" w:cs="Calibri" w:eastAsia="Calibri" w:hAnsi="Calibri"/>
          <w:color w:val="2D3748"/>
          <w:sz w:val="21"/>
          <w:szCs w:val="21"/>
        </w:rPr>
        <w:t xml:space="preserve">— critical for regulatory compliance and clinical trust.</w:t>
      </w:r>
    </w:p>
    <w:p>
      <w:pPr>
        <w:spacing w:after="160" w:line="276"/>
      </w:pPr>
      <w:r>
        <w:rPr>
          <w:rFonts w:ascii="Calibri" w:cs="Calibri" w:eastAsia="Calibri" w:hAnsi="Calibri"/>
          <w:b/>
          <w:bCs/>
          <w:color w:val="2D3748"/>
          <w:sz w:val="21"/>
          <w:szCs w:val="21"/>
        </w:rPr>
        <w:t xml:space="preserve">No training data requirements </w:t>
      </w:r>
      <w:r>
        <w:rPr>
          <w:rFonts w:ascii="Calibri" w:cs="Calibri" w:eastAsia="Calibri" w:hAnsi="Calibri"/>
          <w:color w:val="2D3748"/>
          <w:sz w:val="21"/>
          <w:szCs w:val="21"/>
        </w:rPr>
        <w:t xml:space="preserve">— works immediately out of the box with no cold-start problem.</w:t>
      </w:r>
    </w:p>
    <w:p>
      <w:pPr>
        <w:spacing w:after="160" w:line="276"/>
      </w:pPr>
      <w:r>
        <w:rPr>
          <w:rFonts w:ascii="Calibri" w:cs="Calibri" w:eastAsia="Calibri" w:hAnsi="Calibri"/>
          <w:b/>
          <w:bCs/>
          <w:color w:val="2D3748"/>
          <w:sz w:val="21"/>
          <w:szCs w:val="21"/>
        </w:rPr>
        <w:t xml:space="preserve">No black box </w:t>
      </w:r>
      <w:r>
        <w:rPr>
          <w:rFonts w:ascii="Calibri" w:cs="Calibri" w:eastAsia="Calibri" w:hAnsi="Calibri"/>
          <w:color w:val="2D3748"/>
          <w:sz w:val="21"/>
          <w:szCs w:val="21"/>
        </w:rPr>
        <w:t xml:space="preserve">— every output is transparent and explainable.</w:t>
      </w:r>
    </w:p>
    <w:p>
      <w:pPr>
        <w:pStyle w:val="Heading2"/>
        <w:spacing w:before="280" w:after="140"/>
      </w:pPr>
      <w:r>
        <w:rPr>
          <w:rFonts w:ascii="Calibri" w:cs="Calibri" w:eastAsia="Calibri" w:hAnsi="Calibri"/>
          <w:b/>
          <w:bCs/>
          <w:color w:val="2B7A99"/>
          <w:sz w:val="24"/>
          <w:szCs w:val="24"/>
        </w:rPr>
        <w:t xml:space="preserve">How It Works</w:t>
      </w:r>
    </w:p>
    <w:p>
      <w:pPr>
        <w:spacing w:after="160" w:line="276"/>
      </w:pPr>
      <w:r>
        <w:rPr>
          <w:rFonts w:ascii="Calibri" w:cs="Calibri" w:eastAsia="Calibri" w:hAnsi="Calibri"/>
          <w:color w:val="2D3748"/>
          <w:sz w:val="21"/>
          <w:szCs w:val="21"/>
        </w:rPr>
        <w:t xml:space="preserve">The client’s data team installs ParityScope’s SDK inside their own infrastructure. They point it at their AI model’s outputs, patient demographics, and (when available) ground truth outcomes. ParityScope selects the appropriate fairness metrics based on the regulatory context, runs the evaluation, and generates structured compliance reports mapping to specific regulatory articles.</w:t>
      </w:r>
    </w:p>
    <w:p>
      <w:pPr>
        <w:pBdr>
          <w:left w:val="single" w:color="2B7A99" w:sz="5"/>
        </w:pBdr>
        <w:spacing w:before="100" w:after="200"/>
        <w:ind w:left="300" w:right="300"/>
      </w:pPr>
      <w:r>
        <w:rPr>
          <w:rFonts w:ascii="Calibri" w:cs="Calibri" w:eastAsia="Calibri" w:hAnsi="Calibri"/>
          <w:i/>
          <w:iCs/>
          <w:color w:val="2B7A99"/>
          <w:sz w:val="21"/>
          <w:szCs w:val="21"/>
        </w:rPr>
        <w:t xml:space="preserve">Patient data never leaves the organization. The code goes to the data, not the data to the code.</w:t>
      </w:r>
    </w:p>
    <w:p>
      <w:pPr>
        <w:pStyle w:val="Heading2"/>
        <w:spacing w:before="280" w:after="140"/>
      </w:pPr>
      <w:r>
        <w:rPr>
          <w:rFonts w:ascii="Calibri" w:cs="Calibri" w:eastAsia="Calibri" w:hAnsi="Calibri"/>
          <w:b/>
          <w:bCs/>
          <w:color w:val="2B7A99"/>
          <w:sz w:val="24"/>
          <w:szCs w:val="24"/>
        </w:rPr>
        <w:t xml:space="preserve">Data Access Tiers</w:t>
      </w:r>
    </w:p>
    <w:p>
      <w:pPr>
        <w:spacing w:after="160" w:line="276"/>
      </w:pPr>
      <w:r>
        <w:rPr>
          <w:rFonts w:ascii="Calibri" w:cs="Calibri" w:eastAsia="Calibri" w:hAnsi="Calibri"/>
          <w:color w:val="2D3748"/>
          <w:sz w:val="21"/>
          <w:szCs w:val="21"/>
        </w:rPr>
        <w:t xml:space="preserve">Different clients have different levels of data access. ParityScope adapts its capabilities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Tier</w:t>
            </w:r>
          </w:p>
        </w:tc>
        <w:tc>
          <w:tcPr>
            <w:tcW w:type="dxa" w:w="32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Client Provides</w:t>
            </w:r>
          </w:p>
        </w:tc>
        <w:tc>
          <w:tcPr>
            <w:tcW w:type="dxa" w:w="47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Available Capabilities</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Minimal</w:t>
            </w:r>
          </w:p>
        </w:tc>
        <w:tc>
          <w:tcPr>
            <w:tcW w:type="dxa" w:w="3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Model predictions + demographics</w:t>
            </w:r>
          </w:p>
        </w:tc>
        <w:tc>
          <w:tcPr>
            <w:tcW w:type="dxa" w:w="47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Disparity detection, statistical parity analysis</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Standard</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Predictions + demographics + ground truth outcomes</w:t>
            </w:r>
          </w:p>
        </w:tc>
        <w:tc>
          <w:tcPr>
            <w:tcW w:type="dxa" w:w="4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Full fairness metrics, compliance reporting, post-processing simulation</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Full</w:t>
            </w:r>
          </w:p>
        </w:tc>
        <w:tc>
          <w:tcPr>
            <w:tcW w:type="dxa" w:w="3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Predictions + demographics + outcomes + training data</w:t>
            </w:r>
          </w:p>
        </w:tc>
        <w:tc>
          <w:tcPr>
            <w:tcW w:type="dxa" w:w="47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All of above plus preprocessing/in-processing mitigation simulation, advanced intersectional analysis</w:t>
            </w:r>
          </w:p>
        </w:tc>
      </w:tr>
    </w:tbl>
    <w:p>
      <w:pPr>
        <w:spacing w:before="60"/>
      </w:pPr>
    </w:p>
    <w:p>
      <w:pPr>
        <w:spacing w:after="160" w:line="276"/>
      </w:pPr>
      <w:r>
        <w:rPr>
          <w:rFonts w:ascii="Calibri" w:cs="Calibri" w:eastAsia="Calibri" w:hAnsi="Calibri"/>
          <w:color w:val="2D3748"/>
          <w:sz w:val="21"/>
          <w:szCs w:val="21"/>
        </w:rPr>
        <w:t xml:space="preserve">Most hospitals with established AI systems can provide standard access. The SDK architecture makes full access possible without requiring data to leave the organization.</w:t>
      </w:r>
    </w:p>
    <w:p>
      <w:pPr>
        <w:pStyle w:val="Heading2"/>
        <w:spacing w:before="280" w:after="140"/>
      </w:pPr>
      <w:r>
        <w:rPr>
          <w:rFonts w:ascii="Calibri" w:cs="Calibri" w:eastAsia="Calibri" w:hAnsi="Calibri"/>
          <w:b/>
          <w:bCs/>
          <w:color w:val="2B7A99"/>
          <w:sz w:val="24"/>
          <w:szCs w:val="24"/>
        </w:rPr>
        <w:t xml:space="preserve">Regulation-Aware Metric Selection</w:t>
      </w:r>
    </w:p>
    <w:p>
      <w:pPr>
        <w:spacing w:after="160" w:line="276"/>
      </w:pPr>
      <w:r>
        <w:rPr>
          <w:rFonts w:ascii="Calibri" w:cs="Calibri" w:eastAsia="Calibri" w:hAnsi="Calibri"/>
          <w:color w:val="2D3748"/>
          <w:sz w:val="21"/>
          <w:szCs w:val="21"/>
        </w:rPr>
        <w:t xml:space="preserve">Instead of asking clients which fairness metric they want (which requires expertise most organizations lack), ParityScope asks where they are deploying and what type of model they are evaluating. It then recommends the appropriate metrics based on a proprietary knowledge base mapping jurisdiction, clinical domain, and model type to specific regulatory requirements. This turns the well-known impossibility of satisfying all fairness definitions simultaneously from a limitation into a structured decision framework.</w:t>
      </w:r>
    </w:p>
    <w:p>
      <w:pPr>
        <w:pStyle w:val="Heading2"/>
        <w:spacing w:before="280" w:after="140"/>
      </w:pPr>
      <w:r>
        <w:rPr>
          <w:rFonts w:ascii="Calibri" w:cs="Calibri" w:eastAsia="Calibri" w:hAnsi="Calibri"/>
          <w:b/>
          <w:bCs/>
          <w:color w:val="2B7A99"/>
          <w:sz w:val="24"/>
          <w:szCs w:val="24"/>
        </w:rPr>
        <w:t xml:space="preserve">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Timeline</w:t>
            </w:r>
          </w:p>
        </w:tc>
        <w:tc>
          <w:tcPr>
            <w:tcW w:type="dxa" w:w="6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Capabilities</w:t>
            </w:r>
          </w:p>
        </w:tc>
      </w:tr>
      <w:tr>
        <w:tc>
          <w:tcPr>
            <w:tcW w:type="dxa" w:w="1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Phase 1</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0–9</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Fairness audit engine, regulatory compliance report generation, post-processing mitigation simulation, multi-jurisdiction mapping (EU AI Act, Taiwan, South Korea, Section 1557)</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Phase 2</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Months 9–18</w:t>
            </w:r>
          </w:p>
        </w:tc>
        <w:tc>
          <w:tcPr>
            <w:tcW w:type="dxa" w:w="6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Continuous monitoring and fairness drift detection, alerting, API integration with ML pipelines</w:t>
            </w:r>
          </w:p>
        </w:tc>
      </w:tr>
      <w:tr>
        <w:tc>
          <w:tcPr>
            <w:tcW w:type="dxa" w:w="1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Phase 3</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18–30</w:t>
            </w:r>
          </w:p>
        </w:tc>
        <w:tc>
          <w:tcPr>
            <w:tcW w:type="dxa" w:w="6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Predictive fairness degradation forecasting, platform with role-based dashboards, compliance certification workflows</w:t>
            </w:r>
          </w:p>
        </w:tc>
      </w:tr>
    </w:tbl>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MARKET OPPORTUNITY</w:t>
      </w:r>
    </w:p>
    <w:p>
      <w:pPr>
        <w:pStyle w:val="Heading2"/>
        <w:spacing w:before="280" w:after="140"/>
      </w:pPr>
      <w:r>
        <w:rPr>
          <w:rFonts w:ascii="Calibri" w:cs="Calibri" w:eastAsia="Calibri" w:hAnsi="Calibri"/>
          <w:b/>
          <w:bCs/>
          <w:color w:val="2B7A99"/>
          <w:sz w:val="24"/>
          <w:szCs w:val="24"/>
        </w:rPr>
        <w:t xml:space="preserve">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Segment</w:t>
            </w:r>
          </w:p>
        </w:tc>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2024 Size</w:t>
            </w:r>
          </w:p>
        </w:tc>
        <w:tc>
          <w:tcPr>
            <w:tcW w:type="dxa" w:w="1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2030 Projection</w:t>
            </w:r>
          </w:p>
        </w:tc>
        <w:tc>
          <w:tcPr>
            <w:tcW w:type="dxa" w:w="31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CAGR</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Global Healthcare AI</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$15–27B</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$110–190B</w:t>
            </w:r>
          </w:p>
        </w:tc>
        <w:tc>
          <w:tcPr>
            <w:tcW w:type="dxa" w:w="31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37–39%</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European Healthcare AI</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$4.3–6.1B</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$31.7–39.3B</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37–39%</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Governance (all sectors)</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$228M–890M</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$1.4–7.4B</w:t>
            </w:r>
          </w:p>
        </w:tc>
        <w:tc>
          <w:tcPr>
            <w:tcW w:type="dxa" w:w="31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28–51%</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AI Governance (estimated)</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$20–90M</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$140–800M</w:t>
            </w:r>
          </w:p>
        </w:tc>
        <w:tc>
          <w:tcPr>
            <w:tcW w:type="dxa" w:w="3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~40%</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Compliance Software</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$3.4–3.8B</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$6–7B</w:t>
            </w:r>
          </w:p>
        </w:tc>
        <w:tc>
          <w:tcPr>
            <w:tcW w:type="dxa" w:w="31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~13%</w:t>
            </w:r>
          </w:p>
        </w:tc>
      </w:tr>
    </w:tbl>
    <w:p>
      <w:pPr>
        <w:spacing w:before="60"/>
      </w:pPr>
    </w:p>
    <w:p>
      <w:pPr>
        <w:spacing w:after="160" w:line="276"/>
      </w:pPr>
      <w:r>
        <w:rPr>
          <w:rFonts w:ascii="Calibri" w:cs="Calibri" w:eastAsia="Calibri" w:hAnsi="Calibri"/>
          <w:color w:val="2D3748"/>
          <w:sz w:val="21"/>
          <w:szCs w:val="21"/>
        </w:rPr>
        <w:t xml:space="preserve">Healthcare is consistently identified as the fastest-growing vertical within AI governance. Germany holds 28.4% of the European healthcare AI market. Health systems spend an estimated $7–9 million per year on compliance administration.</w:t>
      </w:r>
    </w:p>
    <w:p>
      <w:pPr>
        <w:pStyle w:val="Heading2"/>
        <w:spacing w:before="280" w:after="140"/>
      </w:pPr>
      <w:r>
        <w:rPr>
          <w:rFonts w:ascii="Calibri" w:cs="Calibri" w:eastAsia="Calibri" w:hAnsi="Calibri"/>
          <w:b/>
          <w:bCs/>
          <w:color w:val="2B7A99"/>
          <w:sz w:val="24"/>
          <w:szCs w:val="24"/>
        </w:rPr>
        <w:t xml:space="preserve">Why Now</w:t>
      </w:r>
    </w:p>
    <w:p>
      <w:pPr>
        <w:spacing w:after="160" w:line="276"/>
      </w:pPr>
      <w:r>
        <w:rPr>
          <w:rFonts w:ascii="Calibri" w:cs="Calibri" w:eastAsia="Calibri" w:hAnsi="Calibri"/>
          <w:b/>
          <w:bCs/>
          <w:color w:val="2D3748"/>
          <w:sz w:val="21"/>
          <w:szCs w:val="21"/>
        </w:rPr>
        <w:t xml:space="preserve">Regulatory pressure is here. </w:t>
      </w:r>
      <w:r>
        <w:rPr>
          <w:rFonts w:ascii="Calibri" w:cs="Calibri" w:eastAsia="Calibri" w:hAnsi="Calibri"/>
          <w:color w:val="2D3748"/>
          <w:sz w:val="21"/>
          <w:szCs w:val="21"/>
        </w:rPr>
        <w:t xml:space="preserve">The EU AI Act classifies healthcare AI as high-risk with penalties up to €35M or 7% of global turnover. South Korea’s AI Framework Act became active law in January 2026. Taiwan’s AI Basic Law was passed in December 2025 with implementing regulations in development.</w:t>
      </w:r>
    </w:p>
    <w:p>
      <w:pPr>
        <w:spacing w:after="160" w:line="276"/>
      </w:pPr>
      <w:r>
        <w:rPr>
          <w:rFonts w:ascii="Calibri" w:cs="Calibri" w:eastAsia="Calibri" w:hAnsi="Calibri"/>
          <w:b/>
          <w:bCs/>
          <w:color w:val="2D3748"/>
          <w:sz w:val="21"/>
          <w:szCs w:val="21"/>
        </w:rPr>
        <w:t xml:space="preserve">The evidence of harm is undeniable. </w:t>
      </w:r>
      <w:r>
        <w:rPr>
          <w:rFonts w:ascii="Calibri" w:cs="Calibri" w:eastAsia="Calibri" w:hAnsi="Calibri"/>
          <w:color w:val="2D3748"/>
          <w:sz w:val="21"/>
          <w:szCs w:val="21"/>
        </w:rPr>
        <w:t xml:space="preserve">From Optum’s 200M+ affected patients to Epic’s sepsis model deployed to 54% of U.S. hospitals despite poor validation, algorithmic bias in healthcare is a board-level concern. The AMA stated in November 2024: “Voluntary standards are not going to be enough.”</w:t>
      </w:r>
    </w:p>
    <w:p>
      <w:pPr>
        <w:spacing w:after="160" w:line="276"/>
      </w:pPr>
      <w:r>
        <w:rPr>
          <w:rFonts w:ascii="Calibri" w:cs="Calibri" w:eastAsia="Calibri" w:hAnsi="Calibri"/>
          <w:b/>
          <w:bCs/>
          <w:color w:val="2D3748"/>
          <w:sz w:val="21"/>
          <w:szCs w:val="21"/>
        </w:rPr>
        <w:t xml:space="preserve">The governance gap is massive. </w:t>
      </w:r>
      <w:r>
        <w:rPr>
          <w:rFonts w:ascii="Calibri" w:cs="Calibri" w:eastAsia="Calibri" w:hAnsi="Calibri"/>
          <w:color w:val="2D3748"/>
          <w:sz w:val="21"/>
          <w:szCs w:val="21"/>
        </w:rPr>
        <w:t xml:space="preserve">84% of organizations have governance committees but only 16% have frameworks. 92% of European stakeholders agree clear liability rules are key enablers. The demand exists; the tools do not.</w:t>
      </w:r>
    </w:p>
    <w:p>
      <w:pPr>
        <w:pStyle w:val="Heading2"/>
        <w:spacing w:before="280" w:after="140"/>
      </w:pPr>
      <w:r>
        <w:rPr>
          <w:rFonts w:ascii="Calibri" w:cs="Calibri" w:eastAsia="Calibri" w:hAnsi="Calibri"/>
          <w:b/>
          <w:bCs/>
          <w:color w:val="2B7A99"/>
          <w:sz w:val="24"/>
          <w:szCs w:val="24"/>
        </w:rPr>
        <w:t xml:space="preserve">The Compliance Market Lifecycle</w:t>
      </w:r>
    </w:p>
    <w:p>
      <w:pPr>
        <w:spacing w:after="160" w:line="276"/>
      </w:pPr>
      <w:r>
        <w:rPr>
          <w:rFonts w:ascii="Calibri" w:cs="Calibri" w:eastAsia="Calibri" w:hAnsi="Calibri"/>
          <w:color w:val="2D3748"/>
          <w:sz w:val="21"/>
          <w:szCs w:val="21"/>
        </w:rPr>
        <w:t xml:space="preserve">Every major regulatory compliance market — SOX, HIPAA, GDPR, PCI-DSS — follows the same pattern. Companies that build product during the pre-enforcement window capture disproportionate market share. OneTrust grew from $0 to $550M+ revenue by entering the GDPR market two years before enforcement. ParityScope is positioned at the same point in the EU AI Act cycle.</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REGULATORY LANDSCAPE</w:t>
      </w:r>
    </w:p>
    <w:p>
      <w:pPr>
        <w:spacing w:after="160" w:line="276"/>
      </w:pPr>
      <w:r>
        <w:rPr>
          <w:rFonts w:ascii="Calibri" w:cs="Calibri" w:eastAsia="Calibri" w:hAnsi="Calibri"/>
          <w:color w:val="2D3748"/>
          <w:sz w:val="21"/>
          <w:szCs w:val="21"/>
        </w:rPr>
        <w:t xml:space="preserve">Healthcare AI regulations are emerging worldwide and converge on three requirements: assess whether AI systems are biased, document the assessment, and monitor on an ongoing basis. ParityScope builds once and maps to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Jurisdiction</w:t>
            </w:r>
          </w:p>
        </w:tc>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Law</w:t>
            </w:r>
          </w:p>
        </w:tc>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c>
          <w:tcPr>
            <w:tcW w:type="dxa" w:w="4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Healthcare Impact</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European Union</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Act</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High-risk rules: Aug 2026–2028</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All clinical AI classified as high-risk. Penalties up to €35M / 7% global turnover. Requires bias detection (Art. 10), risk management (Art. 9), post-market monitoring (Art. 72).</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South Korea</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AI Framework Act</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Active law (Jan 22, 2026)</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Impact assessments for healthcare AI. Five-year document retention. Extraterritorial application.</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Taiwan</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Basic Law</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Passed Dec 2025; regs coming</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Seven core principles including fairness &amp; non-discrimination. Risk classification framework in development.</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Japan</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AI Promotion Act</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Effective Jun 2025</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Innovation-first, no penalties yet. ¥22B healthcare AI investment. Binding rules may follow for healthcare.</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Singapore</w:t>
            </w:r>
          </w:p>
        </w:tc>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Model AI Governance</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Voluntary</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 Verify testing toolkit. No enforcement but sets ASEAN standards.</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United States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State patchwork</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250+ state AI bills; federal rollback</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Section 1557 in effect but enforcement uncertain. HTI-5 deregulates Biden-era requirements.</w:t>
            </w:r>
          </w:p>
        </w:tc>
      </w:tr>
    </w:tbl>
    <w:p>
      <w:pPr>
        <w:spacing w:before="100"/>
      </w:pPr>
    </w:p>
    <w:p>
      <w:pPr>
        <w:pStyle w:val="Heading2"/>
        <w:spacing w:before="280" w:after="140"/>
      </w:pPr>
      <w:r>
        <w:rPr>
          <w:rFonts w:ascii="Calibri" w:cs="Calibri" w:eastAsia="Calibri" w:hAnsi="Calibri"/>
          <w:b/>
          <w:bCs/>
          <w:color w:val="2B7A99"/>
          <w:sz w:val="24"/>
          <w:szCs w:val="24"/>
        </w:rPr>
        <w:t xml:space="preserve">EU AI Act — Primary Market Driver</w:t>
      </w:r>
    </w:p>
    <w:p>
      <w:pPr>
        <w:spacing w:after="160" w:line="276"/>
      </w:pPr>
      <w:r>
        <w:rPr>
          <w:rFonts w:ascii="Calibri" w:cs="Calibri" w:eastAsia="Calibri" w:hAnsi="Calibri"/>
          <w:color w:val="2D3748"/>
          <w:sz w:val="21"/>
          <w:szCs w:val="21"/>
        </w:rPr>
        <w:t xml:space="preserve">The EU AI Act classifies healthcare AI as high-risk through two pathways: AI embedded in medical devices requiring conformity assessment (Annex I), and specific use cases including patient triage and eligibility evaluation (Annex III). Compliance requirements include continuous risk management, data governance with explicit bias detection, technical documentation, automatic logging, transparency, and human oversight.</w:t>
      </w:r>
    </w:p>
    <w:p>
      <w:pPr>
        <w:spacing w:after="160" w:line="276"/>
      </w:pPr>
      <w:r>
        <w:rPr>
          <w:rFonts w:ascii="Calibri" w:cs="Calibri" w:eastAsia="Calibri" w:hAnsi="Calibri"/>
          <w:color w:val="2D3748"/>
          <w:sz w:val="21"/>
          <w:szCs w:val="21"/>
        </w:rPr>
        <w:t xml:space="preserve">The Digital Omnibus proposal (November 2025) may delay enforcement to December 2027 for Annex III and August 2028 for Annex I. This paradoxically benefits ParityScope by extending the preparation window during which organizations actively seek readiness tools.</w:t>
      </w:r>
    </w:p>
    <w:p>
      <w:pPr>
        <w:pStyle w:val="Heading2"/>
        <w:spacing w:before="280" w:after="140"/>
      </w:pPr>
      <w:r>
        <w:rPr>
          <w:rFonts w:ascii="Calibri" w:cs="Calibri" w:eastAsia="Calibri" w:hAnsi="Calibri"/>
          <w:b/>
          <w:bCs/>
          <w:color w:val="2B7A99"/>
          <w:sz w:val="24"/>
          <w:szCs w:val="24"/>
        </w:rPr>
        <w:t xml:space="preserve">Strategic Implication</w:t>
      </w:r>
    </w:p>
    <w:p>
      <w:pPr>
        <w:spacing w:after="160" w:line="276"/>
      </w:pPr>
      <w:r>
        <w:rPr>
          <w:rFonts w:ascii="Calibri" w:cs="Calibri" w:eastAsia="Calibri" w:hAnsi="Calibri"/>
          <w:color w:val="2D3748"/>
          <w:sz w:val="21"/>
          <w:szCs w:val="21"/>
        </w:rPr>
        <w:t xml:space="preserve">Organizations operating across borders face compliance obligations in multiple jurisdictions simultaneously. A single toolkit that maps to the EU AI Act, South Korean Framework Act, Taiwan Basic Law, and Section 1557 is significantly more valuable than jurisdiction-specific solutions. ParityScope’s multi-jurisdictional approach serves MedTech companies, multinational hospital groups, and EHR vendors operating across markets.</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COMPETITIVE ANALYSIS</w:t>
      </w:r>
    </w:p>
    <w:p>
      <w:pPr>
        <w:spacing w:after="160" w:line="276"/>
      </w:pPr>
      <w:r>
        <w:rPr>
          <w:rFonts w:ascii="Calibri" w:cs="Calibri" w:eastAsia="Calibri" w:hAnsi="Calibri"/>
          <w:color w:val="2D3748"/>
          <w:sz w:val="21"/>
          <w:szCs w:val="21"/>
        </w:rPr>
        <w:t xml:space="preserve">No dedicated healthcare AI fairness compliance platform exists today. All current AI governance platforms serve multiple industries with healthcare as one vertical among many. The largest players are estimated at $5M–15M ARR each despite raising $16M–64M in venture funding, underscoring the market’s immaturity.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Competitor</w:t>
            </w:r>
          </w:p>
        </w:tc>
        <w:tc>
          <w:tcPr>
            <w:tcW w:type="dxa" w:w="1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Focus</w:t>
            </w:r>
          </w:p>
        </w:tc>
        <w:tc>
          <w:tcPr>
            <w:tcW w:type="dxa" w:w="1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Healthcare Depth</w:t>
            </w:r>
          </w:p>
        </w:tc>
        <w:tc>
          <w:tcPr>
            <w:tcW w:type="dxa" w:w="3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Key Gap</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Credo AI ($41M raised)</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Enterprise governance</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One of many verticals</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No clinical expertise or healthcare regulation mapping</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Holistic AI (~$8M rev)</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Lifecycle governance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 dedicated product</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Generalist across all industries</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Fiddler AI (~$100M raised)</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Model monitoring</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Solutions page exists</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Monitoring, not compliance; usage-based pricing</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Arthur AI ($63M raised)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Model monitoring</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Listed as vertical</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Pivoted to LLM monitoring</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Pacific AI</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governance</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 only</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Policy management, not quantitative fairness analysis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ClosedLoop.ai ($34M+ raised)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predictive analytics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only</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Predictive analytics, not governance or fairness</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Epic Seismometer</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EHR-embedded monitoring</w:t>
            </w:r>
          </w:p>
        </w:tc>
        <w:tc>
          <w:tcPr>
            <w:tcW w:type="dxa" w:w="1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Epic models only</w:t>
            </w:r>
          </w:p>
        </w:tc>
        <w:tc>
          <w:tcPr>
            <w:tcW w:type="dxa" w:w="3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Only monitors Epic models; minimal European presence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Open source (AIF360, Fairlearn)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ML fairness libraries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Not healthcare-specific</w:t>
            </w:r>
          </w:p>
        </w:tc>
        <w:tc>
          <w:tcPr>
            <w:tcW w:type="dxa" w:w="3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Found unusable for clinical settings</w:t>
            </w:r>
          </w:p>
        </w:tc>
      </w:tr>
    </w:tbl>
    <w:p>
      <w:pPr>
        <w:spacing w:before="100"/>
      </w:pPr>
    </w:p>
    <w:p>
      <w:pPr>
        <w:pStyle w:val="Heading2"/>
        <w:spacing w:before="280" w:after="140"/>
      </w:pPr>
      <w:r>
        <w:rPr>
          <w:rFonts w:ascii="Calibri" w:cs="Calibri" w:eastAsia="Calibri" w:hAnsi="Calibri"/>
          <w:b/>
          <w:bCs/>
          <w:color w:val="2B7A99"/>
          <w:sz w:val="24"/>
          <w:szCs w:val="24"/>
        </w:rPr>
        <w:t xml:space="preserve">Lessons from Equality AI</w:t>
      </w:r>
    </w:p>
    <w:p>
      <w:pPr>
        <w:spacing w:after="160" w:line="276"/>
      </w:pPr>
      <w:r>
        <w:rPr>
          <w:rFonts w:ascii="Calibri" w:cs="Calibri" w:eastAsia="Calibri" w:hAnsi="Calibri"/>
          <w:color w:val="2D3748"/>
          <w:sz w:val="21"/>
          <w:szCs w:val="21"/>
        </w:rPr>
        <w:t xml:space="preserve">Equality AI was the closest prior attempt at a healthcare AI fairness platform. It raised $3.2M, built open-source tools, and shut down in 2024. ParityScope directly addresses each failure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What Failed</w:t>
            </w:r>
          </w:p>
        </w:tc>
        <w:tc>
          <w:tcPr>
            <w:tcW w:type="dxa" w:w="468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How ParityScope Differs</w:t>
            </w:r>
          </w:p>
        </w:tc>
      </w:tr>
      <w:tr>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Insufficient funding for long healthcare sales cycles</w:t>
            </w:r>
          </w:p>
        </w:tc>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Consulting-first model generates revenue from month one</w:t>
            </w:r>
          </w:p>
        </w:tc>
      </w:tr>
      <w:tr>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U.S.-only focus in a deregulating market</w:t>
            </w:r>
          </w:p>
        </w:tc>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 AI Act provides binding compliance mandate</w:t>
            </w:r>
          </w:p>
        </w:tc>
      </w:tr>
      <w:tr>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Built product before validating willingness to pay</w:t>
            </w:r>
          </w:p>
        </w:tc>
        <w:tc>
          <w:tcPr>
            <w:tcW w:type="dxa" w:w="468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Paid assessments validate demand while building the product</w:t>
            </w:r>
          </w:p>
        </w:tc>
      </w:tr>
      <w:tr>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 solution for hospital data privacy concerns</w:t>
            </w:r>
          </w:p>
        </w:tc>
        <w:tc>
          <w:tcPr>
            <w:tcW w:type="dxa" w:w="468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SDK-first architecture; data never leaves client environment</w:t>
            </w:r>
          </w:p>
        </w:tc>
      </w:tr>
    </w:tbl>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BUSINESS MODEL</w:t>
      </w:r>
    </w:p>
    <w:p>
      <w:pPr>
        <w:spacing w:after="160" w:line="276"/>
      </w:pPr>
      <w:r>
        <w:rPr>
          <w:rFonts w:ascii="Calibri" w:cs="Calibri" w:eastAsia="Calibri" w:hAnsi="Calibri"/>
          <w:color w:val="2D3748"/>
          <w:sz w:val="21"/>
          <w:szCs w:val="21"/>
        </w:rPr>
        <w:t xml:space="preserve">ParityScope follows a consulting-led product hybrid: start with paid AI fairness assessments powered by the SDK, transition to annual per-model SDK licensing as regulatory enforcement creates urgency.</w:t>
      </w:r>
    </w:p>
    <w:p>
      <w:pPr>
        <w:pStyle w:val="Heading2"/>
        <w:spacing w:before="280" w:after="140"/>
      </w:pPr>
      <w:r>
        <w:rPr>
          <w:rFonts w:ascii="Calibri" w:cs="Calibri" w:eastAsia="Calibri" w:hAnsi="Calibri"/>
          <w:b/>
          <w:bCs/>
          <w:color w:val="2B7A99"/>
          <w:sz w:val="24"/>
          <w:szCs w:val="24"/>
        </w:rPr>
        <w:t xml:space="preserve">Three-Phase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360"/>
        <w:gridCol w:w="2000"/>
      </w:tblGrid>
      <w:tr>
        <w:trPr>
          <w:tblHeader/>
        </w:trPr>
        <w:tc>
          <w:tcPr>
            <w:tcW w:type="dxa" w:w="16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Timeline</w:t>
            </w:r>
          </w:p>
        </w:tc>
        <w:tc>
          <w:tcPr>
            <w:tcW w:type="dxa" w:w="4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Model</w:t>
            </w:r>
          </w:p>
        </w:tc>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Target</w:t>
            </w:r>
          </w:p>
        </w:tc>
      </w:tr>
      <w:tr>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Expert Assessments</w:t>
            </w:r>
          </w:p>
        </w:tc>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0–12</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Paid AI fairness assessment engagements at €25K–€75K each, using the SDK as the evaluation engine. Every engagement hardens the product.</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5–10 anchor customers</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SDK Licensing</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Months 6–18</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Tiered annual licensing: Starter (€30K–50K, up to 5 models), Professional (€75K–150K, up to 25 models), Enterprise (€200K–500K, unlimited).</w:t>
            </w:r>
          </w:p>
        </w:tc>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15–30 licensed customers</w:t>
            </w:r>
          </w:p>
        </w:tc>
      </w:tr>
      <w:tr>
        <w:tc>
          <w:tcPr>
            <w:tcW w:type="dxa" w:w="16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Governance Platform</w:t>
            </w:r>
          </w:p>
        </w:tc>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18–36</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Continuous monitoring, CI/CD integration, multi-jurisdiction reporting, compliance certification workflows.</w:t>
            </w:r>
          </w:p>
        </w:tc>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50–100 customers</w:t>
            </w:r>
          </w:p>
        </w:tc>
      </w:tr>
    </w:tbl>
    <w:p>
      <w:pPr>
        <w:spacing w:before="100"/>
      </w:pPr>
    </w:p>
    <w:p>
      <w:pPr>
        <w:pStyle w:val="Heading2"/>
        <w:spacing w:before="280" w:after="140"/>
      </w:pPr>
      <w:r>
        <w:rPr>
          <w:rFonts w:ascii="Calibri" w:cs="Calibri" w:eastAsia="Calibri" w:hAnsi="Calibri"/>
          <w:b/>
          <w:bCs/>
          <w:color w:val="2B7A99"/>
          <w:sz w:val="24"/>
          <w:szCs w:val="24"/>
        </w:rPr>
        <w:t xml:space="preserve">Why Consulting-First</w:t>
      </w:r>
    </w:p>
    <w:p>
      <w:pPr>
        <w:spacing w:after="160" w:line="276"/>
      </w:pPr>
      <w:r>
        <w:rPr>
          <w:rFonts w:ascii="Calibri" w:cs="Calibri" w:eastAsia="Calibri" w:hAnsi="Calibri"/>
          <w:color w:val="2D3748"/>
          <w:sz w:val="21"/>
          <w:szCs w:val="21"/>
        </w:rPr>
        <w:t xml:space="preserve">Every major regulatory compliance market followed this pattern: consulting dominates early, software platforms win long-term. OneTrust captured 29.7% market share in privacy management by building product during the GDPR pre-enforcement window, growing from $0 to $550M+ in revenue. Consulting engagements provide immediate cash flow, validate willingness to pay, produce case studies, and harden the SDK into a scalable product.</w:t>
      </w:r>
    </w:p>
    <w:p>
      <w:pPr>
        <w:pStyle w:val="Heading2"/>
        <w:spacing w:before="280" w:after="140"/>
      </w:pPr>
      <w:r>
        <w:rPr>
          <w:rFonts w:ascii="Calibri" w:cs="Calibri" w:eastAsia="Calibri" w:hAnsi="Calibri"/>
          <w:b/>
          <w:bCs/>
          <w:color w:val="2B7A99"/>
          <w:sz w:val="24"/>
          <w:szCs w:val="24"/>
        </w:rPr>
        <w:t xml:space="preserve">Pricing Metric</w:t>
      </w:r>
    </w:p>
    <w:p>
      <w:pPr>
        <w:spacing w:after="160" w:line="276"/>
      </w:pPr>
      <w:r>
        <w:rPr>
          <w:rFonts w:ascii="Calibri" w:cs="Calibri" w:eastAsia="Calibri" w:hAnsi="Calibri"/>
          <w:b/>
          <w:bCs/>
          <w:color w:val="2D3748"/>
          <w:sz w:val="21"/>
          <w:szCs w:val="21"/>
        </w:rPr>
        <w:t xml:space="preserve">Per AI model/system audited </w:t>
      </w:r>
      <w:r>
        <w:rPr>
          <w:rFonts w:ascii="Calibri" w:cs="Calibri" w:eastAsia="Calibri" w:hAnsi="Calibri"/>
          <w:color w:val="2D3748"/>
          <w:sz w:val="21"/>
          <w:szCs w:val="21"/>
        </w:rPr>
        <w:t xml:space="preserve">is the primary pricing metric. This aligns with how organizations think about AI governance (each high-risk system requires assessment under the EU AI Act), scales naturally with customer AI adoption, and creates predictable expansion revenue as organizations deploy more AI systems.</w:t>
      </w:r>
    </w:p>
    <w:p>
      <w:pPr>
        <w:pStyle w:val="Heading2"/>
        <w:spacing w:before="280" w:after="140"/>
      </w:pPr>
      <w:r>
        <w:rPr>
          <w:rFonts w:ascii="Calibri" w:cs="Calibri" w:eastAsia="Calibri" w:hAnsi="Calibri"/>
          <w:b/>
          <w:bCs/>
          <w:color w:val="2B7A99"/>
          <w:sz w:val="24"/>
          <w:szCs w:val="24"/>
        </w:rPr>
        <w:t xml:space="preserve">Pilot Structure</w:t>
      </w:r>
    </w:p>
    <w:p>
      <w:pPr>
        <w:spacing w:after="160" w:line="276"/>
      </w:pPr>
      <w:r>
        <w:rPr>
          <w:rFonts w:ascii="Calibri" w:cs="Calibri" w:eastAsia="Calibri" w:hAnsi="Calibri"/>
          <w:color w:val="2D3748"/>
          <w:sz w:val="21"/>
          <w:szCs w:val="21"/>
        </w:rPr>
        <w:t xml:space="preserve">90-day paid pilots at 10–20% of annual contract value, with clear success metrics defined upfront and 100% of pilot fees credited toward the full contract. Properly structured paid pilots convert at 40–60% versus free trials at less than 10% for enterprise software.</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GO-TO-MARKET STRATEGY</w:t>
      </w:r>
    </w:p>
    <w:p>
      <w:pPr>
        <w:pStyle w:val="Heading2"/>
        <w:spacing w:before="280" w:after="140"/>
      </w:pPr>
      <w:r>
        <w:rPr>
          <w:rFonts w:ascii="Calibri" w:cs="Calibri" w:eastAsia="Calibri" w:hAnsi="Calibri"/>
          <w:b/>
          <w:bCs/>
          <w:color w:val="2B7A99"/>
          <w:sz w:val="24"/>
          <w:szCs w:val="24"/>
        </w:rPr>
        <w:t xml:space="preserve">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Segment</w:t>
            </w:r>
          </w:p>
        </w:tc>
        <w:tc>
          <w:tcPr>
            <w:tcW w:type="dxa" w:w="4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Why They Need ParityScope</w:t>
            </w:r>
          </w:p>
        </w:tc>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Entry Point</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Academic Medical Centers</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Innovation budgets, clinical champions, publication partnerships. Credibility and case studies unlock larger health systems.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Chief Health AI Officer or CMIO</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European Health Systems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EU AI Act compliance obligations. NHS trusts, German university hospitals, Nordic health systems deploying clinical AI.</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AI Governance Committee</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MedTech Companies</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AI-enabled devices require conformity assessment under EU AI Act. Clear deadlines and existing compliance budgets.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VP Regulatory Affairs</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EHR Vendors &amp; Health AI Startups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Build clinical AI deployed across many hospitals. One integration serves their entire customer base.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ML Engineering Lead</w:t>
            </w:r>
          </w:p>
        </w:tc>
      </w:tr>
      <w:tr>
        <w:tc>
          <w:tcPr>
            <w:tcW w:type="dxa" w:w="22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Government Health Agencies</w:t>
            </w:r>
          </w:p>
        </w:tc>
        <w:tc>
          <w:tcPr>
            <w:tcW w:type="dxa" w:w="4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National AI governance frameworks. Highest contract values. On-premise deployment mandatory.</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Digital Health Directorate</w:t>
            </w:r>
          </w:p>
        </w:tc>
      </w:tr>
    </w:tbl>
    <w:p>
      <w:pPr>
        <w:spacing w:before="100"/>
      </w:pPr>
    </w:p>
    <w:p>
      <w:pPr>
        <w:pStyle w:val="Heading2"/>
        <w:spacing w:before="280" w:after="140"/>
      </w:pPr>
      <w:r>
        <w:rPr>
          <w:rFonts w:ascii="Calibri" w:cs="Calibri" w:eastAsia="Calibri" w:hAnsi="Calibri"/>
          <w:b/>
          <w:bCs/>
          <w:color w:val="2B7A99"/>
          <w:sz w:val="24"/>
          <w:szCs w:val="24"/>
        </w:rPr>
        <w:t xml:space="preserve">Beachhead Markets</w:t>
      </w:r>
    </w:p>
    <w:p>
      <w:pPr>
        <w:spacing w:after="160" w:line="276"/>
      </w:pPr>
      <w:r>
        <w:rPr>
          <w:rFonts w:ascii="Calibri" w:cs="Calibri" w:eastAsia="Calibri" w:hAnsi="Calibri"/>
          <w:b/>
          <w:bCs/>
          <w:color w:val="2D3748"/>
          <w:sz w:val="21"/>
          <w:szCs w:val="21"/>
        </w:rPr>
        <w:t xml:space="preserve">Germany: </w:t>
      </w:r>
      <w:r>
        <w:rPr>
          <w:rFonts w:ascii="Calibri" w:cs="Calibri" w:eastAsia="Calibri" w:hAnsi="Calibri"/>
          <w:color w:val="2D3748"/>
          <w:sz w:val="21"/>
          <w:szCs w:val="21"/>
        </w:rPr>
        <w:t xml:space="preserve">28.4% of the European healthcare AI market, strong regulatory culture, dense MedTech ecosystem (Siemens Healthineers, Fresenius, hundreds of mid-market firms), and 1,900 hospitals. Expansion path: Germany → DACH → Nordics → UK → Southern Europe.</w:t>
      </w:r>
    </w:p>
    <w:p>
      <w:pPr>
        <w:spacing w:after="160" w:line="276"/>
      </w:pPr>
      <w:r>
        <w:rPr>
          <w:rFonts w:ascii="Calibri" w:cs="Calibri" w:eastAsia="Calibri" w:hAnsi="Calibri"/>
          <w:b/>
          <w:bCs/>
          <w:color w:val="2D3748"/>
          <w:sz w:val="21"/>
          <w:szCs w:val="21"/>
        </w:rPr>
        <w:t xml:space="preserve">Taiwan: </w:t>
      </w:r>
      <w:r>
        <w:rPr>
          <w:rFonts w:ascii="Calibri" w:cs="Calibri" w:eastAsia="Calibri" w:hAnsi="Calibri"/>
          <w:color w:val="2D3748"/>
          <w:sz w:val="21"/>
          <w:szCs w:val="21"/>
        </w:rPr>
        <w:t xml:space="preserve">AI Basic Law creating new compliance demand, strong public healthcare system, and the founding team’s research network and market familiarity.</w:t>
      </w:r>
    </w:p>
    <w:p>
      <w:pPr>
        <w:pStyle w:val="Heading2"/>
        <w:spacing w:before="280" w:after="140"/>
      </w:pPr>
      <w:r>
        <w:rPr>
          <w:rFonts w:ascii="Calibri" w:cs="Calibri" w:eastAsia="Calibri" w:hAnsi="Calibri"/>
          <w:b/>
          <w:bCs/>
          <w:color w:val="2B7A99"/>
          <w:sz w:val="24"/>
          <w:szCs w:val="24"/>
        </w:rPr>
        <w:t xml:space="preserve">Buyer Persona</w:t>
      </w:r>
    </w:p>
    <w:p>
      <w:pPr>
        <w:spacing w:after="160" w:line="276"/>
      </w:pPr>
      <w:r>
        <w:rPr>
          <w:rFonts w:ascii="Calibri" w:cs="Calibri" w:eastAsia="Calibri" w:hAnsi="Calibri"/>
          <w:color w:val="2D3748"/>
          <w:sz w:val="21"/>
          <w:szCs w:val="21"/>
        </w:rPr>
        <w:t xml:space="preserve">The emerging Chief Health AI Officer (CHAIO) role consolidates AI governance authority previously fragmented across IT, compliance, quality, and legal. 48+ hospitals have appointed CHAIOs, including Cleveland Clinic, Mayo Clinic, UCSF Health, and Cedars-Sinai. Where no CHAIO exists, the buying committee typically involves the CMIO, Chief Compliance Officer, and CIO/CISO. Healthcare procurement averages 9 decision-makers and 12–18 month sales cycles for European public health systems.</w:t>
      </w:r>
    </w:p>
    <w:p>
      <w:pPr>
        <w:pStyle w:val="Heading2"/>
        <w:spacing w:before="280" w:after="140"/>
      </w:pPr>
      <w:r>
        <w:rPr>
          <w:rFonts w:ascii="Calibri" w:cs="Calibri" w:eastAsia="Calibri" w:hAnsi="Calibri"/>
          <w:b/>
          <w:bCs/>
          <w:color w:val="2B7A99"/>
          <w:sz w:val="24"/>
          <w:szCs w:val="24"/>
        </w:rPr>
        <w:t xml:space="preserve">Sales Motion</w:t>
      </w:r>
    </w:p>
    <w:p>
      <w:pPr>
        <w:spacing w:after="160" w:line="276"/>
      </w:pPr>
      <w:r>
        <w:rPr>
          <w:rFonts w:ascii="Calibri" w:cs="Calibri" w:eastAsia="Calibri" w:hAnsi="Calibri"/>
          <w:b/>
          <w:bCs/>
          <w:color w:val="2D3748"/>
          <w:sz w:val="21"/>
          <w:szCs w:val="21"/>
        </w:rPr>
        <w:t xml:space="preserve">Months 0–6: </w:t>
      </w:r>
      <w:r>
        <w:rPr>
          <w:rFonts w:ascii="Calibri" w:cs="Calibri" w:eastAsia="Calibri" w:hAnsi="Calibri"/>
          <w:color w:val="2D3748"/>
          <w:sz w:val="21"/>
          <w:szCs w:val="21"/>
        </w:rPr>
        <w:t xml:space="preserve">Founder-led sales through academic and conference networks (HIMSS Europe, AMIA, DMEA). Secure 3–5 paid assessment engagements.</w:t>
      </w:r>
    </w:p>
    <w:p>
      <w:pPr>
        <w:spacing w:after="160" w:line="276"/>
      </w:pPr>
      <w:r>
        <w:rPr>
          <w:rFonts w:ascii="Calibri" w:cs="Calibri" w:eastAsia="Calibri" w:hAnsi="Calibri"/>
          <w:b/>
          <w:bCs/>
          <w:color w:val="2D3748"/>
          <w:sz w:val="21"/>
          <w:szCs w:val="21"/>
        </w:rPr>
        <w:t xml:space="preserve">Months 6–12: </w:t>
      </w:r>
      <w:r>
        <w:rPr>
          <w:rFonts w:ascii="Calibri" w:cs="Calibri" w:eastAsia="Calibri" w:hAnsi="Calibri"/>
          <w:color w:val="2D3748"/>
          <w:sz w:val="21"/>
          <w:szCs w:val="21"/>
        </w:rPr>
        <w:t xml:space="preserve">Reference-driven. Use case studies and compliance reports from initial customers to sell into same regulatory jurisdiction.</w:t>
      </w:r>
    </w:p>
    <w:p>
      <w:pPr>
        <w:spacing w:after="160" w:line="276"/>
      </w:pPr>
      <w:r>
        <w:rPr>
          <w:rFonts w:ascii="Calibri" w:cs="Calibri" w:eastAsia="Calibri" w:hAnsi="Calibri"/>
          <w:b/>
          <w:bCs/>
          <w:color w:val="2D3748"/>
          <w:sz w:val="21"/>
          <w:szCs w:val="21"/>
        </w:rPr>
        <w:t xml:space="preserve">Months 12–24: </w:t>
      </w:r>
      <w:r>
        <w:rPr>
          <w:rFonts w:ascii="Calibri" w:cs="Calibri" w:eastAsia="Calibri" w:hAnsi="Calibri"/>
          <w:color w:val="2D3748"/>
          <w:sz w:val="21"/>
          <w:szCs w:val="21"/>
        </w:rPr>
        <w:t xml:space="preserve">Partner-enabled. Channel partnerships with healthcare consulting firms, cloud marketplaces (AWS/Azure), and innovation networks.</w:t>
      </w:r>
    </w:p>
    <w:p>
      <w:pPr>
        <w:pStyle w:val="Heading2"/>
        <w:spacing w:before="280" w:after="140"/>
      </w:pPr>
      <w:r>
        <w:rPr>
          <w:rFonts w:ascii="Calibri" w:cs="Calibri" w:eastAsia="Calibri" w:hAnsi="Calibri"/>
          <w:b/>
          <w:bCs/>
          <w:color w:val="2B7A99"/>
          <w:sz w:val="24"/>
          <w:szCs w:val="24"/>
        </w:rPr>
        <w:t xml:space="preserve">Security Certifications</w:t>
      </w:r>
    </w:p>
    <w:p>
      <w:pPr>
        <w:spacing w:after="160" w:line="276"/>
      </w:pPr>
      <w:r>
        <w:rPr>
          <w:rFonts w:ascii="Calibri" w:cs="Calibri" w:eastAsia="Calibri" w:hAnsi="Calibri"/>
          <w:b/>
          <w:bCs/>
          <w:color w:val="2D3748"/>
          <w:sz w:val="21"/>
          <w:szCs w:val="21"/>
        </w:rPr>
        <w:t xml:space="preserve">Year 1: SOC 2 Type II </w:t>
      </w:r>
      <w:r>
        <w:rPr>
          <w:rFonts w:ascii="Calibri" w:cs="Calibri" w:eastAsia="Calibri" w:hAnsi="Calibri"/>
          <w:color w:val="2D3748"/>
          <w:sz w:val="21"/>
          <w:szCs w:val="21"/>
        </w:rPr>
        <w:t xml:space="preserve">($30K–$60K). Minimum viable certification for healthcare vendor procurement.</w:t>
      </w:r>
    </w:p>
    <w:p>
      <w:pPr>
        <w:spacing w:after="160" w:line="276"/>
      </w:pPr>
      <w:r>
        <w:rPr>
          <w:rFonts w:ascii="Calibri" w:cs="Calibri" w:eastAsia="Calibri" w:hAnsi="Calibri"/>
          <w:b/>
          <w:bCs/>
          <w:color w:val="2D3748"/>
          <w:sz w:val="21"/>
          <w:szCs w:val="21"/>
        </w:rPr>
        <w:t xml:space="preserve">Year 2: HITRUST </w:t>
      </w:r>
      <w:r>
        <w:rPr>
          <w:rFonts w:ascii="Calibri" w:cs="Calibri" w:eastAsia="Calibri" w:hAnsi="Calibri"/>
          <w:color w:val="2D3748"/>
          <w:sz w:val="21"/>
          <w:szCs w:val="21"/>
        </w:rPr>
        <w:t xml:space="preserve">($50K–$200K). Gold standard for healthcare vendors. Required for most large health system procurement.</w:t>
      </w:r>
    </w:p>
    <w:p>
      <w:pPr>
        <w:spacing w:after="160" w:line="276"/>
      </w:pPr>
      <w:r>
        <w:rPr>
          <w:rFonts w:ascii="Calibri" w:cs="Calibri" w:eastAsia="Calibri" w:hAnsi="Calibri"/>
          <w:b/>
          <w:bCs/>
          <w:color w:val="2D3748"/>
          <w:sz w:val="21"/>
          <w:szCs w:val="21"/>
        </w:rPr>
        <w:t xml:space="preserve">Year 2–3: ISO/IEC 42001 </w:t>
      </w:r>
      <w:r>
        <w:rPr>
          <w:rFonts w:ascii="Calibri" w:cs="Calibri" w:eastAsia="Calibri" w:hAnsi="Calibri"/>
          <w:color w:val="2D3748"/>
          <w:sz w:val="21"/>
          <w:szCs w:val="21"/>
        </w:rPr>
        <w:t xml:space="preserve">(AI management system standard). Demonstrates ParityScope practices what it sells.</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DEPLOYMENT ARCHITECTURE</w:t>
      </w:r>
    </w:p>
    <w:p>
      <w:pPr>
        <w:pBdr>
          <w:left w:val="single" w:color="2B7A99" w:sz="5"/>
        </w:pBdr>
        <w:spacing w:before="100" w:after="200"/>
        <w:ind w:left="300" w:right="300"/>
      </w:pPr>
      <w:r>
        <w:rPr>
          <w:rFonts w:ascii="Calibri" w:cs="Calibri" w:eastAsia="Calibri" w:hAnsi="Calibri"/>
          <w:i/>
          <w:iCs/>
          <w:color w:val="2B7A99"/>
          <w:sz w:val="21"/>
          <w:szCs w:val="21"/>
        </w:rPr>
        <w:t xml:space="preserve">Medical organizations and government agencies will not allow patient data to leave their environment. ParityScope’s SDK-first architecture solves this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2800"/>
      </w:tblGrid>
      <w:tr>
        <w:trPr>
          <w:tblHeader/>
        </w:trPr>
        <w:tc>
          <w:tcPr>
            <w:tcW w:type="dxa" w:w="1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Tier</w:t>
            </w:r>
          </w:p>
        </w:tc>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Description</w:t>
            </w:r>
          </w:p>
        </w:tc>
        <w:tc>
          <w:tcPr>
            <w:tcW w:type="dxa" w:w="2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Target Client</w:t>
            </w:r>
          </w:p>
        </w:tc>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Data Flow</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Cloud SaaS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Client uploads de-identified prediction outputs + demographics via web interface</w:t>
            </w:r>
          </w:p>
        </w:tc>
        <w:tc>
          <w:tcPr>
            <w:tcW w:type="dxa" w:w="2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MedTech startups, research institutions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De-identified data only</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On-Premise SDK</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ParityScope runs entirely inside client infrastructure</w:t>
            </w:r>
          </w:p>
        </w:tc>
        <w:tc>
          <w:tcPr>
            <w:tcW w:type="dxa" w:w="2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Hospitals, government agencies, large health systems</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No data leaves client environment</w:t>
            </w:r>
          </w:p>
        </w:tc>
      </w:tr>
      <w:tr>
        <w:tc>
          <w:tcPr>
            <w:tcW w:type="dxa" w:w="1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Privacy-Preserving</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Differential privacy, secure computation, synthetic data</w:t>
            </w:r>
          </w:p>
        </w:tc>
        <w:tc>
          <w:tcPr>
            <w:tcW w:type="dxa" w:w="2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Cross-institutional studies, most sensitive use cases</w:t>
            </w:r>
          </w:p>
        </w:tc>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Mathematical guarantees; no raw data exposure</w:t>
            </w:r>
          </w:p>
        </w:tc>
      </w:tr>
    </w:tbl>
    <w:p>
      <w:pPr>
        <w:spacing w:before="100"/>
      </w:pPr>
    </w:p>
    <w:p>
      <w:pPr>
        <w:pStyle w:val="Heading2"/>
        <w:spacing w:before="280" w:after="140"/>
      </w:pPr>
      <w:r>
        <w:rPr>
          <w:rFonts w:ascii="Calibri" w:cs="Calibri" w:eastAsia="Calibri" w:hAnsi="Calibri"/>
          <w:b/>
          <w:bCs/>
          <w:color w:val="2B7A99"/>
          <w:sz w:val="24"/>
          <w:szCs w:val="24"/>
        </w:rPr>
        <w:t xml:space="preserve">Why SDK-First</w:t>
      </w:r>
    </w:p>
    <w:p>
      <w:pPr>
        <w:spacing w:after="160" w:line="276"/>
      </w:pPr>
      <w:r>
        <w:rPr>
          <w:rFonts w:ascii="Calibri" w:cs="Calibri" w:eastAsia="Calibri" w:hAnsi="Calibri"/>
          <w:b/>
          <w:bCs/>
          <w:color w:val="2D3748"/>
          <w:sz w:val="21"/>
          <w:szCs w:val="21"/>
        </w:rPr>
        <w:t xml:space="preserve">Privacy: </w:t>
      </w:r>
      <w:r>
        <w:rPr>
          <w:rFonts w:ascii="Calibri" w:cs="Calibri" w:eastAsia="Calibri" w:hAnsi="Calibri"/>
          <w:color w:val="2D3748"/>
          <w:sz w:val="21"/>
          <w:szCs w:val="21"/>
        </w:rPr>
        <w:t xml:space="preserve">GDPR and national data protection laws restrict cross-border health data transfer. Germany is particularly strict — hospitals often cannot move data between their own campuses. A local SDK eliminates this entire class of objections.</w:t>
      </w:r>
    </w:p>
    <w:p>
      <w:pPr>
        <w:spacing w:after="160" w:line="276"/>
      </w:pPr>
      <w:r>
        <w:rPr>
          <w:rFonts w:ascii="Calibri" w:cs="Calibri" w:eastAsia="Calibri" w:hAnsi="Calibri"/>
          <w:b/>
          <w:bCs/>
          <w:color w:val="2D3748"/>
          <w:sz w:val="21"/>
          <w:szCs w:val="21"/>
        </w:rPr>
        <w:t xml:space="preserve">Data access: </w:t>
      </w:r>
      <w:r>
        <w:rPr>
          <w:rFonts w:ascii="Calibri" w:cs="Calibri" w:eastAsia="Calibri" w:hAnsi="Calibri"/>
          <w:color w:val="2D3748"/>
          <w:sz w:val="21"/>
          <w:szCs w:val="21"/>
        </w:rPr>
        <w:t xml:space="preserve">Cloud SaaS limits capabilities to post-processing methods (clients upload only predictions). On-premise SDK can access full training data, enabling the complete range of mitigation methods.</w:t>
      </w:r>
    </w:p>
    <w:p>
      <w:pPr>
        <w:spacing w:after="160" w:line="276"/>
      </w:pPr>
      <w:r>
        <w:rPr>
          <w:rFonts w:ascii="Calibri" w:cs="Calibri" w:eastAsia="Calibri" w:hAnsi="Calibri"/>
          <w:b/>
          <w:bCs/>
          <w:color w:val="2D3748"/>
          <w:sz w:val="21"/>
          <w:szCs w:val="21"/>
        </w:rPr>
        <w:t xml:space="preserve">Speed: </w:t>
      </w:r>
      <w:r>
        <w:rPr>
          <w:rFonts w:ascii="Calibri" w:cs="Calibri" w:eastAsia="Calibri" w:hAnsi="Calibri"/>
          <w:color w:val="2D3748"/>
          <w:sz w:val="21"/>
          <w:szCs w:val="21"/>
        </w:rPr>
        <w:t xml:space="preserve">Building an SDK is faster than building a cloud platform with authentication, multi-tenancy, and security infrastructure.</w:t>
      </w:r>
    </w:p>
    <w:p>
      <w:pPr>
        <w:spacing w:after="160" w:line="276"/>
      </w:pPr>
      <w:r>
        <w:rPr>
          <w:rFonts w:ascii="Calibri" w:cs="Calibri" w:eastAsia="Calibri" w:hAnsi="Calibri"/>
          <w:b/>
          <w:bCs/>
          <w:color w:val="2D3748"/>
          <w:sz w:val="21"/>
          <w:szCs w:val="21"/>
        </w:rPr>
        <w:t xml:space="preserve">Competitive advantage: </w:t>
      </w:r>
      <w:r>
        <w:rPr>
          <w:rFonts w:ascii="Calibri" w:cs="Calibri" w:eastAsia="Calibri" w:hAnsi="Calibri"/>
          <w:color w:val="2D3748"/>
          <w:sz w:val="21"/>
          <w:szCs w:val="21"/>
        </w:rPr>
        <w:t xml:space="preserve">Most AI governance platforms are cloud-first and struggle with on-premise healthcare deployments. SDK-first is a genuine differentiator.</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TEAM</w:t>
      </w:r>
    </w:p>
    <w:p>
      <w:pPr>
        <w:spacing w:after="160" w:line="276"/>
      </w:pPr>
      <w:r>
        <w:rPr>
          <w:rFonts w:ascii="Calibri" w:cs="Calibri" w:eastAsia="Calibri" w:hAnsi="Calibri"/>
          <w:color w:val="2D3748"/>
          <w:sz w:val="21"/>
          <w:szCs w:val="21"/>
        </w:rPr>
        <w:t xml:space="preserve">ParityScope is founded by a team with deep expertise in algorithmic fairness for healthcare, combining ML research depth with healthcare domain knowledge and European population health data experience.</w:t>
      </w:r>
    </w:p>
    <w:p>
      <w:pPr>
        <w:pStyle w:val="Heading2"/>
        <w:spacing w:before="280" w:after="140"/>
      </w:pPr>
      <w:r>
        <w:rPr>
          <w:rFonts w:ascii="Calibri" w:cs="Calibri" w:eastAsia="Calibri" w:hAnsi="Calibri"/>
          <w:b/>
          <w:bCs/>
          <w:color w:val="2B7A99"/>
          <w:sz w:val="24"/>
          <w:szCs w:val="24"/>
        </w:rPr>
        <w:t xml:space="preserve">Founding Strengths</w:t>
      </w:r>
    </w:p>
    <w:p>
      <w:pPr>
        <w:spacing w:after="160" w:line="276"/>
      </w:pPr>
      <w:r>
        <w:rPr>
          <w:rFonts w:ascii="Calibri" w:cs="Calibri" w:eastAsia="Calibri" w:hAnsi="Calibri"/>
          <w:b/>
          <w:bCs/>
          <w:color w:val="2D3748"/>
          <w:sz w:val="21"/>
          <w:szCs w:val="21"/>
        </w:rPr>
        <w:t xml:space="preserve">Algorithmic fairness expertise: </w:t>
      </w:r>
      <w:r>
        <w:rPr>
          <w:rFonts w:ascii="Calibri" w:cs="Calibri" w:eastAsia="Calibri" w:hAnsi="Calibri"/>
          <w:color w:val="2D3748"/>
          <w:sz w:val="21"/>
          <w:szCs w:val="21"/>
        </w:rPr>
        <w:t xml:space="preserve">Deep technical knowledge of fairness metrics, bias mitigation methods, and their trade-offs in healthcare contexts — including which approaches work in practice and which consistently fail.</w:t>
      </w:r>
    </w:p>
    <w:p>
      <w:pPr>
        <w:spacing w:after="160" w:line="276"/>
      </w:pPr>
      <w:r>
        <w:rPr>
          <w:rFonts w:ascii="Calibri" w:cs="Calibri" w:eastAsia="Calibri" w:hAnsi="Calibri"/>
          <w:b/>
          <w:bCs/>
          <w:color w:val="2D3748"/>
          <w:sz w:val="21"/>
          <w:szCs w:val="21"/>
        </w:rPr>
        <w:t xml:space="preserve">European healthcare data: </w:t>
      </w:r>
      <w:r>
        <w:rPr>
          <w:rFonts w:ascii="Calibri" w:cs="Calibri" w:eastAsia="Calibri" w:hAnsi="Calibri"/>
          <w:color w:val="2D3748"/>
          <w:sz w:val="21"/>
          <w:szCs w:val="21"/>
        </w:rPr>
        <w:t xml:space="preserve">Direct experience with European population health data, providing cross-national fairness analysis directly applicable to ParityScope’s EU market focus.</w:t>
      </w:r>
    </w:p>
    <w:p>
      <w:pPr>
        <w:spacing w:after="160" w:line="276"/>
      </w:pPr>
      <w:r>
        <w:rPr>
          <w:rFonts w:ascii="Calibri" w:cs="Calibri" w:eastAsia="Calibri" w:hAnsi="Calibri"/>
          <w:b/>
          <w:bCs/>
          <w:color w:val="2D3748"/>
          <w:sz w:val="21"/>
          <w:szCs w:val="21"/>
        </w:rPr>
        <w:t xml:space="preserve">Socioeconomic fairness: </w:t>
      </w:r>
      <w:r>
        <w:rPr>
          <w:rFonts w:ascii="Calibri" w:cs="Calibri" w:eastAsia="Calibri" w:hAnsi="Calibri"/>
          <w:color w:val="2D3748"/>
          <w:sz w:val="21"/>
          <w:szCs w:val="21"/>
        </w:rPr>
        <w:t xml:space="preserve">Expertise in income-based algorithmic fairness — a critical but underserved dimension for universal healthcare systems where socioeconomic status drives outcome disparities.</w:t>
      </w:r>
    </w:p>
    <w:p>
      <w:pPr>
        <w:pStyle w:val="Heading2"/>
        <w:spacing w:before="280" w:after="140"/>
      </w:pPr>
      <w:r>
        <w:rPr>
          <w:rFonts w:ascii="Calibri" w:cs="Calibri" w:eastAsia="Calibri" w:hAnsi="Calibri"/>
          <w:b/>
          <w:bCs/>
          <w:color w:val="2B7A99"/>
          <w:sz w:val="24"/>
          <w:szCs w:val="24"/>
        </w:rPr>
        <w:t xml:space="preserve">Growth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1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Team</w:t>
            </w:r>
          </w:p>
        </w:tc>
        <w:tc>
          <w:tcPr>
            <w:tcW w:type="dxa" w:w="63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Key Hires</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0–12</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2–3</w:t>
            </w:r>
          </w:p>
        </w:tc>
        <w:tc>
          <w:tcPr>
            <w:tcW w:type="dxa" w:w="6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Full-stack engineer, regulatory/business development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Months 12–24</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5–8</w:t>
            </w:r>
          </w:p>
        </w:tc>
        <w:tc>
          <w:tcPr>
            <w:tcW w:type="dxa" w:w="6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ML engineer, frontend developer, sales lead, compliance specialist</w:t>
            </w:r>
          </w:p>
        </w:tc>
      </w:tr>
      <w:tr>
        <w:tc>
          <w:tcPr>
            <w:tcW w:type="dxa" w:w="2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Months 24–36</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12–20</w:t>
            </w:r>
          </w:p>
        </w:tc>
        <w:tc>
          <w:tcPr>
            <w:tcW w:type="dxa" w:w="63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Engineering team, customer success, marketing, additional sales</w:t>
            </w:r>
          </w:p>
        </w:tc>
      </w:tr>
    </w:tbl>
    <w:p>
      <w:pPr>
        <w:spacing w:before="100"/>
      </w:pPr>
    </w:p>
    <w:p>
      <w:pPr>
        <w:pStyle w:val="Heading2"/>
        <w:spacing w:before="280" w:after="140"/>
      </w:pPr>
      <w:r>
        <w:rPr>
          <w:rFonts w:ascii="Calibri" w:cs="Calibri" w:eastAsia="Calibri" w:hAnsi="Calibri"/>
          <w:b/>
          <w:bCs/>
          <w:color w:val="2B7A99"/>
          <w:sz w:val="24"/>
          <w:szCs w:val="24"/>
        </w:rPr>
        <w:t xml:space="preserve">Why This Team</w:t>
      </w:r>
    </w:p>
    <w:p>
      <w:pPr>
        <w:spacing w:after="160" w:line="276"/>
      </w:pPr>
      <w:r>
        <w:rPr>
          <w:rFonts w:ascii="Calibri" w:cs="Calibri" w:eastAsia="Calibri" w:hAnsi="Calibri"/>
          <w:color w:val="2D3748"/>
          <w:sz w:val="21"/>
          <w:szCs w:val="21"/>
        </w:rPr>
        <w:t xml:space="preserve">AI governance is a space where competitors are built either by governance consultants who lack ML depth, or by ML engineers who lack healthcare domain expertise. ParityScope’s founding team combines rigorous algorithmic fairness knowledge with deep understanding of healthcare data — the exact intersection required to build a credible, healthcare-specific compliance toolkit.</w:t>
      </w:r>
    </w:p>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Risk</w:t>
            </w:r>
          </w:p>
        </w:tc>
        <w:tc>
          <w:tcPr>
            <w:tcW w:type="dxa" w:w="10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Severity</w:t>
            </w:r>
          </w:p>
        </w:tc>
        <w:tc>
          <w:tcPr>
            <w:tcW w:type="dxa" w:w="55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Mitigation</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EU AI Act enforcement delayed further</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High</w:t>
            </w:r>
          </w:p>
        </w:tc>
        <w:tc>
          <w:tcPr>
            <w:tcW w:type="dxa" w:w="5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Revenue model not dependent on enforcement deadline. Pre-enforcement preparation demand persists regardless (OneTrust precedent).</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Long healthcare sales cycles exhaust runway</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High</w:t>
            </w:r>
          </w:p>
        </w:tc>
        <w:tc>
          <w:tcPr>
            <w:tcW w:type="dxa" w:w="5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Consulting revenue from month one. Non-dilutive EU grants extend runway. Target 24–36 months runway.</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Large platforms add fairness capabilities</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Medium</w:t>
            </w:r>
          </w:p>
        </w:tc>
        <w:tc>
          <w:tcPr>
            <w:tcW w:type="dxa" w:w="5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Healthcare-specific regulation mapping is the moat. Azure Responsible AI and SageMaker Clarify exist but lack healthcare context. Veeva survived Salesforce for the same reason.</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Epic/EHR vendors build sufficient governance</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Medium</w:t>
            </w:r>
          </w:p>
        </w:tc>
        <w:tc>
          <w:tcPr>
            <w:tcW w:type="dxa" w:w="5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Epic Seismometer monitors only Epic-deployed models. ParityScope is model-agnostic, regulation-aware, and has stronger European positioning.</w:t>
            </w:r>
          </w:p>
        </w:tc>
      </w:tr>
      <w:tr>
        <w:tc>
          <w:tcPr>
            <w:tcW w:type="dxa" w:w="28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Difficult to demonstrate ROI</w:t>
            </w:r>
          </w:p>
        </w:tc>
        <w:tc>
          <w:tcPr>
            <w:tcW w:type="dxa" w:w="10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Medium</w:t>
            </w:r>
          </w:p>
        </w:tc>
        <w:tc>
          <w:tcPr>
            <w:tcW w:type="dxa" w:w="55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Quantify: cost of non-compliance (€35M), cost of manual governance (2–3 FTE at €200K+), reputational risk from publicized bias incidents.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Data privacy blocks cloud deployment</w:t>
            </w:r>
          </w:p>
        </w:tc>
        <w:tc>
          <w:tcPr>
            <w:tcW w:type="dxa" w:w="1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Low</w:t>
            </w:r>
          </w:p>
        </w:tc>
        <w:tc>
          <w:tcPr>
            <w:tcW w:type="dxa" w:w="5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SDK-first architecture solves this from day one. This is a competitive advantage, not a risk.</w:t>
            </w:r>
          </w:p>
        </w:tc>
      </w:tr>
    </w:tbl>
    <w:p>
      <w:r>
        <w:br w:type="page"/>
      </w:r>
    </w:p>
    <w:p>
      <w:pPr>
        <w:pStyle w:val="Heading1"/>
        <w:pBdr>
          <w:bottom w:val="single" w:color="2B7A99" w:sz="3"/>
        </w:pBdr>
        <w:spacing w:before="420" w:after="200"/>
      </w:pPr>
      <w:r>
        <w:rPr>
          <w:rFonts w:ascii="Calibri" w:cs="Calibri" w:eastAsia="Calibri" w:hAnsi="Calibri"/>
          <w:b/>
          <w:bCs/>
          <w:color w:val="1A2E44"/>
          <w:spacing w:val="60"/>
          <w:sz w:val="28"/>
          <w:szCs w:val="28"/>
        </w:rPr>
        <w:t xml:space="preserve">VISION &amp; IMPACT</w:t>
      </w:r>
    </w:p>
    <w:p>
      <w:pPr>
        <w:spacing w:after="160" w:line="276"/>
      </w:pPr>
      <w:r>
        <w:rPr>
          <w:rFonts w:ascii="Calibri" w:cs="Calibri" w:eastAsia="Calibri" w:hAnsi="Calibri"/>
          <w:color w:val="2D3748"/>
          <w:sz w:val="21"/>
          <w:szCs w:val="21"/>
        </w:rPr>
        <w:t xml:space="preserve">We are building toward a healthcare system where every AI-assisted clinical decision is held to the same standard of fairness — regardless of which vendor built the model, which hospital deployed it, or which country the patient lives in.</w:t>
      </w:r>
    </w:p>
    <w:p>
      <w:pPr>
        <w:spacing w:after="160" w:line="276"/>
      </w:pPr>
      <w:r>
        <w:rPr>
          <w:rFonts w:ascii="Calibri" w:cs="Calibri" w:eastAsia="Calibri" w:hAnsi="Calibri"/>
          <w:color w:val="2D3748"/>
          <w:sz w:val="21"/>
          <w:szCs w:val="21"/>
        </w:rPr>
        <w:t xml:space="preserve">We want fairness auditing to become as routine in healthcare AI as safety testing is for pharmaceuticals.</w:t>
      </w:r>
    </w:p>
    <w:p>
      <w:pPr>
        <w:pStyle w:val="Heading2"/>
        <w:spacing w:before="280" w:after="140"/>
      </w:pPr>
      <w:r>
        <w:rPr>
          <w:rFonts w:ascii="Calibri" w:cs="Calibri" w:eastAsia="Calibri" w:hAnsi="Calibri"/>
          <w:b/>
          <w:bCs/>
          <w:color w:val="2B7A99"/>
          <w:sz w:val="24"/>
          <w:szCs w:val="24"/>
        </w:rPr>
        <w:t xml:space="preserve">UN Sustainable Development Goals</w:t>
      </w:r>
    </w:p>
    <w:p>
      <w:pPr>
        <w:spacing w:after="160" w:line="276"/>
      </w:pPr>
      <w:r>
        <w:rPr>
          <w:rFonts w:ascii="Calibri" w:cs="Calibri" w:eastAsia="Calibri" w:hAnsi="Calibri"/>
          <w:color w:val="2D3748"/>
          <w:sz w:val="21"/>
          <w:szCs w:val="21"/>
        </w:rPr>
        <w:t xml:space="preserve">ParityScope aligns with three SDGs, providing impact credibility and eligibility for European grants (Horizon Europe, EIC Accelerator, EU4Health) and ESG-oriented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SDG</w:t>
            </w:r>
          </w:p>
        </w:tc>
        <w:tc>
          <w:tcPr>
            <w:tcW w:type="dxa" w:w="6960"/>
            <w:tcBorders>
              <w:top w:val="single" w:color="CBD5E0" w:sz="1"/>
              <w:left w:val="single" w:color="CBD5E0" w:sz="1"/>
              <w:bottom w:val="single" w:color="CBD5E0" w:sz="1"/>
              <w:right w:val="single" w:color="CBD5E0" w:sz="1"/>
            </w:tcBorders>
            <w:shd w:fill="1A2E44" w:val="clear"/>
            <w:tcMar>
              <w:top w:type="dxa" w:w="70"/>
              <w:left w:type="dxa" w:w="110"/>
              <w:bottom w:type="dxa" w:w="70"/>
              <w:right w:type="dxa" w:w="110"/>
            </w:tcMar>
          </w:tcPr>
          <w:p>
            <w:r>
              <w:rPr>
                <w:rFonts w:ascii="Calibri" w:cs="Calibri" w:eastAsia="Calibri" w:hAnsi="Calibri"/>
                <w:b/>
                <w:bCs/>
                <w:color w:val="FFFFFF"/>
                <w:sz w:val="19"/>
                <w:szCs w:val="19"/>
              </w:rPr>
              <w:t xml:space="preserve">Alignment</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SDG 3 — Good Health &amp; Well-being</w:t>
            </w:r>
          </w:p>
        </w:tc>
        <w:tc>
          <w:tcPr>
            <w:tcW w:type="dxa" w:w="69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Algorithmic bias directly undermines equitable access to care. The Optum case affected 200M+ patients; dermatology AI accuracy dropped 29 percentage points on dark skin. ParityScope’s auditing addresses quantifiable harm.</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SDG 10 — Reduced Inequalities</w:t>
            </w:r>
          </w:p>
        </w:tc>
        <w:tc>
          <w:tcPr>
            <w:tcW w:type="dxa" w:w="69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tcPr>
          <w:p>
            <w:r>
              <w:rPr>
                <w:rFonts w:ascii="Calibri" w:cs="Calibri" w:eastAsia="Calibri" w:hAnsi="Calibri"/>
                <w:color w:val="2D3748"/>
                <w:sz w:val="19"/>
                <w:szCs w:val="19"/>
              </w:rPr>
              <w:t xml:space="preserve">Healthcare AI bias is systemic discrimination. ParityScope’s focus on socioeconomic fairness is particularly relevant for universal healthcare systems in Europe and Asia.</w:t>
            </w:r>
          </w:p>
        </w:tc>
      </w:tr>
      <w:tr>
        <w:tc>
          <w:tcPr>
            <w:tcW w:type="dxa" w:w="240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SDG 16 — Peace, Justice &amp; Strong Institutions</w:t>
            </w:r>
          </w:p>
        </w:tc>
        <w:tc>
          <w:tcPr>
            <w:tcW w:type="dxa" w:w="6960"/>
            <w:tcBorders>
              <w:top w:val="single" w:color="CBD5E0" w:sz="1"/>
              <w:left w:val="single" w:color="CBD5E0" w:sz="1"/>
              <w:bottom w:val="single" w:color="CBD5E0" w:sz="1"/>
              <w:right w:val="single" w:color="CBD5E0" w:sz="1"/>
            </w:tcBorders>
            <w:shd w:fill="F7FAFC" w:val="clear"/>
            <w:tcMar>
              <w:top w:type="dxa" w:w="70"/>
              <w:left w:type="dxa" w:w="110"/>
              <w:bottom w:type="dxa" w:w="70"/>
              <w:right w:type="dxa" w:w="110"/>
            </w:tcMar>
          </w:tcPr>
          <w:p>
            <w:r>
              <w:rPr>
                <w:rFonts w:ascii="Calibri" w:cs="Calibri" w:eastAsia="Calibri" w:hAnsi="Calibri"/>
                <w:color w:val="2D3748"/>
                <w:sz w:val="19"/>
                <w:szCs w:val="19"/>
              </w:rPr>
              <w:t xml:space="preserve">Only 4 of 50 European countries have AI liability standards for health. ParityScope provides the accountability infrastructure institutions currently lack.</w:t>
            </w:r>
          </w:p>
        </w:tc>
      </w:tr>
    </w:tbl>
    <w:p>
      <w:pPr>
        <w:spacing w:before="100"/>
      </w:pPr>
    </w:p>
    <w:p>
      <w:pPr>
        <w:pStyle w:val="Heading2"/>
        <w:spacing w:before="280" w:after="140"/>
      </w:pPr>
      <w:r>
        <w:rPr>
          <w:rFonts w:ascii="Calibri" w:cs="Calibri" w:eastAsia="Calibri" w:hAnsi="Calibri"/>
          <w:b/>
          <w:bCs/>
          <w:color w:val="2B7A99"/>
          <w:sz w:val="24"/>
          <w:szCs w:val="24"/>
        </w:rPr>
        <w:t xml:space="preserve">The Opportunity</w:t>
      </w:r>
    </w:p>
    <w:p>
      <w:pPr>
        <w:spacing w:after="160" w:line="276"/>
      </w:pPr>
      <w:r>
        <w:rPr>
          <w:rFonts w:ascii="Calibri" w:cs="Calibri" w:eastAsia="Calibri" w:hAnsi="Calibri"/>
          <w:color w:val="2D3748"/>
          <w:sz w:val="21"/>
          <w:szCs w:val="21"/>
        </w:rPr>
        <w:t xml:space="preserve">Three forces are converging: the regulatory framework is being built globally, the evidence of harm is undeniable, and the governance gap between committee formation and actual tool adoption remains vast. ParityScope is positioned to become the standard toolkit that hospitals, regulators, and MedTech companies reach for when they need to ensure their AI systems treat all patients fairly.</w:t>
      </w:r>
    </w:p>
    <w:p>
      <w:pPr>
        <w:spacing w:before="600"/>
      </w:pPr>
    </w:p>
    <w:p>
      <w:pPr>
        <w:jc w:val="center"/>
      </w:pPr>
      <w:r>
        <w:rPr>
          <w:rFonts w:ascii="Calibri" w:cs="Calibri" w:eastAsia="Calibri" w:hAnsi="Calibri"/>
          <w:b/>
          <w:bCs/>
          <w:color w:val="1A2E44"/>
          <w:sz w:val="30"/>
          <w:szCs w:val="30"/>
        </w:rPr>
        <w:t xml:space="preserve">ParityScope</w:t>
      </w:r>
    </w:p>
    <w:p>
      <w:pPr>
        <w:spacing w:after="80"/>
        <w:jc w:val="center"/>
      </w:pPr>
      <w:r>
        <w:rPr>
          <w:rFonts w:ascii="Calibri" w:cs="Calibri" w:eastAsia="Calibri" w:hAnsi="Calibri"/>
          <w:i/>
          <w:iCs/>
          <w:color w:val="2B7A99"/>
          <w:sz w:val="22"/>
          <w:szCs w:val="22"/>
        </w:rPr>
        <w:t xml:space="preserve">Audit. Monitor. Improve.</w:t>
      </w:r>
    </w:p>
    <w:p>
      <w:pPr>
        <w:jc w:val="center"/>
      </w:pPr>
      <w:r>
        <w:rPr>
          <w:rFonts w:ascii="Calibri" w:cs="Calibri" w:eastAsia="Calibri" w:hAnsi="Calibri"/>
          <w:color w:val="4A5568"/>
          <w:sz w:val="21"/>
          <w:szCs w:val="21"/>
        </w:rPr>
        <w:t xml:space="preserve">Making healthcare AI fair for every patient.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0AEC0"/>
        <w:sz w:val="15"/>
        <w:szCs w:val="15"/>
      </w:rPr>
      <w:t xml:space="preserve">Confidential   •   Page </w:t>
    </w:r>
    <w:r>
      <w:rPr>
        <w:rFonts w:ascii="Calibri" w:cs="Calibri" w:eastAsia="Calibri" w:hAnsi="Calibri"/>
        <w:color w:val="A0AEC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A0AEC0"/>
        <w:sz w:val="15"/>
        <w:szCs w:val="15"/>
      </w:rPr>
      <w:t xml:space="preserve">ParityScope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200"/>
      <w:outlineLvl w:val="0"/>
    </w:pPr>
    <w:rPr>
      <w:rFonts w:ascii="Calibri" w:cs="Calibri" w:eastAsia="Calibri" w:hAnsi="Calibri"/>
      <w:b/>
      <w:bCs/>
      <w:color w:val="1A2E44"/>
      <w:sz w:val="28"/>
      <w:szCs w:val="28"/>
    </w:rPr>
  </w:style>
  <w:style w:type="paragraph" w:styleId="Heading2">
    <w:name w:val="Heading 2"/>
    <w:basedOn w:val="Normal"/>
    <w:next w:val="Normal"/>
    <w:qFormat/>
    <w:pPr>
      <w:spacing w:before="280" w:after="140"/>
      <w:outlineLvl w:val="1"/>
    </w:pPr>
    <w:rPr>
      <w:rFonts w:ascii="Calibri" w:cs="Calibri" w:eastAsia="Calibri" w:hAnsi="Calibri"/>
      <w:b/>
      <w:bCs/>
      <w:color w:val="2B7A99"/>
      <w:sz w:val="24"/>
      <w:szCs w:val="24"/>
    </w:rPr>
  </w:style>
  <w:style w:type="paragraph" w:styleId="Heading3">
    <w:name w:val="Heading 3"/>
    <w:basedOn w:val="Normal"/>
    <w:next w:val="Normal"/>
    <w:qFormat/>
    <w:pPr>
      <w:spacing w:before="200" w:after="100"/>
      <w:outlineLvl w:val="2"/>
    </w:pPr>
    <w:rPr>
      <w:rFonts w:ascii="Calibri" w:cs="Calibri" w:eastAsia="Calibri" w:hAnsi="Calibri"/>
      <w:b/>
      <w:bCs/>
      <w:color w:val="1A2E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2026-02-12T18:42:01.695Z</dcterms:created>
  <dcterms:modified xsi:type="dcterms:W3CDTF">2026-02-12T18:42:01.696Z</dcterms:modified>
</cp:coreProperties>
</file>

<file path=docProps/custom.xml><?xml version="1.0" encoding="utf-8"?>
<Properties xmlns="http://schemas.openxmlformats.org/officeDocument/2006/custom-properties" xmlns:vt="http://schemas.openxmlformats.org/officeDocument/2006/docPropsVTypes"/>
</file>