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E055D" w14:textId="77777777" w:rsidR="00E8359B" w:rsidRPr="00E8359B" w:rsidRDefault="00E8359B" w:rsidP="00E8359B">
      <w:pPr>
        <w:rPr>
          <w:b/>
          <w:bCs/>
        </w:rPr>
      </w:pPr>
      <w:r w:rsidRPr="00E8359B">
        <w:rPr>
          <w:b/>
          <w:bCs/>
        </w:rPr>
        <w:t>Executive Summary: Microsoft Strategic Financial Review (2022–2024)</w:t>
      </w:r>
    </w:p>
    <w:p w14:paraId="5D20BC31" w14:textId="77777777" w:rsidR="00E8359B" w:rsidRPr="00E8359B" w:rsidRDefault="00E8359B" w:rsidP="00E8359B">
      <w:pPr>
        <w:rPr>
          <w:b/>
          <w:bCs/>
        </w:rPr>
      </w:pPr>
      <w:r w:rsidRPr="00E8359B">
        <w:rPr>
          <w:b/>
          <w:bCs/>
        </w:rPr>
        <w:t>Strategic Performance Overview</w:t>
      </w:r>
    </w:p>
    <w:p w14:paraId="7F2F6383" w14:textId="06BA0D90" w:rsidR="00E8359B" w:rsidRPr="00E8359B" w:rsidRDefault="00E8359B" w:rsidP="00E8359B">
      <w:r w:rsidRPr="00E8359B">
        <w:t xml:space="preserve">Microsoft demonstrated significant financial resilience and a successful strategic pivot toward service-oriented revenue. While product revenue experienced a decline of 11% in 2023 and remained stagnant in 2024, the company achieved a </w:t>
      </w:r>
      <w:r w:rsidRPr="00E8359B">
        <w:rPr>
          <w:b/>
          <w:bCs/>
        </w:rPr>
        <w:t>16% increase in total revenue</w:t>
      </w:r>
      <w:r w:rsidRPr="00E8359B">
        <w:t xml:space="preserve"> in 2024. This was driven by a </w:t>
      </w:r>
      <w:r w:rsidRPr="00E8359B">
        <w:rPr>
          <w:b/>
          <w:bCs/>
        </w:rPr>
        <w:t>23% growth in Service and Other revenue</w:t>
      </w:r>
      <w:r w:rsidRPr="00E8359B">
        <w:t>, reflecting high demand for cloud-based subscriptions.</w:t>
      </w:r>
    </w:p>
    <w:p w14:paraId="58099B90" w14:textId="77777777" w:rsidR="00E8359B" w:rsidRPr="00E8359B" w:rsidRDefault="00E8359B" w:rsidP="00E8359B">
      <w:pPr>
        <w:rPr>
          <w:b/>
          <w:bCs/>
        </w:rPr>
      </w:pPr>
      <w:r w:rsidRPr="00E8359B">
        <w:rPr>
          <w:b/>
          <w:bCs/>
        </w:rPr>
        <w:t>Key Financial Health Indicators</w:t>
      </w:r>
    </w:p>
    <w:p w14:paraId="71CDB136" w14:textId="2B76C775" w:rsidR="00E8359B" w:rsidRPr="00E8359B" w:rsidRDefault="00E8359B" w:rsidP="00E8359B">
      <w:pPr>
        <w:numPr>
          <w:ilvl w:val="0"/>
          <w:numId w:val="1"/>
        </w:numPr>
      </w:pPr>
      <w:r w:rsidRPr="00E8359B">
        <w:rPr>
          <w:b/>
          <w:bCs/>
        </w:rPr>
        <w:t>Profitability:</w:t>
      </w:r>
      <w:r w:rsidRPr="00E8359B">
        <w:t xml:space="preserve"> Net income surged by 22% in 2024, showcasing effective management of operating expenses.</w:t>
      </w:r>
    </w:p>
    <w:p w14:paraId="58C2DA28" w14:textId="02B9FC2F" w:rsidR="00E8359B" w:rsidRPr="00E8359B" w:rsidRDefault="00E8359B" w:rsidP="00E8359B">
      <w:pPr>
        <w:numPr>
          <w:ilvl w:val="0"/>
          <w:numId w:val="1"/>
        </w:numPr>
      </w:pPr>
      <w:r w:rsidRPr="00E8359B">
        <w:rPr>
          <w:b/>
          <w:bCs/>
        </w:rPr>
        <w:t>Liquidity:</w:t>
      </w:r>
      <w:r w:rsidRPr="00E8359B">
        <w:t xml:space="preserve"> Maintained a healthy Current Ratio of 1.27 in 2024, ensuring strong short-term solvency compared to industry peers like Apple.</w:t>
      </w:r>
    </w:p>
    <w:p w14:paraId="6EA7F38B" w14:textId="5C23F4CF" w:rsidR="00E8359B" w:rsidRPr="00E8359B" w:rsidRDefault="00E8359B" w:rsidP="00E8359B">
      <w:pPr>
        <w:numPr>
          <w:ilvl w:val="0"/>
          <w:numId w:val="1"/>
        </w:numPr>
      </w:pPr>
      <w:r w:rsidRPr="00E8359B">
        <w:rPr>
          <w:b/>
          <w:bCs/>
        </w:rPr>
        <w:t>Solvency:</w:t>
      </w:r>
      <w:r w:rsidRPr="00E8359B">
        <w:t xml:space="preserve"> Improved the Debt-to-Equity ratio to 0.91, indicating a lower reliance on debt and enhanced financial leverage.</w:t>
      </w:r>
    </w:p>
    <w:p w14:paraId="3C37134F" w14:textId="77777777" w:rsidR="00E8359B" w:rsidRDefault="00E8359B" w:rsidP="00E8359B">
      <w:pPr>
        <w:numPr>
          <w:ilvl w:val="0"/>
          <w:numId w:val="1"/>
        </w:numPr>
      </w:pPr>
      <w:r w:rsidRPr="00E8359B">
        <w:rPr>
          <w:b/>
          <w:bCs/>
        </w:rPr>
        <w:t>Operational Efficiency:</w:t>
      </w:r>
      <w:r w:rsidRPr="00E8359B">
        <w:t xml:space="preserve"> Successfully reduced product-related production costs in 2024, signaling improved operational efficiency.</w:t>
      </w:r>
    </w:p>
    <w:p w14:paraId="6EB5CE70" w14:textId="77777777" w:rsidR="00E8359B" w:rsidRPr="00E8359B" w:rsidRDefault="00E8359B" w:rsidP="00E8359B">
      <w:pPr>
        <w:ind w:left="720"/>
      </w:pPr>
    </w:p>
    <w:p w14:paraId="27EC8243" w14:textId="77777777" w:rsidR="00E8359B" w:rsidRPr="00E8359B" w:rsidRDefault="00E8359B" w:rsidP="00E8359B">
      <w:pPr>
        <w:rPr>
          <w:b/>
          <w:bCs/>
        </w:rPr>
      </w:pPr>
      <w:r w:rsidRPr="00E8359B">
        <w:rPr>
          <w:b/>
          <w:bCs/>
        </w:rPr>
        <w:t>Risk &amp; Compliance Insights</w:t>
      </w:r>
    </w:p>
    <w:p w14:paraId="374DFF89" w14:textId="77777777" w:rsidR="00E8359B" w:rsidRPr="00E8359B" w:rsidRDefault="00E8359B" w:rsidP="00E8359B">
      <w:pPr>
        <w:numPr>
          <w:ilvl w:val="0"/>
          <w:numId w:val="2"/>
        </w:numPr>
      </w:pPr>
      <w:r w:rsidRPr="00E8359B">
        <w:rPr>
          <w:b/>
          <w:bCs/>
        </w:rPr>
        <w:t>Currency Impact:</w:t>
      </w:r>
      <w:r w:rsidRPr="00E8359B">
        <w:t xml:space="preserve"> Foreign exchange fluctuations significantly affect balance sheet assets and equity, though the impact on net income remains largely immaterial.</w:t>
      </w:r>
    </w:p>
    <w:p w14:paraId="2A4507B6" w14:textId="17F0F101" w:rsidR="00E8359B" w:rsidRDefault="00E8359B" w:rsidP="00E8359B">
      <w:pPr>
        <w:numPr>
          <w:ilvl w:val="0"/>
          <w:numId w:val="2"/>
        </w:numPr>
      </w:pPr>
      <w:r w:rsidRPr="00E8359B">
        <w:rPr>
          <w:b/>
          <w:bCs/>
        </w:rPr>
        <w:t>Regulatory Framework:</w:t>
      </w:r>
      <w:r w:rsidRPr="00E8359B">
        <w:t xml:space="preserve"> The analysis identifies critical reporting differences between U.S. GAAP and </w:t>
      </w:r>
      <w:r w:rsidRPr="00E8359B">
        <w:rPr>
          <w:b/>
          <w:bCs/>
        </w:rPr>
        <w:t>IFRS</w:t>
      </w:r>
      <w:r w:rsidRPr="00E8359B">
        <w:t>, particularly regarding revenue recognition for multi-element contracts and lease capitalization.</w:t>
      </w:r>
    </w:p>
    <w:p w14:paraId="5652DED1" w14:textId="77777777" w:rsidR="00E8359B" w:rsidRPr="00E8359B" w:rsidRDefault="00E8359B" w:rsidP="00E8359B">
      <w:pPr>
        <w:ind w:left="720"/>
      </w:pPr>
    </w:p>
    <w:p w14:paraId="35459F91" w14:textId="77777777" w:rsidR="00E8359B" w:rsidRPr="00E8359B" w:rsidRDefault="00E8359B" w:rsidP="00E8359B">
      <w:pPr>
        <w:rPr>
          <w:b/>
          <w:bCs/>
        </w:rPr>
      </w:pPr>
      <w:r w:rsidRPr="00E8359B">
        <w:rPr>
          <w:b/>
          <w:bCs/>
        </w:rPr>
        <w:t>Technical Methodology</w:t>
      </w:r>
    </w:p>
    <w:p w14:paraId="4B075E55" w14:textId="0EACB512" w:rsidR="00E8359B" w:rsidRPr="00E8359B" w:rsidRDefault="00E8359B" w:rsidP="00E8359B">
      <w:r w:rsidRPr="00E8359B">
        <w:t>This analysis was conducted using Excel for horizontal</w:t>
      </w:r>
      <w:r w:rsidRPr="00E263CD">
        <w:t xml:space="preserve"> and vertical modeling, as well as ratio analysis</w:t>
      </w:r>
      <w:r w:rsidRPr="00E8359B">
        <w:t>, supplemented by Microsoft Copilot for data synthesis.</w:t>
      </w:r>
    </w:p>
    <w:p w14:paraId="74BAC8DA" w14:textId="77777777" w:rsidR="00387ABD" w:rsidRDefault="00387ABD"/>
    <w:sectPr w:rsidR="00387A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73E1B"/>
    <w:multiLevelType w:val="multilevel"/>
    <w:tmpl w:val="9EF8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F5033"/>
    <w:multiLevelType w:val="multilevel"/>
    <w:tmpl w:val="E5D0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425465">
    <w:abstractNumId w:val="0"/>
  </w:num>
  <w:num w:numId="2" w16cid:durableId="1909684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59B"/>
    <w:rsid w:val="00003B7A"/>
    <w:rsid w:val="00387ABD"/>
    <w:rsid w:val="006416A7"/>
    <w:rsid w:val="00894538"/>
    <w:rsid w:val="008B720F"/>
    <w:rsid w:val="00B41E7D"/>
    <w:rsid w:val="00E263CD"/>
    <w:rsid w:val="00E8359B"/>
    <w:rsid w:val="00F94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2CB1F"/>
  <w15:chartTrackingRefBased/>
  <w15:docId w15:val="{C1F4C299-19C7-45A4-BA0B-F58B1E41E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5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5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5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5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5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Chukwuemeka Obiekwe Vincent</dc:creator>
  <cp:keywords/>
  <dc:description/>
  <cp:lastModifiedBy>Chukwuemeka Obiekwe Vincent</cp:lastModifiedBy>
  <cp:revision>2</cp:revision>
  <dcterms:created xsi:type="dcterms:W3CDTF">2025-12-30T19:09:00Z</dcterms:created>
  <dcterms:modified xsi:type="dcterms:W3CDTF">2025-12-30T19:15:00Z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94a8888e-4d5a-4858-a15c-f41e79abce9c</vt:lpwstr>
  </property>
</Properties>
</file>