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09B1DE" w14:textId="77777777" w:rsidR="00D77E5F" w:rsidRPr="004809B4" w:rsidRDefault="00D77E5F" w:rsidP="00D77E5F">
      <w:pPr>
        <w:pStyle w:val="Heading2"/>
        <w:spacing w:line="360" w:lineRule="auto"/>
        <w:rPr>
          <w:rFonts w:ascii="Arial" w:eastAsia="Calibri" w:hAnsi="Arial" w:cs="Arial"/>
          <w:b/>
          <w:bCs/>
          <w:color w:val="000000" w:themeColor="text1"/>
          <w:sz w:val="22"/>
          <w:szCs w:val="22"/>
          <w:lang w:val="en-US"/>
        </w:rPr>
      </w:pPr>
      <w:r w:rsidRPr="004809B4">
        <w:rPr>
          <w:rFonts w:ascii="Arial" w:eastAsia="Calibri" w:hAnsi="Arial" w:cs="Arial"/>
          <w:b/>
          <w:bCs/>
          <w:color w:val="000000" w:themeColor="text1"/>
          <w:sz w:val="22"/>
          <w:szCs w:val="22"/>
          <w:lang w:val="en-US"/>
        </w:rPr>
        <w:t>Comparison of Model Performance</w:t>
      </w:r>
    </w:p>
    <w:p w14:paraId="18F95D54" w14:textId="77777777" w:rsidR="00D77E5F" w:rsidRPr="00EB70BB" w:rsidRDefault="00D77E5F" w:rsidP="00D77E5F">
      <w:pPr>
        <w:pBdr>
          <w:top w:val="nil"/>
          <w:left w:val="nil"/>
          <w:bottom w:val="nil"/>
          <w:right w:val="nil"/>
          <w:between w:val="nil"/>
        </w:pBdr>
        <w:spacing w:after="0" w:line="360" w:lineRule="auto"/>
        <w:jc w:val="both"/>
        <w:rPr>
          <w:rFonts w:ascii="Arial" w:eastAsia="Calibri" w:hAnsi="Arial" w:cs="Arial"/>
          <w:color w:val="000000"/>
          <w:sz w:val="22"/>
          <w:lang w:val="en-US"/>
        </w:rPr>
      </w:pPr>
      <w:r w:rsidRPr="00EB70BB">
        <w:rPr>
          <w:rFonts w:ascii="Arial" w:eastAsia="Calibri" w:hAnsi="Arial" w:cs="Arial"/>
          <w:color w:val="000000"/>
          <w:sz w:val="22"/>
          <w:lang w:val="en-US"/>
        </w:rPr>
        <w:t>The Model Comparison node was used to evaluate and compare the predictive performance of the three models using validation statistics, including the Misclassification Rate, ROC Index (AUC), Gini Coefficient, Average Squared Error (ASE), AND Lift measures. This comparison facilitated the identification of the best performing model for predicting healthcare claims. Furthermore, it provided insights into the factors influencing healthcare claim processing outcomes and medical scheme payment behavior, supporting the selection of the most suitable predictive model for the study.</w:t>
      </w:r>
    </w:p>
    <w:p w14:paraId="59233A42" w14:textId="32555A02" w:rsidR="00D77E5F" w:rsidRPr="00D77E5F" w:rsidRDefault="00D77E5F" w:rsidP="00D77E5F">
      <w:pPr>
        <w:spacing w:after="0" w:line="360" w:lineRule="auto"/>
        <w:jc w:val="both"/>
        <w:rPr>
          <w:rFonts w:ascii="Arial" w:eastAsia="Calibri" w:hAnsi="Arial" w:cs="Arial"/>
          <w:sz w:val="22"/>
          <w:lang w:val="en-US"/>
        </w:rPr>
      </w:pPr>
    </w:p>
    <w:tbl>
      <w:tblPr>
        <w:tblStyle w:val="1"/>
        <w:tblW w:w="97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55"/>
        <w:gridCol w:w="2430"/>
        <w:gridCol w:w="1530"/>
        <w:gridCol w:w="1935"/>
        <w:gridCol w:w="2565"/>
      </w:tblGrid>
      <w:tr w:rsidR="00D77E5F" w:rsidRPr="00EB70BB" w14:paraId="6C0F604D" w14:textId="77777777" w:rsidTr="00443F03">
        <w:trPr>
          <w:trHeight w:val="306"/>
        </w:trPr>
        <w:tc>
          <w:tcPr>
            <w:tcW w:w="1255" w:type="dxa"/>
          </w:tcPr>
          <w:p w14:paraId="377EE732" w14:textId="77777777" w:rsidR="00D77E5F" w:rsidRPr="00EB70BB" w:rsidRDefault="00D77E5F" w:rsidP="00443F03">
            <w:pPr>
              <w:spacing w:after="0" w:line="360" w:lineRule="auto"/>
              <w:jc w:val="both"/>
              <w:rPr>
                <w:rFonts w:ascii="Arial" w:eastAsia="Calibri" w:hAnsi="Arial" w:cs="Arial"/>
                <w:sz w:val="22"/>
                <w:szCs w:val="22"/>
              </w:rPr>
            </w:pPr>
            <w:r w:rsidRPr="00EB70BB">
              <w:rPr>
                <w:rFonts w:ascii="Arial" w:eastAsia="Calibri" w:hAnsi="Arial" w:cs="Arial"/>
                <w:sz w:val="22"/>
                <w:szCs w:val="22"/>
              </w:rPr>
              <w:t>Dataset</w:t>
            </w:r>
          </w:p>
        </w:tc>
        <w:tc>
          <w:tcPr>
            <w:tcW w:w="2430" w:type="dxa"/>
          </w:tcPr>
          <w:p w14:paraId="1A782E40" w14:textId="77777777" w:rsidR="00D77E5F" w:rsidRPr="00EB70BB" w:rsidRDefault="00D77E5F" w:rsidP="00443F03">
            <w:pPr>
              <w:spacing w:after="0" w:line="360" w:lineRule="auto"/>
              <w:jc w:val="both"/>
              <w:rPr>
                <w:rFonts w:ascii="Arial" w:eastAsia="Calibri" w:hAnsi="Arial" w:cs="Arial"/>
                <w:sz w:val="22"/>
                <w:szCs w:val="22"/>
              </w:rPr>
            </w:pPr>
            <w:proofErr w:type="spellStart"/>
            <w:r w:rsidRPr="00EB70BB">
              <w:rPr>
                <w:rFonts w:ascii="Arial" w:eastAsia="Calibri" w:hAnsi="Arial" w:cs="Arial"/>
                <w:sz w:val="22"/>
                <w:szCs w:val="22"/>
              </w:rPr>
              <w:t>Metric</w:t>
            </w:r>
            <w:proofErr w:type="spellEnd"/>
          </w:p>
        </w:tc>
        <w:tc>
          <w:tcPr>
            <w:tcW w:w="1530" w:type="dxa"/>
          </w:tcPr>
          <w:p w14:paraId="0F9312DD" w14:textId="77777777" w:rsidR="00D77E5F" w:rsidRPr="00EB70BB" w:rsidRDefault="00D77E5F" w:rsidP="00443F03">
            <w:pPr>
              <w:spacing w:after="0" w:line="360" w:lineRule="auto"/>
              <w:jc w:val="both"/>
              <w:rPr>
                <w:rFonts w:ascii="Arial" w:eastAsia="Calibri" w:hAnsi="Arial" w:cs="Arial"/>
                <w:sz w:val="22"/>
                <w:szCs w:val="22"/>
              </w:rPr>
            </w:pPr>
            <w:proofErr w:type="spellStart"/>
            <w:r w:rsidRPr="00EB70BB">
              <w:rPr>
                <w:rFonts w:ascii="Arial" w:eastAsia="Calibri" w:hAnsi="Arial" w:cs="Arial"/>
                <w:sz w:val="22"/>
                <w:szCs w:val="22"/>
              </w:rPr>
              <w:t>Decision</w:t>
            </w:r>
            <w:proofErr w:type="spellEnd"/>
            <w:r w:rsidRPr="00EB70BB">
              <w:rPr>
                <w:rFonts w:ascii="Arial" w:eastAsia="Calibri" w:hAnsi="Arial" w:cs="Arial"/>
                <w:sz w:val="22"/>
                <w:szCs w:val="22"/>
              </w:rPr>
              <w:t xml:space="preserve"> </w:t>
            </w:r>
            <w:proofErr w:type="spellStart"/>
            <w:r w:rsidRPr="00EB70BB">
              <w:rPr>
                <w:rFonts w:ascii="Arial" w:eastAsia="Calibri" w:hAnsi="Arial" w:cs="Arial"/>
                <w:sz w:val="22"/>
                <w:szCs w:val="22"/>
              </w:rPr>
              <w:t>tree</w:t>
            </w:r>
            <w:proofErr w:type="spellEnd"/>
          </w:p>
        </w:tc>
        <w:tc>
          <w:tcPr>
            <w:tcW w:w="1935" w:type="dxa"/>
            <w:tcBorders>
              <w:right w:val="single" w:sz="4" w:space="0" w:color="000000"/>
            </w:tcBorders>
          </w:tcPr>
          <w:p w14:paraId="184751F3" w14:textId="77777777" w:rsidR="00D77E5F" w:rsidRPr="00EB70BB" w:rsidRDefault="00D77E5F" w:rsidP="00443F03">
            <w:pPr>
              <w:spacing w:after="0" w:line="360" w:lineRule="auto"/>
              <w:jc w:val="both"/>
              <w:rPr>
                <w:rFonts w:ascii="Arial" w:eastAsia="Calibri" w:hAnsi="Arial" w:cs="Arial"/>
                <w:sz w:val="22"/>
                <w:szCs w:val="22"/>
              </w:rPr>
            </w:pPr>
            <w:proofErr w:type="spellStart"/>
            <w:r w:rsidRPr="00EB70BB">
              <w:rPr>
                <w:rFonts w:ascii="Arial" w:eastAsia="Calibri" w:hAnsi="Arial" w:cs="Arial"/>
                <w:sz w:val="22"/>
                <w:szCs w:val="22"/>
              </w:rPr>
              <w:t>Logistic</w:t>
            </w:r>
            <w:proofErr w:type="spellEnd"/>
            <w:r w:rsidRPr="00EB70BB">
              <w:rPr>
                <w:rFonts w:ascii="Arial" w:eastAsia="Calibri" w:hAnsi="Arial" w:cs="Arial"/>
                <w:sz w:val="22"/>
                <w:szCs w:val="22"/>
              </w:rPr>
              <w:t xml:space="preserve"> </w:t>
            </w:r>
            <w:proofErr w:type="spellStart"/>
            <w:r w:rsidRPr="00EB70BB">
              <w:rPr>
                <w:rFonts w:ascii="Arial" w:eastAsia="Calibri" w:hAnsi="Arial" w:cs="Arial"/>
                <w:sz w:val="22"/>
                <w:szCs w:val="22"/>
              </w:rPr>
              <w:t>regression</w:t>
            </w:r>
            <w:proofErr w:type="spellEnd"/>
          </w:p>
        </w:tc>
        <w:tc>
          <w:tcPr>
            <w:tcW w:w="2565" w:type="dxa"/>
            <w:tcBorders>
              <w:left w:val="single" w:sz="4" w:space="0" w:color="000000"/>
            </w:tcBorders>
          </w:tcPr>
          <w:p w14:paraId="031F8A75" w14:textId="77777777" w:rsidR="00D77E5F" w:rsidRPr="00EB70BB" w:rsidRDefault="00D77E5F" w:rsidP="00443F03">
            <w:pPr>
              <w:spacing w:after="0" w:line="360" w:lineRule="auto"/>
              <w:jc w:val="both"/>
              <w:rPr>
                <w:rFonts w:ascii="Arial" w:eastAsia="Calibri" w:hAnsi="Arial" w:cs="Arial"/>
                <w:sz w:val="22"/>
                <w:szCs w:val="22"/>
              </w:rPr>
            </w:pPr>
            <w:proofErr w:type="spellStart"/>
            <w:r w:rsidRPr="00EB70BB">
              <w:rPr>
                <w:rFonts w:ascii="Arial" w:eastAsia="Calibri" w:hAnsi="Arial" w:cs="Arial"/>
                <w:sz w:val="22"/>
                <w:szCs w:val="22"/>
              </w:rPr>
              <w:t>Stepwise</w:t>
            </w:r>
            <w:proofErr w:type="spellEnd"/>
            <w:r w:rsidRPr="00EB70BB">
              <w:rPr>
                <w:rFonts w:ascii="Arial" w:eastAsia="Calibri" w:hAnsi="Arial" w:cs="Arial"/>
                <w:sz w:val="22"/>
                <w:szCs w:val="22"/>
              </w:rPr>
              <w:t xml:space="preserve"> </w:t>
            </w:r>
            <w:proofErr w:type="spellStart"/>
            <w:r w:rsidRPr="00EB70BB">
              <w:rPr>
                <w:rFonts w:ascii="Arial" w:eastAsia="Calibri" w:hAnsi="Arial" w:cs="Arial"/>
                <w:sz w:val="22"/>
                <w:szCs w:val="22"/>
              </w:rPr>
              <w:t>Logistic</w:t>
            </w:r>
            <w:proofErr w:type="spellEnd"/>
            <w:r w:rsidRPr="00EB70BB">
              <w:rPr>
                <w:rFonts w:ascii="Arial" w:eastAsia="Calibri" w:hAnsi="Arial" w:cs="Arial"/>
                <w:sz w:val="22"/>
                <w:szCs w:val="22"/>
              </w:rPr>
              <w:t xml:space="preserve"> </w:t>
            </w:r>
            <w:proofErr w:type="spellStart"/>
            <w:r w:rsidRPr="00EB70BB">
              <w:rPr>
                <w:rFonts w:ascii="Arial" w:eastAsia="Calibri" w:hAnsi="Arial" w:cs="Arial"/>
                <w:sz w:val="22"/>
                <w:szCs w:val="22"/>
              </w:rPr>
              <w:t>Regression</w:t>
            </w:r>
            <w:proofErr w:type="spellEnd"/>
          </w:p>
        </w:tc>
      </w:tr>
      <w:tr w:rsidR="00D77E5F" w:rsidRPr="00EB70BB" w14:paraId="677BB0D3" w14:textId="77777777" w:rsidTr="00443F03">
        <w:trPr>
          <w:trHeight w:val="306"/>
        </w:trPr>
        <w:tc>
          <w:tcPr>
            <w:tcW w:w="1255" w:type="dxa"/>
          </w:tcPr>
          <w:p w14:paraId="24EE53DA" w14:textId="77777777" w:rsidR="00D77E5F" w:rsidRPr="00EB70BB" w:rsidRDefault="00D77E5F" w:rsidP="00443F03">
            <w:pPr>
              <w:spacing w:after="0" w:line="360" w:lineRule="auto"/>
              <w:jc w:val="both"/>
              <w:rPr>
                <w:rFonts w:ascii="Arial" w:eastAsia="Calibri" w:hAnsi="Arial" w:cs="Arial"/>
                <w:sz w:val="22"/>
                <w:szCs w:val="22"/>
              </w:rPr>
            </w:pPr>
            <w:proofErr w:type="spellStart"/>
            <w:r w:rsidRPr="00EB70BB">
              <w:rPr>
                <w:rFonts w:ascii="Arial" w:eastAsia="Calibri" w:hAnsi="Arial" w:cs="Arial"/>
                <w:sz w:val="22"/>
                <w:szCs w:val="22"/>
              </w:rPr>
              <w:t>Training</w:t>
            </w:r>
            <w:proofErr w:type="spellEnd"/>
          </w:p>
        </w:tc>
        <w:tc>
          <w:tcPr>
            <w:tcW w:w="2430" w:type="dxa"/>
          </w:tcPr>
          <w:p w14:paraId="66138F8F" w14:textId="77777777" w:rsidR="00D77E5F" w:rsidRPr="00EB70BB" w:rsidRDefault="00D77E5F" w:rsidP="00443F03">
            <w:pPr>
              <w:spacing w:after="0" w:line="360" w:lineRule="auto"/>
              <w:jc w:val="both"/>
              <w:rPr>
                <w:rFonts w:ascii="Arial" w:eastAsia="Calibri" w:hAnsi="Arial" w:cs="Arial"/>
                <w:sz w:val="22"/>
                <w:szCs w:val="22"/>
              </w:rPr>
            </w:pPr>
            <w:proofErr w:type="spellStart"/>
            <w:r w:rsidRPr="00EB70BB">
              <w:rPr>
                <w:rFonts w:ascii="Arial" w:eastAsia="Calibri" w:hAnsi="Arial" w:cs="Arial"/>
                <w:sz w:val="22"/>
                <w:szCs w:val="22"/>
              </w:rPr>
              <w:t>Misclassification</w:t>
            </w:r>
            <w:proofErr w:type="spellEnd"/>
            <w:r w:rsidRPr="00EB70BB">
              <w:rPr>
                <w:rFonts w:ascii="Arial" w:eastAsia="Calibri" w:hAnsi="Arial" w:cs="Arial"/>
                <w:sz w:val="22"/>
                <w:szCs w:val="22"/>
              </w:rPr>
              <w:t xml:space="preserve"> Rate</w:t>
            </w:r>
          </w:p>
        </w:tc>
        <w:tc>
          <w:tcPr>
            <w:tcW w:w="1530" w:type="dxa"/>
          </w:tcPr>
          <w:p w14:paraId="17775817" w14:textId="77777777" w:rsidR="00D77E5F" w:rsidRPr="00EB70BB" w:rsidRDefault="00D77E5F" w:rsidP="00443F03">
            <w:pPr>
              <w:spacing w:after="0" w:line="360" w:lineRule="auto"/>
              <w:jc w:val="both"/>
              <w:rPr>
                <w:rFonts w:ascii="Arial" w:eastAsia="Calibri" w:hAnsi="Arial" w:cs="Arial"/>
                <w:sz w:val="22"/>
                <w:szCs w:val="22"/>
              </w:rPr>
            </w:pPr>
            <w:r w:rsidRPr="00EB70BB">
              <w:rPr>
                <w:rFonts w:ascii="Arial" w:eastAsia="Calibri" w:hAnsi="Arial" w:cs="Arial"/>
                <w:sz w:val="22"/>
                <w:szCs w:val="22"/>
              </w:rPr>
              <w:t>0.184</w:t>
            </w:r>
          </w:p>
        </w:tc>
        <w:tc>
          <w:tcPr>
            <w:tcW w:w="1935" w:type="dxa"/>
            <w:tcBorders>
              <w:right w:val="single" w:sz="4" w:space="0" w:color="000000"/>
            </w:tcBorders>
          </w:tcPr>
          <w:p w14:paraId="587B167D" w14:textId="77777777" w:rsidR="00D77E5F" w:rsidRPr="00EB70BB" w:rsidRDefault="00D77E5F" w:rsidP="00443F03">
            <w:pPr>
              <w:spacing w:after="0" w:line="360" w:lineRule="auto"/>
              <w:jc w:val="both"/>
              <w:rPr>
                <w:rFonts w:ascii="Arial" w:eastAsia="Calibri" w:hAnsi="Arial" w:cs="Arial"/>
                <w:sz w:val="22"/>
                <w:szCs w:val="22"/>
              </w:rPr>
            </w:pPr>
            <w:r w:rsidRPr="00EB70BB">
              <w:rPr>
                <w:rFonts w:ascii="Arial" w:eastAsia="Calibri" w:hAnsi="Arial" w:cs="Arial"/>
                <w:sz w:val="22"/>
                <w:szCs w:val="22"/>
              </w:rPr>
              <w:t>0,091</w:t>
            </w:r>
          </w:p>
        </w:tc>
        <w:tc>
          <w:tcPr>
            <w:tcW w:w="2565" w:type="dxa"/>
            <w:tcBorders>
              <w:left w:val="single" w:sz="4" w:space="0" w:color="000000"/>
            </w:tcBorders>
          </w:tcPr>
          <w:p w14:paraId="051A92BB" w14:textId="77777777" w:rsidR="00D77E5F" w:rsidRPr="00EB70BB" w:rsidRDefault="00D77E5F" w:rsidP="00443F03">
            <w:pPr>
              <w:spacing w:after="0" w:line="360" w:lineRule="auto"/>
              <w:jc w:val="both"/>
              <w:rPr>
                <w:rFonts w:ascii="Arial" w:eastAsia="Calibri" w:hAnsi="Arial" w:cs="Arial"/>
                <w:sz w:val="22"/>
                <w:szCs w:val="22"/>
              </w:rPr>
            </w:pPr>
            <w:r w:rsidRPr="00EB70BB">
              <w:rPr>
                <w:rFonts w:ascii="Arial" w:eastAsia="Calibri" w:hAnsi="Arial" w:cs="Arial"/>
                <w:sz w:val="22"/>
                <w:szCs w:val="22"/>
              </w:rPr>
              <w:t>0.093</w:t>
            </w:r>
          </w:p>
        </w:tc>
      </w:tr>
      <w:tr w:rsidR="00D77E5F" w:rsidRPr="00EB70BB" w14:paraId="4B214758" w14:textId="77777777" w:rsidTr="00443F03">
        <w:trPr>
          <w:trHeight w:val="322"/>
        </w:trPr>
        <w:tc>
          <w:tcPr>
            <w:tcW w:w="1255" w:type="dxa"/>
          </w:tcPr>
          <w:p w14:paraId="0F3B84E4" w14:textId="77777777" w:rsidR="00D77E5F" w:rsidRPr="00EB70BB" w:rsidRDefault="00D77E5F" w:rsidP="00443F03">
            <w:pPr>
              <w:spacing w:after="0" w:line="360" w:lineRule="auto"/>
              <w:jc w:val="both"/>
              <w:rPr>
                <w:rFonts w:ascii="Arial" w:eastAsia="Calibri" w:hAnsi="Arial" w:cs="Arial"/>
                <w:sz w:val="22"/>
                <w:szCs w:val="22"/>
              </w:rPr>
            </w:pPr>
          </w:p>
        </w:tc>
        <w:tc>
          <w:tcPr>
            <w:tcW w:w="2430" w:type="dxa"/>
          </w:tcPr>
          <w:p w14:paraId="7965EA6D" w14:textId="77777777" w:rsidR="00D77E5F" w:rsidRPr="00EB70BB" w:rsidRDefault="00D77E5F" w:rsidP="00443F03">
            <w:pPr>
              <w:spacing w:after="0" w:line="360" w:lineRule="auto"/>
              <w:jc w:val="both"/>
              <w:rPr>
                <w:rFonts w:ascii="Arial" w:eastAsia="Calibri" w:hAnsi="Arial" w:cs="Arial"/>
                <w:sz w:val="22"/>
                <w:szCs w:val="22"/>
              </w:rPr>
            </w:pPr>
            <w:r w:rsidRPr="00EB70BB">
              <w:rPr>
                <w:rFonts w:ascii="Arial" w:eastAsia="Calibri" w:hAnsi="Arial" w:cs="Arial"/>
                <w:sz w:val="22"/>
                <w:szCs w:val="22"/>
              </w:rPr>
              <w:t>ROC Index (AUC)</w:t>
            </w:r>
          </w:p>
        </w:tc>
        <w:tc>
          <w:tcPr>
            <w:tcW w:w="1530" w:type="dxa"/>
          </w:tcPr>
          <w:p w14:paraId="55DF625D" w14:textId="77777777" w:rsidR="00D77E5F" w:rsidRPr="00EB70BB" w:rsidRDefault="00D77E5F" w:rsidP="00443F03">
            <w:pPr>
              <w:spacing w:after="0" w:line="360" w:lineRule="auto"/>
              <w:jc w:val="both"/>
              <w:rPr>
                <w:rFonts w:ascii="Arial" w:eastAsia="Calibri" w:hAnsi="Arial" w:cs="Arial"/>
                <w:sz w:val="22"/>
                <w:szCs w:val="22"/>
              </w:rPr>
            </w:pPr>
            <w:r w:rsidRPr="00EB70BB">
              <w:rPr>
                <w:rFonts w:ascii="Arial" w:eastAsia="Calibri" w:hAnsi="Arial" w:cs="Arial"/>
                <w:sz w:val="22"/>
                <w:szCs w:val="22"/>
              </w:rPr>
              <w:tab/>
              <w:t>0.84</w:t>
            </w:r>
          </w:p>
        </w:tc>
        <w:tc>
          <w:tcPr>
            <w:tcW w:w="1935" w:type="dxa"/>
            <w:tcBorders>
              <w:right w:val="single" w:sz="4" w:space="0" w:color="000000"/>
            </w:tcBorders>
          </w:tcPr>
          <w:p w14:paraId="75CD72E8" w14:textId="77777777" w:rsidR="00D77E5F" w:rsidRPr="00EB70BB" w:rsidRDefault="00D77E5F" w:rsidP="00443F03">
            <w:pPr>
              <w:spacing w:after="0" w:line="360" w:lineRule="auto"/>
              <w:jc w:val="both"/>
              <w:rPr>
                <w:rFonts w:ascii="Arial" w:eastAsia="Calibri" w:hAnsi="Arial" w:cs="Arial"/>
                <w:sz w:val="22"/>
                <w:szCs w:val="22"/>
              </w:rPr>
            </w:pPr>
            <w:r w:rsidRPr="00EB70BB">
              <w:rPr>
                <w:rFonts w:ascii="Arial" w:eastAsia="Calibri" w:hAnsi="Arial" w:cs="Arial"/>
                <w:sz w:val="22"/>
                <w:szCs w:val="22"/>
              </w:rPr>
              <w:t>0.97</w:t>
            </w:r>
          </w:p>
        </w:tc>
        <w:tc>
          <w:tcPr>
            <w:tcW w:w="2565" w:type="dxa"/>
            <w:tcBorders>
              <w:left w:val="single" w:sz="4" w:space="0" w:color="000000"/>
            </w:tcBorders>
          </w:tcPr>
          <w:p w14:paraId="65BE286A" w14:textId="77777777" w:rsidR="00D77E5F" w:rsidRPr="00EB70BB" w:rsidRDefault="00D77E5F" w:rsidP="00443F03">
            <w:pPr>
              <w:spacing w:after="0" w:line="360" w:lineRule="auto"/>
              <w:jc w:val="both"/>
              <w:rPr>
                <w:rFonts w:ascii="Arial" w:eastAsia="Calibri" w:hAnsi="Arial" w:cs="Arial"/>
                <w:sz w:val="22"/>
                <w:szCs w:val="22"/>
              </w:rPr>
            </w:pPr>
            <w:r w:rsidRPr="00EB70BB">
              <w:rPr>
                <w:rFonts w:ascii="Arial" w:eastAsia="Calibri" w:hAnsi="Arial" w:cs="Arial"/>
                <w:sz w:val="22"/>
                <w:szCs w:val="22"/>
              </w:rPr>
              <w:t>0.97</w:t>
            </w:r>
          </w:p>
        </w:tc>
      </w:tr>
      <w:tr w:rsidR="00D77E5F" w:rsidRPr="00EB70BB" w14:paraId="33160B44" w14:textId="77777777" w:rsidTr="00443F03">
        <w:trPr>
          <w:trHeight w:val="306"/>
        </w:trPr>
        <w:tc>
          <w:tcPr>
            <w:tcW w:w="1255" w:type="dxa"/>
          </w:tcPr>
          <w:p w14:paraId="56BAD6D4" w14:textId="77777777" w:rsidR="00D77E5F" w:rsidRPr="00EB70BB" w:rsidRDefault="00D77E5F" w:rsidP="00443F03">
            <w:pPr>
              <w:spacing w:after="0" w:line="360" w:lineRule="auto"/>
              <w:jc w:val="both"/>
              <w:rPr>
                <w:rFonts w:ascii="Arial" w:eastAsia="Calibri" w:hAnsi="Arial" w:cs="Arial"/>
                <w:sz w:val="22"/>
                <w:szCs w:val="22"/>
              </w:rPr>
            </w:pPr>
          </w:p>
        </w:tc>
        <w:tc>
          <w:tcPr>
            <w:tcW w:w="2430" w:type="dxa"/>
          </w:tcPr>
          <w:p w14:paraId="58D07761" w14:textId="77777777" w:rsidR="00D77E5F" w:rsidRPr="00EB70BB" w:rsidRDefault="00D77E5F" w:rsidP="00443F03">
            <w:pPr>
              <w:spacing w:after="0" w:line="360" w:lineRule="auto"/>
              <w:jc w:val="both"/>
              <w:rPr>
                <w:rFonts w:ascii="Arial" w:eastAsia="Calibri" w:hAnsi="Arial" w:cs="Arial"/>
                <w:sz w:val="22"/>
                <w:szCs w:val="22"/>
              </w:rPr>
            </w:pPr>
            <w:proofErr w:type="spellStart"/>
            <w:r w:rsidRPr="00EB70BB">
              <w:rPr>
                <w:rFonts w:ascii="Arial" w:eastAsia="Calibri" w:hAnsi="Arial" w:cs="Arial"/>
                <w:sz w:val="22"/>
                <w:szCs w:val="22"/>
              </w:rPr>
              <w:t>Gini</w:t>
            </w:r>
            <w:proofErr w:type="spellEnd"/>
            <w:r w:rsidRPr="00EB70BB">
              <w:rPr>
                <w:rFonts w:ascii="Arial" w:eastAsia="Calibri" w:hAnsi="Arial" w:cs="Arial"/>
                <w:sz w:val="22"/>
                <w:szCs w:val="22"/>
              </w:rPr>
              <w:t xml:space="preserve"> </w:t>
            </w:r>
            <w:proofErr w:type="spellStart"/>
            <w:r w:rsidRPr="00EB70BB">
              <w:rPr>
                <w:rFonts w:ascii="Arial" w:eastAsia="Calibri" w:hAnsi="Arial" w:cs="Arial"/>
                <w:sz w:val="22"/>
                <w:szCs w:val="22"/>
              </w:rPr>
              <w:t>Coefficient</w:t>
            </w:r>
            <w:proofErr w:type="spellEnd"/>
          </w:p>
        </w:tc>
        <w:tc>
          <w:tcPr>
            <w:tcW w:w="1530" w:type="dxa"/>
          </w:tcPr>
          <w:p w14:paraId="5080A173" w14:textId="77777777" w:rsidR="00D77E5F" w:rsidRPr="00EB70BB" w:rsidRDefault="00D77E5F" w:rsidP="00443F03">
            <w:pPr>
              <w:spacing w:after="0" w:line="360" w:lineRule="auto"/>
              <w:jc w:val="both"/>
              <w:rPr>
                <w:rFonts w:ascii="Arial" w:eastAsia="Calibri" w:hAnsi="Arial" w:cs="Arial"/>
                <w:sz w:val="22"/>
                <w:szCs w:val="22"/>
              </w:rPr>
            </w:pPr>
            <w:r w:rsidRPr="00EB70BB">
              <w:rPr>
                <w:rFonts w:ascii="Arial" w:eastAsia="Calibri" w:hAnsi="Arial" w:cs="Arial"/>
                <w:sz w:val="22"/>
                <w:szCs w:val="22"/>
              </w:rPr>
              <w:t>0.94</w:t>
            </w:r>
          </w:p>
        </w:tc>
        <w:tc>
          <w:tcPr>
            <w:tcW w:w="1935" w:type="dxa"/>
            <w:tcBorders>
              <w:right w:val="single" w:sz="4" w:space="0" w:color="000000"/>
            </w:tcBorders>
          </w:tcPr>
          <w:p w14:paraId="71BE911D" w14:textId="77777777" w:rsidR="00D77E5F" w:rsidRPr="00EB70BB" w:rsidRDefault="00D77E5F" w:rsidP="00443F03">
            <w:pPr>
              <w:spacing w:after="0" w:line="360" w:lineRule="auto"/>
              <w:jc w:val="both"/>
              <w:rPr>
                <w:rFonts w:ascii="Arial" w:eastAsia="Calibri" w:hAnsi="Arial" w:cs="Arial"/>
                <w:sz w:val="22"/>
                <w:szCs w:val="22"/>
              </w:rPr>
            </w:pPr>
            <w:r w:rsidRPr="00EB70BB">
              <w:rPr>
                <w:rFonts w:ascii="Arial" w:eastAsia="Calibri" w:hAnsi="Arial" w:cs="Arial"/>
                <w:sz w:val="22"/>
                <w:szCs w:val="22"/>
              </w:rPr>
              <w:t>0.95</w:t>
            </w:r>
          </w:p>
        </w:tc>
        <w:tc>
          <w:tcPr>
            <w:tcW w:w="2565" w:type="dxa"/>
            <w:tcBorders>
              <w:left w:val="single" w:sz="4" w:space="0" w:color="000000"/>
            </w:tcBorders>
          </w:tcPr>
          <w:p w14:paraId="36D20BA8" w14:textId="77777777" w:rsidR="00D77E5F" w:rsidRPr="00EB70BB" w:rsidRDefault="00D77E5F" w:rsidP="00443F03">
            <w:pPr>
              <w:spacing w:after="0" w:line="360" w:lineRule="auto"/>
              <w:jc w:val="both"/>
              <w:rPr>
                <w:rFonts w:ascii="Arial" w:eastAsia="Calibri" w:hAnsi="Arial" w:cs="Arial"/>
                <w:sz w:val="22"/>
                <w:szCs w:val="22"/>
              </w:rPr>
            </w:pPr>
            <w:r w:rsidRPr="00EB70BB">
              <w:rPr>
                <w:rFonts w:ascii="Arial" w:eastAsia="Calibri" w:hAnsi="Arial" w:cs="Arial"/>
                <w:sz w:val="22"/>
                <w:szCs w:val="22"/>
              </w:rPr>
              <w:t>0.94</w:t>
            </w:r>
          </w:p>
        </w:tc>
      </w:tr>
      <w:tr w:rsidR="00D77E5F" w:rsidRPr="00EB70BB" w14:paraId="5E02903C" w14:textId="77777777" w:rsidTr="00443F03">
        <w:trPr>
          <w:trHeight w:val="306"/>
        </w:trPr>
        <w:tc>
          <w:tcPr>
            <w:tcW w:w="1255" w:type="dxa"/>
          </w:tcPr>
          <w:p w14:paraId="6FBB045F" w14:textId="77777777" w:rsidR="00D77E5F" w:rsidRPr="00EB70BB" w:rsidRDefault="00D77E5F" w:rsidP="00443F03">
            <w:pPr>
              <w:spacing w:after="0" w:line="360" w:lineRule="auto"/>
              <w:jc w:val="both"/>
              <w:rPr>
                <w:rFonts w:ascii="Arial" w:eastAsia="Calibri" w:hAnsi="Arial" w:cs="Arial"/>
                <w:sz w:val="22"/>
                <w:szCs w:val="22"/>
              </w:rPr>
            </w:pPr>
            <w:proofErr w:type="spellStart"/>
            <w:r w:rsidRPr="00EB70BB">
              <w:rPr>
                <w:rFonts w:ascii="Arial" w:eastAsia="Calibri" w:hAnsi="Arial" w:cs="Arial"/>
                <w:sz w:val="22"/>
                <w:szCs w:val="22"/>
              </w:rPr>
              <w:t>Validation</w:t>
            </w:r>
            <w:proofErr w:type="spellEnd"/>
          </w:p>
        </w:tc>
        <w:tc>
          <w:tcPr>
            <w:tcW w:w="2430" w:type="dxa"/>
          </w:tcPr>
          <w:p w14:paraId="74A39417" w14:textId="77777777" w:rsidR="00D77E5F" w:rsidRPr="00EB70BB" w:rsidRDefault="00D77E5F" w:rsidP="00443F03">
            <w:pPr>
              <w:spacing w:after="0" w:line="360" w:lineRule="auto"/>
              <w:jc w:val="both"/>
              <w:rPr>
                <w:rFonts w:ascii="Arial" w:eastAsia="Calibri" w:hAnsi="Arial" w:cs="Arial"/>
                <w:sz w:val="22"/>
                <w:szCs w:val="22"/>
              </w:rPr>
            </w:pPr>
            <w:proofErr w:type="spellStart"/>
            <w:r w:rsidRPr="00EB70BB">
              <w:rPr>
                <w:rFonts w:ascii="Arial" w:eastAsia="Calibri" w:hAnsi="Arial" w:cs="Arial"/>
                <w:sz w:val="22"/>
                <w:szCs w:val="22"/>
              </w:rPr>
              <w:t>Misclassification</w:t>
            </w:r>
            <w:proofErr w:type="spellEnd"/>
            <w:r w:rsidRPr="00EB70BB">
              <w:rPr>
                <w:rFonts w:ascii="Arial" w:eastAsia="Calibri" w:hAnsi="Arial" w:cs="Arial"/>
                <w:sz w:val="22"/>
                <w:szCs w:val="22"/>
              </w:rPr>
              <w:t xml:space="preserve"> Rate</w:t>
            </w:r>
          </w:p>
        </w:tc>
        <w:tc>
          <w:tcPr>
            <w:tcW w:w="1530" w:type="dxa"/>
          </w:tcPr>
          <w:p w14:paraId="42751FA1" w14:textId="77777777" w:rsidR="00D77E5F" w:rsidRPr="00EB70BB" w:rsidRDefault="00D77E5F" w:rsidP="00443F03">
            <w:pPr>
              <w:spacing w:after="0" w:line="360" w:lineRule="auto"/>
              <w:jc w:val="both"/>
              <w:rPr>
                <w:rFonts w:ascii="Arial" w:eastAsia="Calibri" w:hAnsi="Arial" w:cs="Arial"/>
                <w:sz w:val="22"/>
                <w:szCs w:val="22"/>
              </w:rPr>
            </w:pPr>
            <w:r w:rsidRPr="00EB70BB">
              <w:rPr>
                <w:rFonts w:ascii="Arial" w:eastAsia="Calibri" w:hAnsi="Arial" w:cs="Arial"/>
                <w:sz w:val="22"/>
                <w:szCs w:val="22"/>
              </w:rPr>
              <w:t>0.175</w:t>
            </w:r>
          </w:p>
        </w:tc>
        <w:tc>
          <w:tcPr>
            <w:tcW w:w="1935" w:type="dxa"/>
            <w:tcBorders>
              <w:right w:val="single" w:sz="4" w:space="0" w:color="000000"/>
            </w:tcBorders>
          </w:tcPr>
          <w:p w14:paraId="224B4546" w14:textId="77777777" w:rsidR="00D77E5F" w:rsidRPr="00EB70BB" w:rsidRDefault="00D77E5F" w:rsidP="00443F03">
            <w:pPr>
              <w:spacing w:after="0" w:line="360" w:lineRule="auto"/>
              <w:jc w:val="both"/>
              <w:rPr>
                <w:rFonts w:ascii="Arial" w:eastAsia="Calibri" w:hAnsi="Arial" w:cs="Arial"/>
                <w:sz w:val="22"/>
                <w:szCs w:val="22"/>
              </w:rPr>
            </w:pPr>
            <w:r w:rsidRPr="00EB70BB">
              <w:rPr>
                <w:rFonts w:ascii="Arial" w:eastAsia="Calibri" w:hAnsi="Arial" w:cs="Arial"/>
                <w:sz w:val="22"/>
                <w:szCs w:val="22"/>
              </w:rPr>
              <w:t>0.167</w:t>
            </w:r>
          </w:p>
        </w:tc>
        <w:tc>
          <w:tcPr>
            <w:tcW w:w="2565" w:type="dxa"/>
            <w:tcBorders>
              <w:left w:val="single" w:sz="4" w:space="0" w:color="000000"/>
            </w:tcBorders>
          </w:tcPr>
          <w:p w14:paraId="3CAD437B" w14:textId="77777777" w:rsidR="00D77E5F" w:rsidRPr="00EB70BB" w:rsidRDefault="00D77E5F" w:rsidP="00443F03">
            <w:pPr>
              <w:spacing w:after="0" w:line="360" w:lineRule="auto"/>
              <w:jc w:val="both"/>
              <w:rPr>
                <w:rFonts w:ascii="Arial" w:eastAsia="Calibri" w:hAnsi="Arial" w:cs="Arial"/>
                <w:sz w:val="22"/>
                <w:szCs w:val="22"/>
              </w:rPr>
            </w:pPr>
            <w:r w:rsidRPr="00EB70BB">
              <w:rPr>
                <w:rFonts w:ascii="Arial" w:eastAsia="Calibri" w:hAnsi="Arial" w:cs="Arial"/>
                <w:sz w:val="22"/>
                <w:szCs w:val="22"/>
              </w:rPr>
              <w:t>0.159</w:t>
            </w:r>
          </w:p>
        </w:tc>
      </w:tr>
      <w:tr w:rsidR="00D77E5F" w:rsidRPr="00EB70BB" w14:paraId="0FC65CD3" w14:textId="77777777" w:rsidTr="00443F03">
        <w:trPr>
          <w:trHeight w:val="306"/>
        </w:trPr>
        <w:tc>
          <w:tcPr>
            <w:tcW w:w="1255" w:type="dxa"/>
          </w:tcPr>
          <w:p w14:paraId="236443BC" w14:textId="77777777" w:rsidR="00D77E5F" w:rsidRPr="00EB70BB" w:rsidRDefault="00D77E5F" w:rsidP="00443F03">
            <w:pPr>
              <w:spacing w:after="0" w:line="360" w:lineRule="auto"/>
              <w:jc w:val="both"/>
              <w:rPr>
                <w:rFonts w:ascii="Arial" w:eastAsia="Calibri" w:hAnsi="Arial" w:cs="Arial"/>
                <w:sz w:val="22"/>
                <w:szCs w:val="22"/>
              </w:rPr>
            </w:pPr>
          </w:p>
        </w:tc>
        <w:tc>
          <w:tcPr>
            <w:tcW w:w="2430" w:type="dxa"/>
          </w:tcPr>
          <w:p w14:paraId="58875963" w14:textId="77777777" w:rsidR="00D77E5F" w:rsidRPr="00EB70BB" w:rsidRDefault="00D77E5F" w:rsidP="00443F03">
            <w:pPr>
              <w:spacing w:after="0" w:line="360" w:lineRule="auto"/>
              <w:jc w:val="both"/>
              <w:rPr>
                <w:rFonts w:ascii="Arial" w:eastAsia="Calibri" w:hAnsi="Arial" w:cs="Arial"/>
                <w:sz w:val="22"/>
                <w:szCs w:val="22"/>
              </w:rPr>
            </w:pPr>
            <w:r w:rsidRPr="00EB70BB">
              <w:rPr>
                <w:rFonts w:ascii="Arial" w:eastAsia="Calibri" w:hAnsi="Arial" w:cs="Arial"/>
                <w:sz w:val="22"/>
                <w:szCs w:val="22"/>
              </w:rPr>
              <w:t>ROC Index (AUC)</w:t>
            </w:r>
          </w:p>
        </w:tc>
        <w:tc>
          <w:tcPr>
            <w:tcW w:w="1530" w:type="dxa"/>
          </w:tcPr>
          <w:p w14:paraId="5B7D1FDA" w14:textId="77777777" w:rsidR="00D77E5F" w:rsidRPr="00EB70BB" w:rsidRDefault="00D77E5F" w:rsidP="00443F03">
            <w:pPr>
              <w:spacing w:after="0" w:line="360" w:lineRule="auto"/>
              <w:jc w:val="both"/>
              <w:rPr>
                <w:rFonts w:ascii="Arial" w:eastAsia="Calibri" w:hAnsi="Arial" w:cs="Arial"/>
                <w:sz w:val="22"/>
                <w:szCs w:val="22"/>
              </w:rPr>
            </w:pPr>
            <w:r w:rsidRPr="00EB70BB">
              <w:rPr>
                <w:rFonts w:ascii="Arial" w:eastAsia="Calibri" w:hAnsi="Arial" w:cs="Arial"/>
                <w:sz w:val="22"/>
                <w:szCs w:val="22"/>
              </w:rPr>
              <w:t>0.82</w:t>
            </w:r>
          </w:p>
        </w:tc>
        <w:tc>
          <w:tcPr>
            <w:tcW w:w="1935" w:type="dxa"/>
            <w:tcBorders>
              <w:right w:val="single" w:sz="4" w:space="0" w:color="000000"/>
            </w:tcBorders>
          </w:tcPr>
          <w:p w14:paraId="6A3BD5D2" w14:textId="77777777" w:rsidR="00D77E5F" w:rsidRPr="00EB70BB" w:rsidRDefault="00D77E5F" w:rsidP="00443F03">
            <w:pPr>
              <w:spacing w:after="0" w:line="360" w:lineRule="auto"/>
              <w:jc w:val="both"/>
              <w:rPr>
                <w:rFonts w:ascii="Arial" w:eastAsia="Calibri" w:hAnsi="Arial" w:cs="Arial"/>
                <w:sz w:val="22"/>
                <w:szCs w:val="22"/>
              </w:rPr>
            </w:pPr>
            <w:r w:rsidRPr="00EB70BB">
              <w:rPr>
                <w:rFonts w:ascii="Arial" w:eastAsia="Calibri" w:hAnsi="Arial" w:cs="Arial"/>
                <w:sz w:val="22"/>
                <w:szCs w:val="22"/>
              </w:rPr>
              <w:t>0.85</w:t>
            </w:r>
          </w:p>
        </w:tc>
        <w:tc>
          <w:tcPr>
            <w:tcW w:w="2565" w:type="dxa"/>
            <w:tcBorders>
              <w:left w:val="single" w:sz="4" w:space="0" w:color="000000"/>
            </w:tcBorders>
          </w:tcPr>
          <w:p w14:paraId="1486BB26" w14:textId="77777777" w:rsidR="00D77E5F" w:rsidRPr="00EB70BB" w:rsidRDefault="00D77E5F" w:rsidP="00443F03">
            <w:pPr>
              <w:spacing w:after="0" w:line="360" w:lineRule="auto"/>
              <w:jc w:val="both"/>
              <w:rPr>
                <w:rFonts w:ascii="Arial" w:eastAsia="Calibri" w:hAnsi="Arial" w:cs="Arial"/>
                <w:sz w:val="22"/>
                <w:szCs w:val="22"/>
              </w:rPr>
            </w:pPr>
            <w:r w:rsidRPr="00EB70BB">
              <w:rPr>
                <w:rFonts w:ascii="Arial" w:eastAsia="Calibri" w:hAnsi="Arial" w:cs="Arial"/>
                <w:sz w:val="22"/>
                <w:szCs w:val="22"/>
              </w:rPr>
              <w:t>0.85</w:t>
            </w:r>
          </w:p>
        </w:tc>
      </w:tr>
      <w:tr w:rsidR="00D77E5F" w:rsidRPr="00EB70BB" w14:paraId="535154E2" w14:textId="77777777" w:rsidTr="00443F03">
        <w:trPr>
          <w:trHeight w:val="306"/>
        </w:trPr>
        <w:tc>
          <w:tcPr>
            <w:tcW w:w="1255" w:type="dxa"/>
          </w:tcPr>
          <w:p w14:paraId="47E3D116" w14:textId="77777777" w:rsidR="00D77E5F" w:rsidRPr="00EB70BB" w:rsidRDefault="00D77E5F" w:rsidP="00443F03">
            <w:pPr>
              <w:spacing w:after="0" w:line="360" w:lineRule="auto"/>
              <w:jc w:val="both"/>
              <w:rPr>
                <w:rFonts w:ascii="Arial" w:eastAsia="Calibri" w:hAnsi="Arial" w:cs="Arial"/>
                <w:sz w:val="22"/>
                <w:szCs w:val="22"/>
              </w:rPr>
            </w:pPr>
          </w:p>
        </w:tc>
        <w:tc>
          <w:tcPr>
            <w:tcW w:w="2430" w:type="dxa"/>
          </w:tcPr>
          <w:p w14:paraId="09D908F2" w14:textId="77777777" w:rsidR="00D77E5F" w:rsidRPr="00EB70BB" w:rsidRDefault="00D77E5F" w:rsidP="00443F03">
            <w:pPr>
              <w:spacing w:after="0" w:line="360" w:lineRule="auto"/>
              <w:jc w:val="both"/>
              <w:rPr>
                <w:rFonts w:ascii="Arial" w:eastAsia="Calibri" w:hAnsi="Arial" w:cs="Arial"/>
                <w:sz w:val="22"/>
                <w:szCs w:val="22"/>
              </w:rPr>
            </w:pPr>
            <w:proofErr w:type="spellStart"/>
            <w:r w:rsidRPr="00EB70BB">
              <w:rPr>
                <w:rFonts w:ascii="Arial" w:eastAsia="Calibri" w:hAnsi="Arial" w:cs="Arial"/>
                <w:sz w:val="22"/>
                <w:szCs w:val="22"/>
              </w:rPr>
              <w:t>Gini</w:t>
            </w:r>
            <w:proofErr w:type="spellEnd"/>
            <w:r w:rsidRPr="00EB70BB">
              <w:rPr>
                <w:rFonts w:ascii="Arial" w:eastAsia="Calibri" w:hAnsi="Arial" w:cs="Arial"/>
                <w:sz w:val="22"/>
                <w:szCs w:val="22"/>
              </w:rPr>
              <w:t xml:space="preserve"> </w:t>
            </w:r>
            <w:proofErr w:type="spellStart"/>
            <w:r w:rsidRPr="00EB70BB">
              <w:rPr>
                <w:rFonts w:ascii="Arial" w:eastAsia="Calibri" w:hAnsi="Arial" w:cs="Arial"/>
                <w:sz w:val="22"/>
                <w:szCs w:val="22"/>
              </w:rPr>
              <w:t>Coefficient</w:t>
            </w:r>
            <w:proofErr w:type="spellEnd"/>
          </w:p>
        </w:tc>
        <w:tc>
          <w:tcPr>
            <w:tcW w:w="1530" w:type="dxa"/>
          </w:tcPr>
          <w:p w14:paraId="6638D81F" w14:textId="77777777" w:rsidR="00D77E5F" w:rsidRPr="00EB70BB" w:rsidRDefault="00D77E5F" w:rsidP="00443F03">
            <w:pPr>
              <w:spacing w:after="0" w:line="360" w:lineRule="auto"/>
              <w:jc w:val="both"/>
              <w:rPr>
                <w:rFonts w:ascii="Arial" w:eastAsia="Calibri" w:hAnsi="Arial" w:cs="Arial"/>
                <w:sz w:val="22"/>
                <w:szCs w:val="22"/>
              </w:rPr>
            </w:pPr>
            <w:r w:rsidRPr="00EB70BB">
              <w:rPr>
                <w:rFonts w:ascii="Arial" w:eastAsia="Calibri" w:hAnsi="Arial" w:cs="Arial"/>
                <w:sz w:val="22"/>
                <w:szCs w:val="22"/>
              </w:rPr>
              <w:t>0.63</w:t>
            </w:r>
          </w:p>
        </w:tc>
        <w:tc>
          <w:tcPr>
            <w:tcW w:w="1935" w:type="dxa"/>
            <w:tcBorders>
              <w:right w:val="single" w:sz="4" w:space="0" w:color="000000"/>
            </w:tcBorders>
          </w:tcPr>
          <w:p w14:paraId="2DC7FD8C" w14:textId="77777777" w:rsidR="00D77E5F" w:rsidRPr="00EB70BB" w:rsidRDefault="00D77E5F" w:rsidP="00443F03">
            <w:pPr>
              <w:spacing w:after="0" w:line="360" w:lineRule="auto"/>
              <w:jc w:val="both"/>
              <w:rPr>
                <w:rFonts w:ascii="Arial" w:eastAsia="Calibri" w:hAnsi="Arial" w:cs="Arial"/>
                <w:sz w:val="22"/>
                <w:szCs w:val="22"/>
              </w:rPr>
            </w:pPr>
            <w:r w:rsidRPr="00EB70BB">
              <w:rPr>
                <w:rFonts w:ascii="Arial" w:eastAsia="Calibri" w:hAnsi="Arial" w:cs="Arial"/>
                <w:sz w:val="22"/>
                <w:szCs w:val="22"/>
              </w:rPr>
              <w:t>0.71</w:t>
            </w:r>
          </w:p>
        </w:tc>
        <w:tc>
          <w:tcPr>
            <w:tcW w:w="2565" w:type="dxa"/>
            <w:tcBorders>
              <w:left w:val="single" w:sz="4" w:space="0" w:color="000000"/>
            </w:tcBorders>
          </w:tcPr>
          <w:p w14:paraId="6C56A6FE" w14:textId="77777777" w:rsidR="00D77E5F" w:rsidRPr="00EB70BB" w:rsidRDefault="00D77E5F" w:rsidP="00443F03">
            <w:pPr>
              <w:spacing w:after="0" w:line="360" w:lineRule="auto"/>
              <w:jc w:val="both"/>
              <w:rPr>
                <w:rFonts w:ascii="Arial" w:eastAsia="Calibri" w:hAnsi="Arial" w:cs="Arial"/>
                <w:sz w:val="22"/>
                <w:szCs w:val="22"/>
              </w:rPr>
            </w:pPr>
            <w:r w:rsidRPr="00EB70BB">
              <w:rPr>
                <w:rFonts w:ascii="Arial" w:eastAsia="Calibri" w:hAnsi="Arial" w:cs="Arial"/>
                <w:sz w:val="22"/>
                <w:szCs w:val="22"/>
              </w:rPr>
              <w:t>0.71</w:t>
            </w:r>
          </w:p>
        </w:tc>
      </w:tr>
    </w:tbl>
    <w:p w14:paraId="7232509E" w14:textId="77777777" w:rsidR="00D77E5F" w:rsidRPr="00EB70BB" w:rsidRDefault="00D77E5F" w:rsidP="00D77E5F">
      <w:pPr>
        <w:spacing w:after="0" w:line="360" w:lineRule="auto"/>
        <w:jc w:val="both"/>
        <w:rPr>
          <w:rFonts w:ascii="Arial" w:eastAsia="Calibri" w:hAnsi="Arial" w:cs="Arial"/>
          <w:b/>
          <w:bCs/>
          <w:sz w:val="22"/>
        </w:rPr>
      </w:pPr>
      <w:r w:rsidRPr="00EB70BB">
        <w:rPr>
          <w:rFonts w:ascii="Arial" w:eastAsia="Calibri" w:hAnsi="Arial" w:cs="Arial"/>
          <w:sz w:val="22"/>
        </w:rPr>
        <w:t xml:space="preserve">                                                 </w:t>
      </w:r>
      <w:r w:rsidRPr="00EB70BB">
        <w:rPr>
          <w:rFonts w:ascii="Arial" w:eastAsia="Calibri" w:hAnsi="Arial" w:cs="Arial"/>
          <w:b/>
          <w:bCs/>
          <w:sz w:val="22"/>
        </w:rPr>
        <w:t xml:space="preserve">Source: </w:t>
      </w:r>
      <w:proofErr w:type="spellStart"/>
      <w:r w:rsidRPr="00EB70BB">
        <w:rPr>
          <w:rFonts w:ascii="Arial" w:eastAsia="Calibri" w:hAnsi="Arial" w:cs="Arial"/>
          <w:b/>
          <w:bCs/>
          <w:sz w:val="22"/>
        </w:rPr>
        <w:t>Own</w:t>
      </w:r>
      <w:proofErr w:type="spellEnd"/>
      <w:r w:rsidRPr="00EB70BB">
        <w:rPr>
          <w:rFonts w:ascii="Arial" w:eastAsia="Calibri" w:hAnsi="Arial" w:cs="Arial"/>
          <w:b/>
          <w:bCs/>
          <w:sz w:val="22"/>
        </w:rPr>
        <w:t xml:space="preserve"> </w:t>
      </w:r>
      <w:proofErr w:type="spellStart"/>
      <w:r w:rsidRPr="00EB70BB">
        <w:rPr>
          <w:rFonts w:ascii="Arial" w:eastAsia="Calibri" w:hAnsi="Arial" w:cs="Arial"/>
          <w:b/>
          <w:bCs/>
          <w:sz w:val="22"/>
        </w:rPr>
        <w:t>Author</w:t>
      </w:r>
      <w:proofErr w:type="spellEnd"/>
    </w:p>
    <w:p w14:paraId="0F4BBA88" w14:textId="77777777" w:rsidR="00D77E5F" w:rsidRPr="00EB70BB" w:rsidRDefault="00D77E5F" w:rsidP="00D77E5F">
      <w:pPr>
        <w:spacing w:after="0" w:line="360" w:lineRule="auto"/>
        <w:jc w:val="both"/>
        <w:rPr>
          <w:rFonts w:ascii="Arial" w:eastAsia="Calibri" w:hAnsi="Arial" w:cs="Arial"/>
          <w:sz w:val="22"/>
        </w:rPr>
      </w:pPr>
    </w:p>
    <w:p w14:paraId="673FB411" w14:textId="0F6AC9BC" w:rsidR="00D77E5F" w:rsidRPr="00EB70BB" w:rsidRDefault="00D77E5F" w:rsidP="00D77E5F">
      <w:pPr>
        <w:spacing w:after="0" w:line="360" w:lineRule="auto"/>
        <w:jc w:val="both"/>
        <w:rPr>
          <w:rFonts w:ascii="Arial" w:eastAsia="Calibri" w:hAnsi="Arial" w:cs="Arial"/>
          <w:sz w:val="22"/>
          <w:lang w:val="en-US"/>
        </w:rPr>
      </w:pPr>
      <w:r w:rsidRPr="00EB70BB">
        <w:rPr>
          <w:rFonts w:ascii="Arial" w:eastAsia="Calibri" w:hAnsi="Arial" w:cs="Arial"/>
          <w:sz w:val="22"/>
          <w:lang w:val="en-US"/>
        </w:rPr>
        <w:t>The results indicate that all three models performed well in predicting delayed healthcare claims, however the Stepwise Logistic Regression model demonstrated the best overall predictive performance. Although the Full Logistic Regression model achieved the lowest training misclassification rate (0.091), the Stepwise Logistic Regression model produced the lowest validation misclassification rate (0.159), indicating better generalization performance on unseen data. In addition, both logistic regression models achieved the highest validation ROC Index (AUC) of 0.85 and Gini Coefficient of 0.71, outperforming the Decision Tree model, which recorded lower predictive accuracy and discriminatory ability. This supports the suitability of the Stepwise Logistic Regression model as the best-performing model for predicting healthcare claim delays and understanding the factors influencing medical scheme payment behavior.</w:t>
      </w:r>
    </w:p>
    <w:p w14:paraId="41C1F3A5" w14:textId="77777777" w:rsidR="00F12C76" w:rsidRPr="00D77E5F" w:rsidRDefault="00F12C76" w:rsidP="006C0B77">
      <w:pPr>
        <w:spacing w:after="0"/>
        <w:ind w:firstLine="709"/>
        <w:jc w:val="both"/>
        <w:rPr>
          <w:lang w:val="en-US"/>
        </w:rPr>
      </w:pPr>
    </w:p>
    <w:sectPr w:rsidR="00F12C76" w:rsidRPr="00D77E5F"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7E5F"/>
    <w:rsid w:val="006C0B77"/>
    <w:rsid w:val="008242FF"/>
    <w:rsid w:val="00870751"/>
    <w:rsid w:val="00922C48"/>
    <w:rsid w:val="00B915B7"/>
    <w:rsid w:val="00D67F00"/>
    <w:rsid w:val="00D77E5F"/>
    <w:rsid w:val="00EA59DF"/>
    <w:rsid w:val="00EE4070"/>
    <w:rsid w:val="00F12C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58C3EC"/>
  <w15:chartTrackingRefBased/>
  <w15:docId w15:val="{D2D596D6-55F2-4CCB-A1D0-C1A9377591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7E5F"/>
    <w:pPr>
      <w:spacing w:line="240" w:lineRule="auto"/>
    </w:pPr>
    <w:rPr>
      <w:rFonts w:ascii="Times New Roman" w:hAnsi="Times New Roman"/>
      <w:sz w:val="28"/>
    </w:rPr>
  </w:style>
  <w:style w:type="paragraph" w:styleId="Heading1">
    <w:name w:val="heading 1"/>
    <w:basedOn w:val="Normal"/>
    <w:next w:val="Normal"/>
    <w:link w:val="Heading1Char"/>
    <w:uiPriority w:val="9"/>
    <w:qFormat/>
    <w:rsid w:val="00D77E5F"/>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D77E5F"/>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D77E5F"/>
    <w:pPr>
      <w:keepNext/>
      <w:keepLines/>
      <w:spacing w:before="160" w:after="80"/>
      <w:outlineLvl w:val="2"/>
    </w:pPr>
    <w:rPr>
      <w:rFonts w:asciiTheme="minorHAnsi" w:eastAsiaTheme="majorEastAsia" w:hAnsiTheme="minorHAnsi" w:cstheme="majorBidi"/>
      <w:color w:val="2E74B5" w:themeColor="accent1" w:themeShade="BF"/>
      <w:szCs w:val="28"/>
    </w:rPr>
  </w:style>
  <w:style w:type="paragraph" w:styleId="Heading4">
    <w:name w:val="heading 4"/>
    <w:basedOn w:val="Normal"/>
    <w:next w:val="Normal"/>
    <w:link w:val="Heading4Char"/>
    <w:uiPriority w:val="9"/>
    <w:semiHidden/>
    <w:unhideWhenUsed/>
    <w:qFormat/>
    <w:rsid w:val="00D77E5F"/>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D77E5F"/>
    <w:pPr>
      <w:keepNext/>
      <w:keepLines/>
      <w:spacing w:before="80" w:after="40"/>
      <w:outlineLvl w:val="4"/>
    </w:pPr>
    <w:rPr>
      <w:rFonts w:asciiTheme="minorHAnsi" w:eastAsiaTheme="majorEastAsia" w:hAnsiTheme="minorHAnsi" w:cstheme="majorBidi"/>
      <w:color w:val="2E74B5" w:themeColor="accent1" w:themeShade="BF"/>
    </w:rPr>
  </w:style>
  <w:style w:type="paragraph" w:styleId="Heading6">
    <w:name w:val="heading 6"/>
    <w:basedOn w:val="Normal"/>
    <w:next w:val="Normal"/>
    <w:link w:val="Heading6Char"/>
    <w:uiPriority w:val="9"/>
    <w:semiHidden/>
    <w:unhideWhenUsed/>
    <w:qFormat/>
    <w:rsid w:val="00D77E5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77E5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77E5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77E5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7E5F"/>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D77E5F"/>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D77E5F"/>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D77E5F"/>
    <w:rPr>
      <w:rFonts w:eastAsiaTheme="majorEastAsia" w:cstheme="majorBidi"/>
      <w:i/>
      <w:iCs/>
      <w:color w:val="2E74B5" w:themeColor="accent1" w:themeShade="BF"/>
      <w:sz w:val="28"/>
    </w:rPr>
  </w:style>
  <w:style w:type="character" w:customStyle="1" w:styleId="Heading5Char">
    <w:name w:val="Heading 5 Char"/>
    <w:basedOn w:val="DefaultParagraphFont"/>
    <w:link w:val="Heading5"/>
    <w:uiPriority w:val="9"/>
    <w:semiHidden/>
    <w:rsid w:val="00D77E5F"/>
    <w:rPr>
      <w:rFonts w:eastAsiaTheme="majorEastAsia" w:cstheme="majorBidi"/>
      <w:color w:val="2E74B5" w:themeColor="accent1" w:themeShade="BF"/>
      <w:sz w:val="28"/>
    </w:rPr>
  </w:style>
  <w:style w:type="character" w:customStyle="1" w:styleId="Heading6Char">
    <w:name w:val="Heading 6 Char"/>
    <w:basedOn w:val="DefaultParagraphFont"/>
    <w:link w:val="Heading6"/>
    <w:uiPriority w:val="9"/>
    <w:semiHidden/>
    <w:rsid w:val="00D77E5F"/>
    <w:rPr>
      <w:rFonts w:eastAsiaTheme="majorEastAsia" w:cstheme="majorBidi"/>
      <w:i/>
      <w:iCs/>
      <w:color w:val="595959" w:themeColor="text1" w:themeTint="A6"/>
      <w:sz w:val="28"/>
    </w:rPr>
  </w:style>
  <w:style w:type="character" w:customStyle="1" w:styleId="Heading7Char">
    <w:name w:val="Heading 7 Char"/>
    <w:basedOn w:val="DefaultParagraphFont"/>
    <w:link w:val="Heading7"/>
    <w:uiPriority w:val="9"/>
    <w:semiHidden/>
    <w:rsid w:val="00D77E5F"/>
    <w:rPr>
      <w:rFonts w:eastAsiaTheme="majorEastAsia" w:cstheme="majorBidi"/>
      <w:color w:val="595959" w:themeColor="text1" w:themeTint="A6"/>
      <w:sz w:val="28"/>
    </w:rPr>
  </w:style>
  <w:style w:type="character" w:customStyle="1" w:styleId="Heading8Char">
    <w:name w:val="Heading 8 Char"/>
    <w:basedOn w:val="DefaultParagraphFont"/>
    <w:link w:val="Heading8"/>
    <w:uiPriority w:val="9"/>
    <w:semiHidden/>
    <w:rsid w:val="00D77E5F"/>
    <w:rPr>
      <w:rFonts w:eastAsiaTheme="majorEastAsia" w:cstheme="majorBidi"/>
      <w:i/>
      <w:iCs/>
      <w:color w:val="272727" w:themeColor="text1" w:themeTint="D8"/>
      <w:sz w:val="28"/>
    </w:rPr>
  </w:style>
  <w:style w:type="character" w:customStyle="1" w:styleId="Heading9Char">
    <w:name w:val="Heading 9 Char"/>
    <w:basedOn w:val="DefaultParagraphFont"/>
    <w:link w:val="Heading9"/>
    <w:uiPriority w:val="9"/>
    <w:semiHidden/>
    <w:rsid w:val="00D77E5F"/>
    <w:rPr>
      <w:rFonts w:eastAsiaTheme="majorEastAsia" w:cstheme="majorBidi"/>
      <w:color w:val="272727" w:themeColor="text1" w:themeTint="D8"/>
      <w:sz w:val="28"/>
    </w:rPr>
  </w:style>
  <w:style w:type="paragraph" w:styleId="Title">
    <w:name w:val="Title"/>
    <w:basedOn w:val="Normal"/>
    <w:next w:val="Normal"/>
    <w:link w:val="TitleChar"/>
    <w:uiPriority w:val="10"/>
    <w:qFormat/>
    <w:rsid w:val="00D77E5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7E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7E5F"/>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D77E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7E5F"/>
    <w:pPr>
      <w:spacing w:before="160"/>
      <w:jc w:val="center"/>
    </w:pPr>
    <w:rPr>
      <w:i/>
      <w:iCs/>
      <w:color w:val="404040" w:themeColor="text1" w:themeTint="BF"/>
    </w:rPr>
  </w:style>
  <w:style w:type="character" w:customStyle="1" w:styleId="QuoteChar">
    <w:name w:val="Quote Char"/>
    <w:basedOn w:val="DefaultParagraphFont"/>
    <w:link w:val="Quote"/>
    <w:uiPriority w:val="29"/>
    <w:rsid w:val="00D77E5F"/>
    <w:rPr>
      <w:rFonts w:ascii="Times New Roman" w:hAnsi="Times New Roman"/>
      <w:i/>
      <w:iCs/>
      <w:color w:val="404040" w:themeColor="text1" w:themeTint="BF"/>
      <w:sz w:val="28"/>
    </w:rPr>
  </w:style>
  <w:style w:type="paragraph" w:styleId="ListParagraph">
    <w:name w:val="List Paragraph"/>
    <w:basedOn w:val="Normal"/>
    <w:uiPriority w:val="34"/>
    <w:qFormat/>
    <w:rsid w:val="00D77E5F"/>
    <w:pPr>
      <w:ind w:left="720"/>
      <w:contextualSpacing/>
    </w:pPr>
  </w:style>
  <w:style w:type="character" w:styleId="IntenseEmphasis">
    <w:name w:val="Intense Emphasis"/>
    <w:basedOn w:val="DefaultParagraphFont"/>
    <w:uiPriority w:val="21"/>
    <w:qFormat/>
    <w:rsid w:val="00D77E5F"/>
    <w:rPr>
      <w:i/>
      <w:iCs/>
      <w:color w:val="2E74B5" w:themeColor="accent1" w:themeShade="BF"/>
    </w:rPr>
  </w:style>
  <w:style w:type="paragraph" w:styleId="IntenseQuote">
    <w:name w:val="Intense Quote"/>
    <w:basedOn w:val="Normal"/>
    <w:next w:val="Normal"/>
    <w:link w:val="IntenseQuoteChar"/>
    <w:uiPriority w:val="30"/>
    <w:qFormat/>
    <w:rsid w:val="00D77E5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77E5F"/>
    <w:rPr>
      <w:rFonts w:ascii="Times New Roman" w:hAnsi="Times New Roman"/>
      <w:i/>
      <w:iCs/>
      <w:color w:val="2E74B5" w:themeColor="accent1" w:themeShade="BF"/>
      <w:sz w:val="28"/>
    </w:rPr>
  </w:style>
  <w:style w:type="character" w:styleId="IntenseReference">
    <w:name w:val="Intense Reference"/>
    <w:basedOn w:val="DefaultParagraphFont"/>
    <w:uiPriority w:val="32"/>
    <w:qFormat/>
    <w:rsid w:val="00D77E5F"/>
    <w:rPr>
      <w:b/>
      <w:bCs/>
      <w:smallCaps/>
      <w:color w:val="2E74B5" w:themeColor="accent1" w:themeShade="BF"/>
      <w:spacing w:val="5"/>
    </w:rPr>
  </w:style>
  <w:style w:type="table" w:customStyle="1" w:styleId="1">
    <w:name w:val="1"/>
    <w:basedOn w:val="TableNormal"/>
    <w:rsid w:val="00D77E5F"/>
    <w:pPr>
      <w:spacing w:line="240" w:lineRule="auto"/>
    </w:pPr>
    <w:rPr>
      <w:rFonts w:ascii="Times New Roman" w:eastAsia="Times New Roman" w:hAnsi="Times New Roman" w:cs="Times New Roman"/>
      <w:sz w:val="28"/>
      <w:szCs w:val="28"/>
      <w:lang w:val="en"/>
    </w:rPr>
    <w:tblPr>
      <w:tblStyleRowBandSize w:val="1"/>
      <w:tblStyleColBandSize w:val="1"/>
      <w:tblInd w:w="0" w:type="nil"/>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287</Words>
  <Characters>1637</Characters>
  <Application>Microsoft Office Word</Application>
  <DocSecurity>0</DocSecurity>
  <Lines>13</Lines>
  <Paragraphs>3</Paragraphs>
  <ScaleCrop>false</ScaleCrop>
  <Company/>
  <LinksUpToDate>false</LinksUpToDate>
  <CharactersWithSpaces>1921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CHULUMANCO HLALUKANA</dc:creator>
  <cp:keywords/>
  <dc:description/>
  <cp:lastModifiedBy>CHULUMANCO HLALUKANA</cp:lastModifiedBy>
  <cp:revision>1</cp:revision>
  <dcterms:created xsi:type="dcterms:W3CDTF">2026-06-17T18:43:00Z</dcterms:created>
  <dcterms:modified xsi:type="dcterms:W3CDTF">2026-06-17T20:30:00Z</dcterms:modified>
</cp:coreProperties>
</file>