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Aptos" w:hAnsi="Aptos"/>
          <w:b/>
          <w:color w:val="14283D"/>
          <w:sz w:val="62"/>
        </w:rPr>
        <w:t>SAFEGUARD</w:t>
      </w:r>
      <w:r>
        <w:rPr>
          <w:rFonts w:ascii="Aptos" w:hAnsi="Aptos"/>
          <w:b/>
          <w:color w:val="057A80"/>
          <w:sz w:val="62"/>
        </w:rPr>
        <w:t xml:space="preserve"> SA</w:t>
      </w:r>
    </w:p>
    <w:p>
      <w:pPr>
        <w:spacing w:after="300"/>
      </w:pPr>
      <w:r>
        <w:rPr>
          <w:rFonts w:ascii="Aptos" w:hAnsi="Aptos"/>
          <w:b w:val="0"/>
          <w:color w:val="42576D"/>
          <w:sz w:val="30"/>
        </w:rPr>
        <w:t>From reported danger to verified protection.</w:t>
      </w:r>
    </w:p>
    <w:p>
      <w:pPr>
        <w:spacing w:after="320"/>
      </w:pPr>
      <w:r>
        <w:rPr>
          <w:rFonts w:ascii="Aptos" w:hAnsi="Aptos"/>
          <w:b/>
          <w:color w:val="057A80"/>
          <w:sz w:val="19"/>
        </w:rPr>
        <w:t>G13 CHALLENGE 12  /  FAILING &amp; DISTRESSED INFRASTRUCTURE</w:t>
      </w:r>
    </w:p>
    <w:tbl>
      <w:tblPr>
        <w:tblW w:type="auto" w:w="0"/>
        <w:tblLayout w:type="fixed"/>
        <w:tblLook w:firstColumn="1" w:firstRow="1" w:lastColumn="0" w:lastRow="0" w:noHBand="0" w:noVBand="1" w:val="04A0"/>
      </w:tblPr>
      <w:tblGrid>
        <w:gridCol w:w="9936"/>
      </w:tblGrid>
      <w:tr>
        <w:tc>
          <w:tcPr>
            <w:tcW w:type="dxa" w:w="9721"/>
            <w:shd w:fill="E7F5F3"/>
            <w:tcMar>
              <w:top w:w="130" w:type="dxa"/>
              <w:start w:w="170" w:type="dxa"/>
              <w:bottom w:w="130" w:type="dxa"/>
              <w:end w:w="170" w:type="dxa"/>
            </w:tcMar>
          </w:tcPr>
          <w:p>
            <w:pPr>
              <w:spacing w:after="80"/>
            </w:pPr>
            <w:r>
              <w:rPr>
                <w:rFonts w:ascii="Aptos" w:hAnsi="Aptos"/>
                <w:b/>
                <w:color w:val="057A80"/>
                <w:sz w:val="16"/>
              </w:rPr>
              <w:t>THE CORE PROPOSITION</w:t>
            </w:r>
          </w:p>
          <w:p>
            <w:pPr>
              <w:spacing w:after="0" w:line="276" w:lineRule="auto"/>
            </w:pPr>
            <w:r>
              <w:rPr>
                <w:rFonts w:ascii="Aptos" w:hAnsi="Aptos"/>
                <w:b w:val="0"/>
                <w:color w:val="14283D"/>
                <w:sz w:val="20"/>
              </w:rPr>
              <w:t>Known public-infrastructure hazards must not simply wait in a repair queue. Communities need a traceable process for urgent assessment, temporary protective action, and verified permanent resolution.</w:t>
            </w:r>
          </w:p>
        </w:tc>
      </w:tr>
    </w:tbl>
    <w:p>
      <w:pPr>
        <w:spacing w:before="0" w:after="20" w:line="271" w:lineRule="auto"/>
      </w:pPr>
      <w:r>
        <w:rPr>
          <w:rFonts w:ascii="Aptos" w:hAnsi="Aptos"/>
          <w:b w:val="0"/>
          <w:color w:val="14283D"/>
          <w:sz w:val="6"/>
        </w:rPr>
      </w:r>
    </w:p>
    <w:p>
      <w:pPr>
        <w:pStyle w:val="Heading2"/>
        <w:spacing w:before="180" w:after="120"/>
      </w:pPr>
      <w:r>
        <w:rPr>
          <w:rFonts w:ascii="Aptos" w:hAnsi="Aptos"/>
          <w:b/>
          <w:color w:val="057A80"/>
          <w:sz w:val="24"/>
        </w:rPr>
        <w:t xml:space="preserve">01  </w:t>
      </w:r>
      <w:r>
        <w:rPr>
          <w:rFonts w:ascii="Aptos" w:hAnsi="Aptos"/>
          <w:b/>
          <w:color w:val="14283D"/>
          <w:sz w:val="24"/>
        </w:rPr>
        <w:t>Executive summary</w:t>
      </w:r>
    </w:p>
    <w:p>
      <w:pPr>
        <w:spacing w:before="0" w:after="200" w:line="283" w:lineRule="auto"/>
      </w:pPr>
      <w:r>
        <w:rPr>
          <w:rFonts w:ascii="Aptos" w:hAnsi="Aptos"/>
          <w:b w:val="0"/>
          <w:color w:val="14283D"/>
          <w:sz w:val="19"/>
        </w:rPr>
        <w:t>SafeGuard SA is a proposed mobile-friendly safety coordination platform for dangerous public infrastructure: open manholes, exposed electrical installations, damaged walkways, unsafe public structures, and serious sanitation hazards. Residents and community workers report a hazard; authorised officials review and route it; qualified teams record temporary protection and permanent repairs; inspectors verify the outcome. The platform makes outstanding risks visible without pretending that an app can repair infrastructure by itself.</w:t>
      </w:r>
    </w:p>
    <w:p>
      <w:pPr>
        <w:pStyle w:val="Heading2"/>
        <w:spacing w:before="60" w:after="120"/>
      </w:pPr>
      <w:r>
        <w:rPr>
          <w:rFonts w:ascii="Aptos" w:hAnsi="Aptos"/>
          <w:b/>
          <w:color w:val="057A80"/>
          <w:sz w:val="24"/>
        </w:rPr>
        <w:t xml:space="preserve">02  </w:t>
      </w:r>
      <w:r>
        <w:rPr>
          <w:rFonts w:ascii="Aptos" w:hAnsi="Aptos"/>
          <w:b/>
          <w:color w:val="14283D"/>
          <w:sz w:val="24"/>
        </w:rPr>
        <w:t>The exact problem</w:t>
      </w:r>
    </w:p>
    <w:p>
      <w:pPr>
        <w:spacing w:before="0" w:after="180" w:line="283" w:lineRule="auto"/>
      </w:pPr>
      <w:r>
        <w:rPr>
          <w:rFonts w:ascii="Aptos" w:hAnsi="Aptos"/>
          <w:b w:val="0"/>
          <w:color w:val="14283D"/>
          <w:sz w:val="19"/>
        </w:rPr>
        <w:t>South African residents can report infrastructure faults through municipal channels, but a logged complaint does not, by itself, prove that an active danger has been contained. During the wait for repairs, pedestrians and nearby residents may remain exposed. SafeGuard SA targets this safety-management interval: from discovery of a hazard to verified protection and repair.</w:t>
      </w:r>
    </w:p>
    <w:p>
      <w:pPr>
        <w:spacing w:before="140" w:after="80"/>
      </w:pPr>
      <w:r>
        <w:rPr>
          <w:rFonts w:ascii="Aptos" w:hAnsi="Aptos"/>
          <w:b/>
          <w:color w:val="057A80"/>
          <w:sz w:val="16"/>
        </w:rPr>
        <w:t>WHAT SUCCESS WOULD LOOK LIKE</w:t>
      </w:r>
    </w:p>
    <w:tbl>
      <w:tblPr>
        <w:tblW w:type="auto" w:w="0"/>
        <w:jc w:val="center"/>
        <w:tblLayout w:type="fixed"/>
        <w:tblLook w:firstColumn="1" w:firstRow="1" w:lastColumn="0" w:lastRow="0" w:noHBand="0" w:noVBand="1" w:val="04A0"/>
      </w:tblPr>
      <w:tblGrid>
        <w:gridCol w:w="3168"/>
        <w:gridCol w:w="3226"/>
        <w:gridCol w:w="3240"/>
      </w:tblGrid>
      <w:tr>
        <w:trPr>
          <w:tblHeader w:val="true"/>
        </w:trPr>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SAFETY</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ACCOUNTABILITY</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PREVENTION</w:t>
            </w:r>
          </w:p>
        </w:tc>
      </w:tr>
      <w:tr>
        <w:tc>
          <w:tcPr>
            <w:tcW w:type="dxa" w:w="3168"/>
            <w:tcMar>
              <w:top w:w="90" w:type="dxa"/>
              <w:start w:w="105" w:type="dxa"/>
              <w:bottom w:w="90" w:type="dxa"/>
              <w:end w:w="105" w:type="dxa"/>
            </w:tcMar>
            <w:vAlign w:val="center"/>
            <w:shd w:fill="F2F6F8"/>
          </w:tcPr>
          <w:p>
            <w:pPr>
              <w:spacing w:line="262" w:lineRule="auto" w:after="0"/>
            </w:pPr>
            <w:r>
              <w:rPr>
                <w:rFonts w:ascii="Aptos" w:hAnsi="Aptos"/>
                <w:b/>
                <w:color w:val="14283D"/>
                <w:sz w:val="17"/>
              </w:rPr>
              <w:t>Shorter time between report and verified interim protection.</w:t>
            </w:r>
          </w:p>
        </w:tc>
        <w:tc>
          <w:tcPr>
            <w:tcW w:type="dxa" w:w="3226"/>
            <w:tcMar>
              <w:top w:w="90" w:type="dxa"/>
              <w:start w:w="105" w:type="dxa"/>
              <w:bottom w:w="90" w:type="dxa"/>
              <w:end w:w="105" w:type="dxa"/>
            </w:tcMar>
            <w:vAlign w:val="center"/>
            <w:shd w:fill="F2F6F8"/>
          </w:tcPr>
          <w:p>
            <w:pPr>
              <w:spacing w:line="262" w:lineRule="auto" w:after="0"/>
            </w:pPr>
            <w:r>
              <w:rPr>
                <w:rFonts w:ascii="Aptos" w:hAnsi="Aptos"/>
                <w:b w:val="0"/>
                <w:color w:val="42576D"/>
                <w:sz w:val="17"/>
              </w:rPr>
              <w:t>A clear owner, status, action history and evidence for each hazard.</w:t>
            </w:r>
          </w:p>
        </w:tc>
        <w:tc>
          <w:tcPr>
            <w:tcW w:type="dxa" w:w="3240"/>
            <w:tcMar>
              <w:top w:w="90" w:type="dxa"/>
              <w:start w:w="105" w:type="dxa"/>
              <w:bottom w:w="90" w:type="dxa"/>
              <w:end w:w="105" w:type="dxa"/>
            </w:tcMar>
            <w:vAlign w:val="center"/>
            <w:shd w:fill="F2F6F8"/>
          </w:tcPr>
          <w:p>
            <w:pPr>
              <w:spacing w:line="262" w:lineRule="auto" w:after="0"/>
            </w:pPr>
            <w:r>
              <w:rPr>
                <w:rFonts w:ascii="Aptos" w:hAnsi="Aptos"/>
                <w:b w:val="0"/>
                <w:color w:val="42576D"/>
                <w:sz w:val="17"/>
              </w:rPr>
              <w:t>Repeat-risk visibility and scheduled inspection for high-risk assets.</w:t>
            </w:r>
          </w:p>
        </w:tc>
      </w:tr>
    </w:tbl>
    <w:p>
      <w:pPr>
        <w:spacing w:before="0" w:after="0" w:line="271" w:lineRule="auto"/>
      </w:pPr>
      <w:r>
        <w:rPr>
          <w:rFonts w:ascii="Aptos" w:hAnsi="Aptos"/>
          <w:b w:val="0"/>
          <w:color w:val="14283D"/>
          <w:sz w:val="6"/>
        </w:rPr>
      </w:r>
    </w:p>
    <w:p>
      <w:pPr>
        <w:spacing w:before="140" w:after="80"/>
      </w:pPr>
      <w:r>
        <w:rPr>
          <w:rFonts w:ascii="Aptos" w:hAnsi="Aptos"/>
          <w:b/>
          <w:color w:val="057A80"/>
          <w:sz w:val="16"/>
        </w:rPr>
        <w:t>CHALLENGE FIT</w:t>
      </w:r>
    </w:p>
    <w:p>
      <w:pPr>
        <w:spacing w:before="0" w:after="100" w:line="271" w:lineRule="auto"/>
      </w:pPr>
      <w:r>
        <w:rPr>
          <w:rFonts w:ascii="Aptos" w:hAnsi="Aptos"/>
          <w:b w:val="0"/>
          <w:color w:val="14283D"/>
          <w:sz w:val="18"/>
        </w:rPr>
        <w:t>The 2026 Gauteng State of the Province Address identifies G12 as “failing/distressed infrastructure projects and CBDs.” SafeGuard SA addresses the public-safety consequences of deteriorating physical infrastructure. Final challenge eligibility and team-size rules remain subject to organiser confirmation. [1]</w:t>
      </w:r>
    </w:p>
    <w:p>
      <w:r>
        <w:br w:type="page"/>
      </w:r>
    </w:p>
    <w:p>
      <w:pPr>
        <w:pStyle w:val="Heading2"/>
        <w:spacing w:before="140" w:after="120"/>
      </w:pPr>
      <w:r>
        <w:rPr>
          <w:rFonts w:ascii="Aptos" w:hAnsi="Aptos"/>
          <w:b/>
          <w:color w:val="057A80"/>
          <w:sz w:val="24"/>
        </w:rPr>
        <w:t xml:space="preserve">03  </w:t>
      </w:r>
      <w:r>
        <w:rPr>
          <w:rFonts w:ascii="Aptos" w:hAnsi="Aptos"/>
          <w:b/>
          <w:color w:val="14283D"/>
          <w:sz w:val="24"/>
        </w:rPr>
        <w:t>Why this problem is real</w:t>
      </w:r>
    </w:p>
    <w:tbl>
      <w:tblPr>
        <w:tblW w:type="auto" w:w="0"/>
        <w:tblLayout w:type="fixed"/>
        <w:tblLook w:firstColumn="1" w:firstRow="1" w:lastColumn="0" w:lastRow="0" w:noHBand="0" w:noVBand="1" w:val="04A0"/>
      </w:tblPr>
      <w:tblGrid>
        <w:gridCol w:w="9936"/>
      </w:tblGrid>
      <w:tr>
        <w:tc>
          <w:tcPr>
            <w:tcW w:type="dxa" w:w="9721"/>
            <w:shd w:fill="FEF1EA"/>
            <w:tcMar>
              <w:top w:w="130" w:type="dxa"/>
              <w:start w:w="170" w:type="dxa"/>
              <w:bottom w:w="130" w:type="dxa"/>
              <w:end w:w="170" w:type="dxa"/>
            </w:tcMar>
          </w:tcPr>
          <w:p>
            <w:pPr>
              <w:spacing w:after="80"/>
            </w:pPr>
            <w:r>
              <w:rPr>
                <w:rFonts w:ascii="Aptos" w:hAnsi="Aptos"/>
                <w:b/>
                <w:color w:val="B95434"/>
                <w:sz w:val="16"/>
              </w:rPr>
              <w:t>DOCUMENTED RISK</w:t>
            </w:r>
          </w:p>
          <w:p>
            <w:pPr>
              <w:spacing w:after="0" w:line="276" w:lineRule="auto"/>
            </w:pPr>
            <w:r>
              <w:rPr>
                <w:rFonts w:ascii="Aptos" w:hAnsi="Aptos"/>
                <w:b w:val="0"/>
                <w:color w:val="14283D"/>
                <w:sz w:val="20"/>
              </w:rPr>
              <w:t>Johannesburg Water stated in April 2025 that stolen or vandalised manhole infrastructure poses grave public-safety risks and that missing covers have contributed to deaths. Its response includes planned smart covers and other security measures. [2]</w:t>
            </w:r>
          </w:p>
        </w:tc>
      </w:tr>
    </w:tbl>
    <w:p>
      <w:pPr>
        <w:spacing w:before="0" w:after="20" w:line="271" w:lineRule="auto"/>
      </w:pPr>
      <w:r>
        <w:rPr>
          <w:rFonts w:ascii="Aptos" w:hAnsi="Aptos"/>
          <w:b w:val="0"/>
          <w:color w:val="14283D"/>
          <w:sz w:val="6"/>
        </w:rPr>
      </w:r>
    </w:p>
    <w:p>
      <w:pPr>
        <w:spacing w:before="0" w:after="160" w:line="271" w:lineRule="auto"/>
      </w:pPr>
      <w:r>
        <w:rPr>
          <w:rFonts w:ascii="Aptos" w:hAnsi="Aptos"/>
          <w:b w:val="0"/>
          <w:color w:val="14283D"/>
          <w:sz w:val="18"/>
        </w:rPr>
        <w:t>In Khutsong, Gauteng, a two-year-old child died after falling into an open, water-filled manhole in September 2025. News reporting recorded residents’ claims that the danger had been reported earlier; the municipality said it would investigate the circumstances. This illustrates the stakes, but does not establish the cause of every infrastructure incident. [3]</w:t>
      </w:r>
    </w:p>
    <w:p>
      <w:pPr>
        <w:pStyle w:val="Heading2"/>
        <w:spacing w:before="180" w:after="120"/>
      </w:pPr>
      <w:r>
        <w:rPr>
          <w:rFonts w:ascii="Aptos" w:hAnsi="Aptos"/>
          <w:b/>
          <w:color w:val="057A80"/>
          <w:sz w:val="24"/>
        </w:rPr>
        <w:t xml:space="preserve">04  </w:t>
      </w:r>
      <w:r>
        <w:rPr>
          <w:rFonts w:ascii="Aptos" w:hAnsi="Aptos"/>
          <w:b/>
          <w:color w:val="14283D"/>
          <w:sz w:val="24"/>
        </w:rPr>
        <w:t>Who experiences the problem?</w:t>
      </w:r>
    </w:p>
    <w:tbl>
      <w:tblPr>
        <w:tblW w:type="auto" w:w="0"/>
        <w:jc w:val="center"/>
        <w:tblLayout w:type="fixed"/>
        <w:tblLook w:firstColumn="1" w:firstRow="1" w:lastColumn="0" w:lastRow="0" w:noHBand="0" w:noVBand="1" w:val="04A0"/>
      </w:tblPr>
      <w:tblGrid>
        <w:gridCol w:w="3082"/>
        <w:gridCol w:w="6552"/>
      </w:tblGrid>
      <w:tr>
        <w:trPr>
          <w:tblHeader w:val="true"/>
        </w:trPr>
        <w:tc>
          <w:tcPr>
            <w:tcW w:type="dxa" w:w="4860"/>
            <w:shd w:fill="14283D"/>
            <w:tcMar>
              <w:top w:w="90" w:type="dxa"/>
              <w:start w:w="105" w:type="dxa"/>
              <w:bottom w:w="90" w:type="dxa"/>
              <w:end w:w="105" w:type="dxa"/>
            </w:tcMar>
            <w:vAlign w:val="center"/>
          </w:tcPr>
          <w:p>
            <w:pPr>
              <w:spacing w:after="0"/>
            </w:pPr>
            <w:r>
              <w:rPr>
                <w:rFonts w:ascii="Aptos" w:hAnsi="Aptos"/>
                <w:b/>
                <w:color w:val="FFFFFF"/>
                <w:sz w:val="16"/>
              </w:rPr>
              <w:t>USER</w:t>
            </w:r>
          </w:p>
        </w:tc>
        <w:tc>
          <w:tcPr>
            <w:tcW w:type="dxa" w:w="4860"/>
            <w:shd w:fill="14283D"/>
            <w:tcMar>
              <w:top w:w="90" w:type="dxa"/>
              <w:start w:w="105" w:type="dxa"/>
              <w:bottom w:w="90" w:type="dxa"/>
              <w:end w:w="105" w:type="dxa"/>
            </w:tcMar>
            <w:vAlign w:val="center"/>
          </w:tcPr>
          <w:p>
            <w:pPr>
              <w:spacing w:after="0"/>
            </w:pPr>
            <w:r>
              <w:rPr>
                <w:rFonts w:ascii="Aptos" w:hAnsi="Aptos"/>
                <w:b/>
                <w:color w:val="FFFFFF"/>
                <w:sz w:val="16"/>
              </w:rPr>
              <w:t>EXPOSURE OR RESPONSIBILITY</w:t>
            </w:r>
          </w:p>
        </w:tc>
      </w:tr>
      <w:tr>
        <w:tc>
          <w:tcPr>
            <w:tcW w:type="dxa" w:w="3082"/>
            <w:tcMar>
              <w:top w:w="90" w:type="dxa"/>
              <w:start w:w="105" w:type="dxa"/>
              <w:bottom w:w="90" w:type="dxa"/>
              <w:end w:w="105" w:type="dxa"/>
            </w:tcMar>
            <w:vAlign w:val="center"/>
            <w:shd w:fill="F2F6F8"/>
          </w:tcPr>
          <w:p>
            <w:pPr>
              <w:spacing w:line="262" w:lineRule="auto" w:after="0"/>
            </w:pPr>
            <w:r>
              <w:rPr>
                <w:rFonts w:ascii="Aptos" w:hAnsi="Aptos"/>
                <w:b/>
                <w:color w:val="14283D"/>
                <w:sz w:val="17"/>
              </w:rPr>
              <w:t>Residents and pedestrians</w:t>
            </w:r>
          </w:p>
        </w:tc>
        <w:tc>
          <w:tcPr>
            <w:tcW w:type="dxa" w:w="6552"/>
            <w:tcMar>
              <w:top w:w="90" w:type="dxa"/>
              <w:start w:w="105" w:type="dxa"/>
              <w:bottom w:w="90" w:type="dxa"/>
              <w:end w:w="105" w:type="dxa"/>
            </w:tcMar>
            <w:vAlign w:val="center"/>
            <w:shd w:fill="F2F6F8"/>
          </w:tcPr>
          <w:p>
            <w:pPr>
              <w:spacing w:line="262" w:lineRule="auto" w:after="0"/>
            </w:pPr>
            <w:r>
              <w:rPr>
                <w:rFonts w:ascii="Aptos" w:hAnsi="Aptos"/>
                <w:b w:val="0"/>
                <w:color w:val="42576D"/>
                <w:sz w:val="17"/>
              </w:rPr>
              <w:t>Children, older people, people with disabilities, commuters and households near dangerous public infrastructure.</w:t>
            </w:r>
          </w:p>
        </w:tc>
      </w:tr>
      <w:tr>
        <w:tc>
          <w:tcPr>
            <w:tcW w:type="dxa" w:w="3082"/>
            <w:tcMar>
              <w:top w:w="90" w:type="dxa"/>
              <w:start w:w="105" w:type="dxa"/>
              <w:bottom w:w="90" w:type="dxa"/>
              <w:end w:w="105" w:type="dxa"/>
            </w:tcMar>
            <w:vAlign w:val="center"/>
          </w:tcPr>
          <w:p>
            <w:pPr>
              <w:spacing w:line="262" w:lineRule="auto" w:after="0"/>
            </w:pPr>
            <w:r>
              <w:rPr>
                <w:rFonts w:ascii="Aptos" w:hAnsi="Aptos"/>
                <w:b/>
                <w:color w:val="14283D"/>
                <w:sz w:val="17"/>
              </w:rPr>
              <w:t>Community safety workers</w:t>
            </w:r>
          </w:p>
        </w:tc>
        <w:tc>
          <w:tcPr>
            <w:tcW w:type="dxa" w:w="6552"/>
            <w:tcMar>
              <w:top w:w="90" w:type="dxa"/>
              <w:start w:w="105" w:type="dxa"/>
              <w:bottom w:w="90" w:type="dxa"/>
              <w:end w:w="105" w:type="dxa"/>
            </w:tcMar>
            <w:vAlign w:val="center"/>
          </w:tcPr>
          <w:p>
            <w:pPr>
              <w:spacing w:line="262" w:lineRule="auto" w:after="0"/>
            </w:pPr>
            <w:r>
              <w:rPr>
                <w:rFonts w:ascii="Aptos" w:hAnsi="Aptos"/>
                <w:b w:val="0"/>
                <w:color w:val="42576D"/>
                <w:sz w:val="17"/>
              </w:rPr>
              <w:t>Need a safe way to verify observations and communicate continuing hazards.</w:t>
            </w:r>
          </w:p>
        </w:tc>
      </w:tr>
      <w:tr>
        <w:tc>
          <w:tcPr>
            <w:tcW w:type="dxa" w:w="3082"/>
            <w:tcMar>
              <w:top w:w="90" w:type="dxa"/>
              <w:start w:w="105" w:type="dxa"/>
              <w:bottom w:w="90" w:type="dxa"/>
              <w:end w:w="105" w:type="dxa"/>
            </w:tcMar>
            <w:vAlign w:val="center"/>
            <w:shd w:fill="F2F6F8"/>
          </w:tcPr>
          <w:p>
            <w:pPr>
              <w:spacing w:line="262" w:lineRule="auto" w:after="0"/>
            </w:pPr>
            <w:r>
              <w:rPr>
                <w:rFonts w:ascii="Aptos" w:hAnsi="Aptos"/>
                <w:b/>
                <w:color w:val="14283D"/>
                <w:sz w:val="17"/>
              </w:rPr>
              <w:t>Municipal departments</w:t>
            </w:r>
          </w:p>
        </w:tc>
        <w:tc>
          <w:tcPr>
            <w:tcW w:type="dxa" w:w="6552"/>
            <w:tcMar>
              <w:top w:w="90" w:type="dxa"/>
              <w:start w:w="105" w:type="dxa"/>
              <w:bottom w:w="90" w:type="dxa"/>
              <w:end w:w="105" w:type="dxa"/>
            </w:tcMar>
            <w:vAlign w:val="center"/>
            <w:shd w:fill="F2F6F8"/>
          </w:tcPr>
          <w:p>
            <w:pPr>
              <w:spacing w:line="262" w:lineRule="auto" w:after="0"/>
            </w:pPr>
            <w:r>
              <w:rPr>
                <w:rFonts w:ascii="Aptos" w:hAnsi="Aptos"/>
                <w:b w:val="0"/>
                <w:color w:val="42576D"/>
                <w:sz w:val="17"/>
              </w:rPr>
              <w:t>Must classify reports, allocate responsible teams and document decisions.</w:t>
            </w:r>
          </w:p>
        </w:tc>
      </w:tr>
      <w:tr>
        <w:tc>
          <w:tcPr>
            <w:tcW w:type="dxa" w:w="3082"/>
            <w:tcMar>
              <w:top w:w="90" w:type="dxa"/>
              <w:start w:w="105" w:type="dxa"/>
              <w:bottom w:w="90" w:type="dxa"/>
              <w:end w:w="105" w:type="dxa"/>
            </w:tcMar>
            <w:vAlign w:val="center"/>
          </w:tcPr>
          <w:p>
            <w:pPr>
              <w:spacing w:line="262" w:lineRule="auto" w:after="0"/>
            </w:pPr>
            <w:r>
              <w:rPr>
                <w:rFonts w:ascii="Aptos" w:hAnsi="Aptos"/>
                <w:b/>
                <w:color w:val="14283D"/>
                <w:sz w:val="17"/>
              </w:rPr>
              <w:t>Maintenance / emergency teams</w:t>
            </w:r>
          </w:p>
        </w:tc>
        <w:tc>
          <w:tcPr>
            <w:tcW w:type="dxa" w:w="6552"/>
            <w:tcMar>
              <w:top w:w="90" w:type="dxa"/>
              <w:start w:w="105" w:type="dxa"/>
              <w:bottom w:w="90" w:type="dxa"/>
              <w:end w:w="105" w:type="dxa"/>
            </w:tcMar>
            <w:vAlign w:val="center"/>
          </w:tcPr>
          <w:p>
            <w:pPr>
              <w:spacing w:line="262" w:lineRule="auto" w:after="0"/>
            </w:pPr>
            <w:r>
              <w:rPr>
                <w:rFonts w:ascii="Aptos" w:hAnsi="Aptos"/>
                <w:b w:val="0"/>
                <w:color w:val="42576D"/>
                <w:sz w:val="17"/>
              </w:rPr>
              <w:t>Need a clear work queue, safe site instructions and evidence of temporary measures and completed work.</w:t>
            </w:r>
          </w:p>
        </w:tc>
      </w:tr>
      <w:tr>
        <w:tc>
          <w:tcPr>
            <w:tcW w:type="dxa" w:w="3082"/>
            <w:tcMar>
              <w:top w:w="90" w:type="dxa"/>
              <w:start w:w="105" w:type="dxa"/>
              <w:bottom w:w="90" w:type="dxa"/>
              <w:end w:w="105" w:type="dxa"/>
            </w:tcMar>
            <w:vAlign w:val="center"/>
            <w:shd w:fill="F2F6F8"/>
          </w:tcPr>
          <w:p>
            <w:pPr>
              <w:spacing w:line="262" w:lineRule="auto" w:after="0"/>
            </w:pPr>
            <w:r>
              <w:rPr>
                <w:rFonts w:ascii="Aptos" w:hAnsi="Aptos"/>
                <w:b/>
                <w:color w:val="14283D"/>
                <w:sz w:val="17"/>
              </w:rPr>
              <w:t>Qualified inspectors</w:t>
            </w:r>
          </w:p>
        </w:tc>
        <w:tc>
          <w:tcPr>
            <w:tcW w:type="dxa" w:w="6552"/>
            <w:tcMar>
              <w:top w:w="90" w:type="dxa"/>
              <w:start w:w="105" w:type="dxa"/>
              <w:bottom w:w="90" w:type="dxa"/>
              <w:end w:w="105" w:type="dxa"/>
            </w:tcMar>
            <w:vAlign w:val="center"/>
            <w:shd w:fill="F2F6F8"/>
          </w:tcPr>
          <w:p>
            <w:pPr>
              <w:spacing w:line="262" w:lineRule="auto" w:after="0"/>
            </w:pPr>
            <w:r>
              <w:rPr>
                <w:rFonts w:ascii="Aptos" w:hAnsi="Aptos"/>
                <w:b w:val="0"/>
                <w:color w:val="42576D"/>
                <w:sz w:val="17"/>
              </w:rPr>
              <w:t>Must determine whether protective measures or permanent repairs are adequate.</w:t>
            </w:r>
          </w:p>
        </w:tc>
      </w:tr>
    </w:tbl>
    <w:p>
      <w:pPr>
        <w:spacing w:before="0" w:after="0" w:line="271" w:lineRule="auto"/>
      </w:pPr>
      <w:r>
        <w:rPr>
          <w:rFonts w:ascii="Aptos" w:hAnsi="Aptos"/>
          <w:b w:val="0"/>
          <w:color w:val="14283D"/>
          <w:sz w:val="6"/>
        </w:rPr>
      </w:r>
    </w:p>
    <w:p>
      <w:pPr>
        <w:pStyle w:val="Heading2"/>
        <w:spacing w:before="140" w:after="120"/>
      </w:pPr>
      <w:r>
        <w:rPr>
          <w:rFonts w:ascii="Aptos" w:hAnsi="Aptos"/>
          <w:b/>
          <w:color w:val="057A80"/>
          <w:sz w:val="24"/>
        </w:rPr>
        <w:t xml:space="preserve">05  </w:t>
      </w:r>
      <w:r>
        <w:rPr>
          <w:rFonts w:ascii="Aptos" w:hAnsi="Aptos"/>
          <w:b/>
          <w:color w:val="14283D"/>
          <w:sz w:val="24"/>
        </w:rPr>
        <w:t>Existing products and the gap to test</w:t>
      </w:r>
    </w:p>
    <w:tbl>
      <w:tblPr>
        <w:tblW w:type="auto" w:w="0"/>
        <w:jc w:val="center"/>
        <w:tblLayout w:type="fixed"/>
        <w:tblLook w:firstColumn="1" w:firstRow="1" w:lastColumn="0" w:lastRow="0" w:noHBand="0" w:noVBand="1" w:val="04A0"/>
      </w:tblPr>
      <w:tblGrid>
        <w:gridCol w:w="2520"/>
        <w:gridCol w:w="3370"/>
        <w:gridCol w:w="3744"/>
      </w:tblGrid>
      <w:tr>
        <w:trPr>
          <w:tblHeader w:val="true"/>
        </w:trPr>
        <w:tc>
          <w:tcPr>
            <w:tcW w:type="dxa" w:w="3240"/>
            <w:shd w:fill="14283D"/>
            <w:tcMar>
              <w:top w:w="90" w:type="dxa"/>
              <w:start w:w="105" w:type="dxa"/>
              <w:bottom w:w="90" w:type="dxa"/>
              <w:end w:w="105" w:type="dxa"/>
            </w:tcMar>
            <w:vAlign w:val="center"/>
          </w:tcPr>
          <w:p>
            <w:pPr>
              <w:spacing w:after="0"/>
            </w:pPr>
            <w:r>
              <w:rPr>
                <w:rFonts w:ascii="Aptos" w:hAnsi="Aptos"/>
                <w:b/>
                <w:color w:val="FFFFFF"/>
                <w:sz w:val="15"/>
              </w:rPr>
              <w:t>CURRENT ALTERNATIVE</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5"/>
              </w:rPr>
              <w:t>WHAT ALREADY EXISTS</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5"/>
              </w:rPr>
              <w:t>SAFEGUARD SA FOCUS</w:t>
            </w:r>
          </w:p>
        </w:tc>
      </w:tr>
      <w:tr>
        <w:tc>
          <w:tcPr>
            <w:tcW w:type="dxa" w:w="2520"/>
            <w:tcMar>
              <w:top w:w="90" w:type="dxa"/>
              <w:start w:w="105" w:type="dxa"/>
              <w:bottom w:w="90" w:type="dxa"/>
              <w:end w:w="105" w:type="dxa"/>
            </w:tcMar>
            <w:vAlign w:val="center"/>
            <w:shd w:fill="F2F6F8"/>
          </w:tcPr>
          <w:p>
            <w:pPr>
              <w:spacing w:line="262" w:lineRule="auto" w:after="0"/>
            </w:pPr>
            <w:r>
              <w:rPr>
                <w:rFonts w:ascii="Aptos" w:hAnsi="Aptos"/>
                <w:b/>
                <w:color w:val="14283D"/>
                <w:sz w:val="16"/>
              </w:rPr>
              <w:t>City of Johannesburg Central Service Delivery App [4]</w:t>
            </w:r>
          </w:p>
        </w:tc>
        <w:tc>
          <w:tcPr>
            <w:tcW w:type="dxa" w:w="3370"/>
            <w:tcMar>
              <w:top w:w="90" w:type="dxa"/>
              <w:start w:w="105" w:type="dxa"/>
              <w:bottom w:w="90" w:type="dxa"/>
              <w:end w:w="105" w:type="dxa"/>
            </w:tcMar>
            <w:vAlign w:val="center"/>
            <w:shd w:fill="F2F6F8"/>
          </w:tcPr>
          <w:p>
            <w:pPr>
              <w:spacing w:line="262" w:lineRule="auto" w:after="0"/>
            </w:pPr>
            <w:r>
              <w:rPr>
                <w:rFonts w:ascii="Aptos" w:hAnsi="Aptos"/>
                <w:b w:val="0"/>
                <w:color w:val="42576D"/>
                <w:sz w:val="16"/>
              </w:rPr>
              <w:t>Logs municipal faults, tracks progress, provides alerts.</w:t>
            </w:r>
          </w:p>
        </w:tc>
        <w:tc>
          <w:tcPr>
            <w:tcW w:type="dxa" w:w="3744"/>
            <w:tcMar>
              <w:top w:w="90" w:type="dxa"/>
              <w:start w:w="105" w:type="dxa"/>
              <w:bottom w:w="90" w:type="dxa"/>
              <w:end w:w="105" w:type="dxa"/>
            </w:tcMar>
            <w:vAlign w:val="center"/>
            <w:shd w:fill="F2F6F8"/>
          </w:tcPr>
          <w:p>
            <w:pPr>
              <w:spacing w:line="262" w:lineRule="auto" w:after="0"/>
            </w:pPr>
            <w:r>
              <w:rPr>
                <w:rFonts w:ascii="Aptos" w:hAnsi="Aptos"/>
                <w:b w:val="0"/>
                <w:color w:val="42576D"/>
                <w:sz w:val="16"/>
              </w:rPr>
              <w:t>Distinct record of interim hazard containment and sign-off.</w:t>
            </w:r>
          </w:p>
        </w:tc>
      </w:tr>
      <w:tr>
        <w:tc>
          <w:tcPr>
            <w:tcW w:type="dxa" w:w="2520"/>
            <w:tcMar>
              <w:top w:w="90" w:type="dxa"/>
              <w:start w:w="105" w:type="dxa"/>
              <w:bottom w:w="90" w:type="dxa"/>
              <w:end w:w="105" w:type="dxa"/>
            </w:tcMar>
            <w:vAlign w:val="center"/>
          </w:tcPr>
          <w:p>
            <w:pPr>
              <w:spacing w:line="262" w:lineRule="auto" w:after="0"/>
            </w:pPr>
            <w:r>
              <w:rPr>
                <w:rFonts w:ascii="Aptos" w:hAnsi="Aptos"/>
                <w:b/>
                <w:color w:val="14283D"/>
                <w:sz w:val="16"/>
              </w:rPr>
              <w:t>CityMenderSA [5]</w:t>
            </w:r>
          </w:p>
        </w:tc>
        <w:tc>
          <w:tcPr>
            <w:tcW w:type="dxa" w:w="3370"/>
            <w:tcMar>
              <w:top w:w="90" w:type="dxa"/>
              <w:start w:w="105" w:type="dxa"/>
              <w:bottom w:w="90" w:type="dxa"/>
              <w:end w:w="105" w:type="dxa"/>
            </w:tcMar>
            <w:vAlign w:val="center"/>
          </w:tcPr>
          <w:p>
            <w:pPr>
              <w:spacing w:line="262" w:lineRule="auto" w:after="0"/>
            </w:pPr>
            <w:r>
              <w:rPr>
                <w:rFonts w:ascii="Aptos" w:hAnsi="Aptos"/>
                <w:b w:val="0"/>
                <w:color w:val="42576D"/>
                <w:sz w:val="16"/>
              </w:rPr>
              <w:t>Map-based issues, priority scoring, public updates, escalation and hazard warnings.</w:t>
            </w:r>
          </w:p>
        </w:tc>
        <w:tc>
          <w:tcPr>
            <w:tcW w:type="dxa" w:w="3744"/>
            <w:tcMar>
              <w:top w:w="90" w:type="dxa"/>
              <w:start w:w="105" w:type="dxa"/>
              <w:bottom w:w="90" w:type="dxa"/>
              <w:end w:w="105" w:type="dxa"/>
            </w:tcMar>
            <w:vAlign w:val="center"/>
          </w:tcPr>
          <w:p>
            <w:pPr>
              <w:spacing w:line="262" w:lineRule="auto" w:after="0"/>
            </w:pPr>
            <w:r>
              <w:rPr>
                <w:rFonts w:ascii="Aptos" w:hAnsi="Aptos"/>
                <w:b w:val="0"/>
                <w:color w:val="42576D"/>
                <w:sz w:val="16"/>
              </w:rPr>
              <w:t>An authorised operational workflow for interim protective action, evidence and qualified clearance.</w:t>
            </w:r>
          </w:p>
        </w:tc>
      </w:tr>
      <w:tr>
        <w:tc>
          <w:tcPr>
            <w:tcW w:type="dxa" w:w="2520"/>
            <w:tcMar>
              <w:top w:w="90" w:type="dxa"/>
              <w:start w:w="105" w:type="dxa"/>
              <w:bottom w:w="90" w:type="dxa"/>
              <w:end w:w="105" w:type="dxa"/>
            </w:tcMar>
            <w:vAlign w:val="center"/>
            <w:shd w:fill="F2F6F8"/>
          </w:tcPr>
          <w:p>
            <w:pPr>
              <w:spacing w:line="262" w:lineRule="auto" w:after="0"/>
            </w:pPr>
            <w:r>
              <w:rPr>
                <w:rFonts w:ascii="Aptos" w:hAnsi="Aptos"/>
                <w:b/>
                <w:color w:val="14283D"/>
                <w:sz w:val="16"/>
              </w:rPr>
              <w:t>Fixlocal [6]</w:t>
            </w:r>
          </w:p>
        </w:tc>
        <w:tc>
          <w:tcPr>
            <w:tcW w:type="dxa" w:w="3370"/>
            <w:tcMar>
              <w:top w:w="90" w:type="dxa"/>
              <w:start w:w="105" w:type="dxa"/>
              <w:bottom w:w="90" w:type="dxa"/>
              <w:end w:w="105" w:type="dxa"/>
            </w:tcMar>
            <w:vAlign w:val="center"/>
            <w:shd w:fill="F2F6F8"/>
          </w:tcPr>
          <w:p>
            <w:pPr>
              <w:spacing w:line="262" w:lineRule="auto" w:after="0"/>
            </w:pPr>
            <w:r>
              <w:rPr>
                <w:rFonts w:ascii="Aptos" w:hAnsi="Aptos"/>
                <w:b w:val="0"/>
                <w:color w:val="42576D"/>
                <w:sz w:val="16"/>
              </w:rPr>
              <w:t>Reporting guidance, tracking, municipal escalation and community resources.</w:t>
            </w:r>
          </w:p>
        </w:tc>
        <w:tc>
          <w:tcPr>
            <w:tcW w:type="dxa" w:w="3744"/>
            <w:tcMar>
              <w:top w:w="90" w:type="dxa"/>
              <w:start w:w="105" w:type="dxa"/>
              <w:bottom w:w="90" w:type="dxa"/>
              <w:end w:w="105" w:type="dxa"/>
            </w:tcMar>
            <w:vAlign w:val="center"/>
            <w:shd w:fill="F2F6F8"/>
          </w:tcPr>
          <w:p>
            <w:pPr>
              <w:spacing w:line="262" w:lineRule="auto" w:after="0"/>
            </w:pPr>
            <w:r>
              <w:rPr>
                <w:rFonts w:ascii="Aptos" w:hAnsi="Aptos"/>
                <w:b w:val="0"/>
                <w:color w:val="42576D"/>
                <w:sz w:val="16"/>
              </w:rPr>
              <w:t>A dedicated safety-control process beyond civic reporting.</w:t>
            </w:r>
          </w:p>
        </w:tc>
      </w:tr>
    </w:tbl>
    <w:p>
      <w:pPr>
        <w:spacing w:before="0" w:after="0" w:line="271" w:lineRule="auto"/>
      </w:pPr>
      <w:r>
        <w:rPr>
          <w:rFonts w:ascii="Aptos" w:hAnsi="Aptos"/>
          <w:b w:val="0"/>
          <w:color w:val="14283D"/>
          <w:sz w:val="6"/>
        </w:rPr>
      </w:r>
    </w:p>
    <w:p>
      <w:pPr>
        <w:spacing w:before="0" w:after="0" w:line="271" w:lineRule="auto"/>
      </w:pPr>
      <w:r>
        <w:rPr>
          <w:rFonts w:ascii="Aptos" w:hAnsi="Aptos"/>
          <w:b w:val="0"/>
          <w:color w:val="42576D"/>
          <w:sz w:val="17"/>
        </w:rPr>
        <w:t>Differentiation is a proposal, not a verified market monopoly: existing tools are capable and some already support warnings, prioritisation and status tracking. The team must test whether municipal or contractor systems already document temporary protection and independent safety clearance in the same workflow.</w:t>
      </w:r>
    </w:p>
    <w:p>
      <w:r>
        <w:br w:type="page"/>
      </w:r>
    </w:p>
    <w:p>
      <w:pPr>
        <w:pStyle w:val="Heading2"/>
        <w:spacing w:before="140" w:after="120"/>
      </w:pPr>
      <w:r>
        <w:rPr>
          <w:rFonts w:ascii="Aptos" w:hAnsi="Aptos"/>
          <w:b/>
          <w:color w:val="057A80"/>
          <w:sz w:val="24"/>
        </w:rPr>
        <w:t xml:space="preserve">06  </w:t>
      </w:r>
      <w:r>
        <w:rPr>
          <w:rFonts w:ascii="Aptos" w:hAnsi="Aptos"/>
          <w:b/>
          <w:color w:val="14283D"/>
          <w:sz w:val="24"/>
        </w:rPr>
        <w:t>How the app works</w:t>
      </w:r>
    </w:p>
    <w:p>
      <w:pPr>
        <w:spacing w:before="0" w:after="160" w:line="271" w:lineRule="auto"/>
      </w:pPr>
      <w:r>
        <w:rPr>
          <w:rFonts w:ascii="Aptos" w:hAnsi="Aptos"/>
          <w:b w:val="0"/>
          <w:color w:val="14283D"/>
          <w:sz w:val="18"/>
        </w:rPr>
        <w:t>SafeGuard SA distinguishes two outcomes: (A) whether the hazard is temporarily protected, and (B) whether the underlying infrastructure is permanently repaired. A case cannot be marked “safe” by an unverified resident report.</w:t>
      </w:r>
    </w:p>
    <w:tbl>
      <w:tblPr>
        <w:tblW w:type="auto" w:w="0"/>
        <w:jc w:val="center"/>
        <w:tblLayout w:type="fixed"/>
        <w:tblLook w:firstColumn="1" w:firstRow="1" w:lastColumn="0" w:lastRow="0" w:noHBand="0" w:noVBand="1" w:val="04A0"/>
      </w:tblPr>
      <w:tblGrid>
        <w:gridCol w:w="1267"/>
        <w:gridCol w:w="6005"/>
        <w:gridCol w:w="2362"/>
      </w:tblGrid>
      <w:tr>
        <w:trPr>
          <w:tblHeader w:val="true"/>
        </w:trPr>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STEP</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ACTION IN THE APP</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RESPONSIBLE USER</w:t>
            </w:r>
          </w:p>
        </w:tc>
      </w:tr>
      <w:tr>
        <w:tc>
          <w:tcPr>
            <w:tcW w:type="dxa" w:w="1267"/>
            <w:tcMar>
              <w:top w:w="90" w:type="dxa"/>
              <w:start w:w="105" w:type="dxa"/>
              <w:bottom w:w="90" w:type="dxa"/>
              <w:end w:w="105" w:type="dxa"/>
            </w:tcMar>
            <w:vAlign w:val="center"/>
            <w:shd w:fill="F2F6F8"/>
          </w:tcPr>
          <w:p>
            <w:pPr>
              <w:spacing w:line="262" w:lineRule="auto" w:after="0"/>
            </w:pPr>
            <w:r>
              <w:rPr>
                <w:rFonts w:ascii="Aptos" w:hAnsi="Aptos"/>
                <w:b/>
                <w:color w:val="14283D"/>
                <w:sz w:val="16"/>
              </w:rPr>
              <w:t>01  Report</w:t>
            </w:r>
          </w:p>
        </w:tc>
        <w:tc>
          <w:tcPr>
            <w:tcW w:type="dxa" w:w="6005"/>
            <w:tcMar>
              <w:top w:w="90" w:type="dxa"/>
              <w:start w:w="105" w:type="dxa"/>
              <w:bottom w:w="90" w:type="dxa"/>
              <w:end w:w="105" w:type="dxa"/>
            </w:tcMar>
            <w:vAlign w:val="center"/>
            <w:shd w:fill="F2F6F8"/>
          </w:tcPr>
          <w:p>
            <w:pPr>
              <w:spacing w:line="262" w:lineRule="auto" w:after="0"/>
            </w:pPr>
            <w:r>
              <w:rPr>
                <w:rFonts w:ascii="Aptos" w:hAnsi="Aptos"/>
                <w:b w:val="0"/>
                <w:color w:val="42576D"/>
                <w:sz w:val="16"/>
              </w:rPr>
              <w:t>Capture hazard type, approximate location, description and optional safe-distance photograph.</w:t>
            </w:r>
          </w:p>
        </w:tc>
        <w:tc>
          <w:tcPr>
            <w:tcW w:type="dxa" w:w="2362"/>
            <w:tcMar>
              <w:top w:w="90" w:type="dxa"/>
              <w:start w:w="105" w:type="dxa"/>
              <w:bottom w:w="90" w:type="dxa"/>
              <w:end w:w="105" w:type="dxa"/>
            </w:tcMar>
            <w:vAlign w:val="center"/>
            <w:shd w:fill="F2F6F8"/>
          </w:tcPr>
          <w:p>
            <w:pPr>
              <w:spacing w:line="262" w:lineRule="auto" w:after="0"/>
            </w:pPr>
            <w:r>
              <w:rPr>
                <w:rFonts w:ascii="Aptos" w:hAnsi="Aptos"/>
                <w:b w:val="0"/>
                <w:color w:val="42576D"/>
                <w:sz w:val="16"/>
              </w:rPr>
              <w:t>Resident / community worker</w:t>
            </w:r>
          </w:p>
        </w:tc>
      </w:tr>
      <w:tr>
        <w:tc>
          <w:tcPr>
            <w:tcW w:type="dxa" w:w="1267"/>
            <w:tcMar>
              <w:top w:w="90" w:type="dxa"/>
              <w:start w:w="105" w:type="dxa"/>
              <w:bottom w:w="90" w:type="dxa"/>
              <w:end w:w="105" w:type="dxa"/>
            </w:tcMar>
            <w:vAlign w:val="center"/>
          </w:tcPr>
          <w:p>
            <w:pPr>
              <w:spacing w:line="262" w:lineRule="auto" w:after="0"/>
            </w:pPr>
            <w:r>
              <w:rPr>
                <w:rFonts w:ascii="Aptos" w:hAnsi="Aptos"/>
                <w:b/>
                <w:color w:val="14283D"/>
                <w:sz w:val="16"/>
              </w:rPr>
              <w:t>02  Assess</w:t>
            </w:r>
          </w:p>
        </w:tc>
        <w:tc>
          <w:tcPr>
            <w:tcW w:type="dxa" w:w="6005"/>
            <w:tcMar>
              <w:top w:w="90" w:type="dxa"/>
              <w:start w:w="105" w:type="dxa"/>
              <w:bottom w:w="90" w:type="dxa"/>
              <w:end w:w="105" w:type="dxa"/>
            </w:tcMar>
            <w:vAlign w:val="center"/>
          </w:tcPr>
          <w:p>
            <w:pPr>
              <w:spacing w:line="262" w:lineRule="auto" w:after="0"/>
            </w:pPr>
            <w:r>
              <w:rPr>
                <w:rFonts w:ascii="Aptos" w:hAnsi="Aptos"/>
                <w:b w:val="0"/>
                <w:color w:val="42576D"/>
                <w:sz w:val="16"/>
              </w:rPr>
              <w:t>Check duplicate reports, validate urgency and route to the responsible authority.</w:t>
            </w:r>
          </w:p>
        </w:tc>
        <w:tc>
          <w:tcPr>
            <w:tcW w:type="dxa" w:w="2362"/>
            <w:tcMar>
              <w:top w:w="90" w:type="dxa"/>
              <w:start w:w="105" w:type="dxa"/>
              <w:bottom w:w="90" w:type="dxa"/>
              <w:end w:w="105" w:type="dxa"/>
            </w:tcMar>
            <w:vAlign w:val="center"/>
          </w:tcPr>
          <w:p>
            <w:pPr>
              <w:spacing w:line="262" w:lineRule="auto" w:after="0"/>
            </w:pPr>
            <w:r>
              <w:rPr>
                <w:rFonts w:ascii="Aptos" w:hAnsi="Aptos"/>
                <w:b w:val="0"/>
                <w:color w:val="42576D"/>
                <w:sz w:val="16"/>
              </w:rPr>
              <w:t>Authorised official</w:t>
            </w:r>
          </w:p>
        </w:tc>
      </w:tr>
      <w:tr>
        <w:tc>
          <w:tcPr>
            <w:tcW w:type="dxa" w:w="1267"/>
            <w:tcMar>
              <w:top w:w="90" w:type="dxa"/>
              <w:start w:w="105" w:type="dxa"/>
              <w:bottom w:w="90" w:type="dxa"/>
              <w:end w:w="105" w:type="dxa"/>
            </w:tcMar>
            <w:vAlign w:val="center"/>
            <w:shd w:fill="F2F6F8"/>
          </w:tcPr>
          <w:p>
            <w:pPr>
              <w:spacing w:line="262" w:lineRule="auto" w:after="0"/>
            </w:pPr>
            <w:r>
              <w:rPr>
                <w:rFonts w:ascii="Aptos" w:hAnsi="Aptos"/>
                <w:b/>
                <w:color w:val="14283D"/>
                <w:sz w:val="16"/>
              </w:rPr>
              <w:t>03  Protect</w:t>
            </w:r>
          </w:p>
        </w:tc>
        <w:tc>
          <w:tcPr>
            <w:tcW w:type="dxa" w:w="6005"/>
            <w:tcMar>
              <w:top w:w="90" w:type="dxa"/>
              <w:start w:w="105" w:type="dxa"/>
              <w:bottom w:w="90" w:type="dxa"/>
              <w:end w:w="105" w:type="dxa"/>
            </w:tcMar>
            <w:vAlign w:val="center"/>
            <w:shd w:fill="F2F6F8"/>
          </w:tcPr>
          <w:p>
            <w:pPr>
              <w:spacing w:line="262" w:lineRule="auto" w:after="0"/>
            </w:pPr>
            <w:r>
              <w:rPr>
                <w:rFonts w:ascii="Aptos" w:hAnsi="Aptos"/>
                <w:b w:val="0"/>
                <w:color w:val="42576D"/>
                <w:sz w:val="16"/>
              </w:rPr>
              <w:t>Assign urgent site response; record temporary barrier, isolation or other approved protective action.</w:t>
            </w:r>
          </w:p>
        </w:tc>
        <w:tc>
          <w:tcPr>
            <w:tcW w:type="dxa" w:w="2362"/>
            <w:tcMar>
              <w:top w:w="90" w:type="dxa"/>
              <w:start w:w="105" w:type="dxa"/>
              <w:bottom w:w="90" w:type="dxa"/>
              <w:end w:w="105" w:type="dxa"/>
            </w:tcMar>
            <w:vAlign w:val="center"/>
            <w:shd w:fill="F2F6F8"/>
          </w:tcPr>
          <w:p>
            <w:pPr>
              <w:spacing w:line="262" w:lineRule="auto" w:after="0"/>
            </w:pPr>
            <w:r>
              <w:rPr>
                <w:rFonts w:ascii="Aptos" w:hAnsi="Aptos"/>
                <w:b w:val="0"/>
                <w:color w:val="42576D"/>
                <w:sz w:val="16"/>
              </w:rPr>
              <w:t>Qualified field / maintenance team</w:t>
            </w:r>
          </w:p>
        </w:tc>
      </w:tr>
      <w:tr>
        <w:tc>
          <w:tcPr>
            <w:tcW w:type="dxa" w:w="1267"/>
            <w:tcMar>
              <w:top w:w="90" w:type="dxa"/>
              <w:start w:w="105" w:type="dxa"/>
              <w:bottom w:w="90" w:type="dxa"/>
              <w:end w:w="105" w:type="dxa"/>
            </w:tcMar>
            <w:vAlign w:val="center"/>
          </w:tcPr>
          <w:p>
            <w:pPr>
              <w:spacing w:line="262" w:lineRule="auto" w:after="0"/>
            </w:pPr>
            <w:r>
              <w:rPr>
                <w:rFonts w:ascii="Aptos" w:hAnsi="Aptos"/>
                <w:b/>
                <w:color w:val="14283D"/>
                <w:sz w:val="16"/>
              </w:rPr>
              <w:t>04  Repair</w:t>
            </w:r>
          </w:p>
        </w:tc>
        <w:tc>
          <w:tcPr>
            <w:tcW w:type="dxa" w:w="6005"/>
            <w:tcMar>
              <w:top w:w="90" w:type="dxa"/>
              <w:start w:w="105" w:type="dxa"/>
              <w:bottom w:w="90" w:type="dxa"/>
              <w:end w:w="105" w:type="dxa"/>
            </w:tcMar>
            <w:vAlign w:val="center"/>
          </w:tcPr>
          <w:p>
            <w:pPr>
              <w:spacing w:line="262" w:lineRule="auto" w:after="0"/>
            </w:pPr>
            <w:r>
              <w:rPr>
                <w:rFonts w:ascii="Aptos" w:hAnsi="Aptos"/>
                <w:b w:val="0"/>
                <w:color w:val="42576D"/>
                <w:sz w:val="16"/>
              </w:rPr>
              <w:t>Record work order, permanent intervention and supporting evidence.</w:t>
            </w:r>
          </w:p>
        </w:tc>
        <w:tc>
          <w:tcPr>
            <w:tcW w:type="dxa" w:w="2362"/>
            <w:tcMar>
              <w:top w:w="90" w:type="dxa"/>
              <w:start w:w="105" w:type="dxa"/>
              <w:bottom w:w="90" w:type="dxa"/>
              <w:end w:w="105" w:type="dxa"/>
            </w:tcMar>
            <w:vAlign w:val="center"/>
          </w:tcPr>
          <w:p>
            <w:pPr>
              <w:spacing w:line="262" w:lineRule="auto" w:after="0"/>
            </w:pPr>
            <w:r>
              <w:rPr>
                <w:rFonts w:ascii="Aptos" w:hAnsi="Aptos"/>
                <w:b w:val="0"/>
                <w:color w:val="42576D"/>
                <w:sz w:val="16"/>
              </w:rPr>
              <w:t>Maintenance team</w:t>
            </w:r>
          </w:p>
        </w:tc>
      </w:tr>
      <w:tr>
        <w:tc>
          <w:tcPr>
            <w:tcW w:type="dxa" w:w="1267"/>
            <w:tcMar>
              <w:top w:w="90" w:type="dxa"/>
              <w:start w:w="105" w:type="dxa"/>
              <w:bottom w:w="90" w:type="dxa"/>
              <w:end w:w="105" w:type="dxa"/>
            </w:tcMar>
            <w:vAlign w:val="center"/>
            <w:shd w:fill="F2F6F8"/>
          </w:tcPr>
          <w:p>
            <w:pPr>
              <w:spacing w:line="262" w:lineRule="auto" w:after="0"/>
            </w:pPr>
            <w:r>
              <w:rPr>
                <w:rFonts w:ascii="Aptos" w:hAnsi="Aptos"/>
                <w:b/>
                <w:color w:val="14283D"/>
                <w:sz w:val="16"/>
              </w:rPr>
              <w:t>05  Verify</w:t>
            </w:r>
          </w:p>
        </w:tc>
        <w:tc>
          <w:tcPr>
            <w:tcW w:type="dxa" w:w="6005"/>
            <w:tcMar>
              <w:top w:w="90" w:type="dxa"/>
              <w:start w:w="105" w:type="dxa"/>
              <w:bottom w:w="90" w:type="dxa"/>
              <w:end w:w="105" w:type="dxa"/>
            </w:tcMar>
            <w:vAlign w:val="center"/>
            <w:shd w:fill="F2F6F8"/>
          </w:tcPr>
          <w:p>
            <w:pPr>
              <w:spacing w:line="262" w:lineRule="auto" w:after="0"/>
            </w:pPr>
            <w:r>
              <w:rPr>
                <w:rFonts w:ascii="Aptos" w:hAnsi="Aptos"/>
                <w:b w:val="0"/>
                <w:color w:val="42576D"/>
                <w:sz w:val="16"/>
              </w:rPr>
              <w:t>An authorised inspector confirms protective measure or repair; the record retains its action history.</w:t>
            </w:r>
          </w:p>
        </w:tc>
        <w:tc>
          <w:tcPr>
            <w:tcW w:type="dxa" w:w="2362"/>
            <w:tcMar>
              <w:top w:w="90" w:type="dxa"/>
              <w:start w:w="105" w:type="dxa"/>
              <w:bottom w:w="90" w:type="dxa"/>
              <w:end w:w="105" w:type="dxa"/>
            </w:tcMar>
            <w:vAlign w:val="center"/>
            <w:shd w:fill="F2F6F8"/>
          </w:tcPr>
          <w:p>
            <w:pPr>
              <w:spacing w:line="262" w:lineRule="auto" w:after="0"/>
            </w:pPr>
            <w:r>
              <w:rPr>
                <w:rFonts w:ascii="Aptos" w:hAnsi="Aptos"/>
                <w:b w:val="0"/>
                <w:color w:val="42576D"/>
                <w:sz w:val="16"/>
              </w:rPr>
              <w:t>Qualified inspector</w:t>
            </w:r>
          </w:p>
        </w:tc>
      </w:tr>
    </w:tbl>
    <w:p>
      <w:pPr>
        <w:spacing w:before="0" w:after="0" w:line="271" w:lineRule="auto"/>
      </w:pPr>
      <w:r>
        <w:rPr>
          <w:rFonts w:ascii="Aptos" w:hAnsi="Aptos"/>
          <w:b w:val="0"/>
          <w:color w:val="14283D"/>
          <w:sz w:val="6"/>
        </w:rPr>
      </w:r>
    </w:p>
    <w:p>
      <w:pPr>
        <w:pStyle w:val="Heading2"/>
        <w:spacing w:before="180" w:after="120"/>
      </w:pPr>
      <w:r>
        <w:rPr>
          <w:rFonts w:ascii="Aptos" w:hAnsi="Aptos"/>
          <w:b/>
          <w:color w:val="057A80"/>
          <w:sz w:val="24"/>
        </w:rPr>
        <w:t xml:space="preserve">07  </w:t>
      </w:r>
      <w:r>
        <w:rPr>
          <w:rFonts w:ascii="Aptos" w:hAnsi="Aptos"/>
          <w:b/>
          <w:color w:val="14283D"/>
          <w:sz w:val="24"/>
        </w:rPr>
        <w:t>Illustrative live demonstration</w:t>
      </w:r>
    </w:p>
    <w:tbl>
      <w:tblPr>
        <w:tblW w:type="auto" w:w="0"/>
        <w:tblLayout w:type="fixed"/>
        <w:tblLook w:firstColumn="1" w:firstRow="1" w:lastColumn="0" w:lastRow="0" w:noHBand="0" w:noVBand="1" w:val="04A0"/>
      </w:tblPr>
      <w:tblGrid>
        <w:gridCol w:w="9936"/>
      </w:tblGrid>
      <w:tr>
        <w:tc>
          <w:tcPr>
            <w:tcW w:type="dxa" w:w="9721"/>
            <w:shd w:fill="E7F5F3"/>
            <w:tcMar>
              <w:top w:w="130" w:type="dxa"/>
              <w:start w:w="170" w:type="dxa"/>
              <w:bottom w:w="130" w:type="dxa"/>
              <w:end w:w="170" w:type="dxa"/>
            </w:tcMar>
          </w:tcPr>
          <w:p>
            <w:pPr>
              <w:spacing w:after="80"/>
            </w:pPr>
            <w:r>
              <w:rPr>
                <w:rFonts w:ascii="Aptos" w:hAnsi="Aptos"/>
                <w:b/>
                <w:color w:val="057A80"/>
                <w:sz w:val="16"/>
              </w:rPr>
              <w:t>ONE REALISTIC SCENARIO</w:t>
            </w:r>
          </w:p>
          <w:p>
            <w:pPr>
              <w:spacing w:after="0" w:line="276" w:lineRule="auto"/>
            </w:pPr>
            <w:r>
              <w:rPr>
                <w:rFonts w:ascii="Aptos" w:hAnsi="Aptos"/>
                <w:b w:val="0"/>
                <w:color w:val="14283D"/>
                <w:sz w:val="20"/>
              </w:rPr>
              <w:t>A community member reports an open manhole near a school. An official marks it for urgent inspection. A field team records installation of an approved protective barrier; the case becomes “temporarily protected” only after review. A replacement cover is later recorded and independently verified before the status changes to “resolved.”</w:t>
            </w:r>
          </w:p>
        </w:tc>
      </w:tr>
    </w:tbl>
    <w:p>
      <w:pPr>
        <w:spacing w:before="0" w:after="20" w:line="271" w:lineRule="auto"/>
      </w:pPr>
      <w:r>
        <w:rPr>
          <w:rFonts w:ascii="Aptos" w:hAnsi="Aptos"/>
          <w:b w:val="0"/>
          <w:color w:val="14283D"/>
          <w:sz w:val="6"/>
        </w:rPr>
      </w:r>
    </w:p>
    <w:p>
      <w:pPr>
        <w:pStyle w:val="Heading2"/>
        <w:spacing w:before="80" w:after="120"/>
      </w:pPr>
      <w:r>
        <w:rPr>
          <w:rFonts w:ascii="Aptos" w:hAnsi="Aptos"/>
          <w:b/>
          <w:color w:val="057A80"/>
          <w:sz w:val="24"/>
        </w:rPr>
        <w:t xml:space="preserve">08  </w:t>
      </w:r>
      <w:r>
        <w:rPr>
          <w:rFonts w:ascii="Aptos" w:hAnsi="Aptos"/>
          <w:b/>
          <w:color w:val="14283D"/>
          <w:sz w:val="24"/>
        </w:rPr>
        <w:t>The four app experiences</w:t>
      </w:r>
    </w:p>
    <w:tbl>
      <w:tblPr>
        <w:tblW w:type="auto" w:w="0"/>
        <w:jc w:val="center"/>
        <w:tblLayout w:type="fixed"/>
        <w:tblLook w:firstColumn="1" w:firstRow="1" w:lastColumn="0" w:lastRow="0" w:noHBand="0" w:noVBand="1" w:val="04A0"/>
      </w:tblPr>
      <w:tblGrid>
        <w:gridCol w:w="3197"/>
        <w:gridCol w:w="6437"/>
      </w:tblGrid>
      <w:tr>
        <w:trPr>
          <w:tblHeader w:val="true"/>
        </w:trPr>
        <w:tc>
          <w:tcPr>
            <w:tcW w:type="dxa" w:w="4860"/>
            <w:shd w:fill="14283D"/>
            <w:tcMar>
              <w:top w:w="90" w:type="dxa"/>
              <w:start w:w="105" w:type="dxa"/>
              <w:bottom w:w="90" w:type="dxa"/>
              <w:end w:w="105" w:type="dxa"/>
            </w:tcMar>
            <w:vAlign w:val="center"/>
          </w:tcPr>
          <w:p>
            <w:pPr>
              <w:spacing w:after="0"/>
            </w:pPr>
            <w:r>
              <w:rPr>
                <w:rFonts w:ascii="Aptos" w:hAnsi="Aptos"/>
                <w:b/>
                <w:color w:val="FFFFFF"/>
                <w:sz w:val="16"/>
              </w:rPr>
              <w:t>INTERFACE</w:t>
            </w:r>
          </w:p>
        </w:tc>
        <w:tc>
          <w:tcPr>
            <w:tcW w:type="dxa" w:w="4860"/>
            <w:shd w:fill="14283D"/>
            <w:tcMar>
              <w:top w:w="90" w:type="dxa"/>
              <w:start w:w="105" w:type="dxa"/>
              <w:bottom w:w="90" w:type="dxa"/>
              <w:end w:w="105" w:type="dxa"/>
            </w:tcMar>
            <w:vAlign w:val="center"/>
          </w:tcPr>
          <w:p>
            <w:pPr>
              <w:spacing w:after="0"/>
            </w:pPr>
            <w:r>
              <w:rPr>
                <w:rFonts w:ascii="Aptos" w:hAnsi="Aptos"/>
                <w:b/>
                <w:color w:val="FFFFFF"/>
                <w:sz w:val="16"/>
              </w:rPr>
              <w:t>PRIMARY ACTION</w:t>
            </w:r>
          </w:p>
        </w:tc>
      </w:tr>
      <w:tr>
        <w:tc>
          <w:tcPr>
            <w:tcW w:type="dxa" w:w="3197"/>
            <w:tcMar>
              <w:top w:w="90" w:type="dxa"/>
              <w:start w:w="105" w:type="dxa"/>
              <w:bottom w:w="90" w:type="dxa"/>
              <w:end w:w="105" w:type="dxa"/>
            </w:tcMar>
            <w:vAlign w:val="center"/>
            <w:shd w:fill="F2F6F8"/>
          </w:tcPr>
          <w:p>
            <w:pPr>
              <w:spacing w:line="262" w:lineRule="auto" w:after="0"/>
            </w:pPr>
            <w:r>
              <w:rPr>
                <w:rFonts w:ascii="Aptos" w:hAnsi="Aptos"/>
                <w:b/>
                <w:color w:val="14283D"/>
                <w:sz w:val="17"/>
              </w:rPr>
              <w:t>Resident web app</w:t>
            </w:r>
          </w:p>
        </w:tc>
        <w:tc>
          <w:tcPr>
            <w:tcW w:type="dxa" w:w="6437"/>
            <w:tcMar>
              <w:top w:w="90" w:type="dxa"/>
              <w:start w:w="105" w:type="dxa"/>
              <w:bottom w:w="90" w:type="dxa"/>
              <w:end w:w="105" w:type="dxa"/>
            </w:tcMar>
            <w:vAlign w:val="center"/>
            <w:shd w:fill="F2F6F8"/>
          </w:tcPr>
          <w:p>
            <w:pPr>
              <w:spacing w:line="262" w:lineRule="auto" w:after="0"/>
            </w:pPr>
            <w:r>
              <w:rPr>
                <w:rFonts w:ascii="Aptos" w:hAnsi="Aptos"/>
                <w:b w:val="0"/>
                <w:color w:val="42576D"/>
                <w:sz w:val="17"/>
              </w:rPr>
              <w:t>Report a hazard, view verified public warnings and see limited case progress.</w:t>
            </w:r>
          </w:p>
        </w:tc>
      </w:tr>
      <w:tr>
        <w:tc>
          <w:tcPr>
            <w:tcW w:type="dxa" w:w="3197"/>
            <w:tcMar>
              <w:top w:w="90" w:type="dxa"/>
              <w:start w:w="105" w:type="dxa"/>
              <w:bottom w:w="90" w:type="dxa"/>
              <w:end w:w="105" w:type="dxa"/>
            </w:tcMar>
            <w:vAlign w:val="center"/>
          </w:tcPr>
          <w:p>
            <w:pPr>
              <w:spacing w:line="262" w:lineRule="auto" w:after="0"/>
            </w:pPr>
            <w:r>
              <w:rPr>
                <w:rFonts w:ascii="Aptos" w:hAnsi="Aptos"/>
                <w:b/>
                <w:color w:val="14283D"/>
                <w:sz w:val="17"/>
              </w:rPr>
              <w:t>Municipal review dashboard</w:t>
            </w:r>
          </w:p>
        </w:tc>
        <w:tc>
          <w:tcPr>
            <w:tcW w:type="dxa" w:w="6437"/>
            <w:tcMar>
              <w:top w:w="90" w:type="dxa"/>
              <w:start w:w="105" w:type="dxa"/>
              <w:bottom w:w="90" w:type="dxa"/>
              <w:end w:w="105" w:type="dxa"/>
            </w:tcMar>
            <w:vAlign w:val="center"/>
          </w:tcPr>
          <w:p>
            <w:pPr>
              <w:spacing w:line="262" w:lineRule="auto" w:after="0"/>
            </w:pPr>
            <w:r>
              <w:rPr>
                <w:rFonts w:ascii="Aptos" w:hAnsi="Aptos"/>
                <w:b w:val="0"/>
                <w:color w:val="42576D"/>
                <w:sz w:val="17"/>
              </w:rPr>
              <w:t>Triage unresolved risks, assign cases and monitor protection/repair timelines.</w:t>
            </w:r>
          </w:p>
        </w:tc>
      </w:tr>
      <w:tr>
        <w:tc>
          <w:tcPr>
            <w:tcW w:type="dxa" w:w="3197"/>
            <w:tcMar>
              <w:top w:w="90" w:type="dxa"/>
              <w:start w:w="105" w:type="dxa"/>
              <w:bottom w:w="90" w:type="dxa"/>
              <w:end w:w="105" w:type="dxa"/>
            </w:tcMar>
            <w:vAlign w:val="center"/>
            <w:shd w:fill="F2F6F8"/>
          </w:tcPr>
          <w:p>
            <w:pPr>
              <w:spacing w:line="262" w:lineRule="auto" w:after="0"/>
            </w:pPr>
            <w:r>
              <w:rPr>
                <w:rFonts w:ascii="Aptos" w:hAnsi="Aptos"/>
                <w:b/>
                <w:color w:val="14283D"/>
                <w:sz w:val="17"/>
              </w:rPr>
              <w:t>Field team view</w:t>
            </w:r>
          </w:p>
        </w:tc>
        <w:tc>
          <w:tcPr>
            <w:tcW w:type="dxa" w:w="6437"/>
            <w:tcMar>
              <w:top w:w="90" w:type="dxa"/>
              <w:start w:w="105" w:type="dxa"/>
              <w:bottom w:w="90" w:type="dxa"/>
              <w:end w:w="105" w:type="dxa"/>
            </w:tcMar>
            <w:vAlign w:val="center"/>
            <w:shd w:fill="F2F6F8"/>
          </w:tcPr>
          <w:p>
            <w:pPr>
              <w:spacing w:line="262" w:lineRule="auto" w:after="0"/>
            </w:pPr>
            <w:r>
              <w:rPr>
                <w:rFonts w:ascii="Aptos" w:hAnsi="Aptos"/>
                <w:b w:val="0"/>
                <w:color w:val="42576D"/>
                <w:sz w:val="17"/>
              </w:rPr>
              <w:t>See authorised jobs, submit evidence and record temporary and permanent actions.</w:t>
            </w:r>
          </w:p>
        </w:tc>
      </w:tr>
      <w:tr>
        <w:tc>
          <w:tcPr>
            <w:tcW w:type="dxa" w:w="3197"/>
            <w:tcMar>
              <w:top w:w="90" w:type="dxa"/>
              <w:start w:w="105" w:type="dxa"/>
              <w:bottom w:w="90" w:type="dxa"/>
              <w:end w:w="105" w:type="dxa"/>
            </w:tcMar>
            <w:vAlign w:val="center"/>
          </w:tcPr>
          <w:p>
            <w:pPr>
              <w:spacing w:line="262" w:lineRule="auto" w:after="0"/>
            </w:pPr>
            <w:r>
              <w:rPr>
                <w:rFonts w:ascii="Aptos" w:hAnsi="Aptos"/>
                <w:b/>
                <w:color w:val="14283D"/>
                <w:sz w:val="17"/>
              </w:rPr>
              <w:t>Inspector view</w:t>
            </w:r>
          </w:p>
        </w:tc>
        <w:tc>
          <w:tcPr>
            <w:tcW w:type="dxa" w:w="6437"/>
            <w:tcMar>
              <w:top w:w="90" w:type="dxa"/>
              <w:start w:w="105" w:type="dxa"/>
              <w:bottom w:w="90" w:type="dxa"/>
              <w:end w:w="105" w:type="dxa"/>
            </w:tcMar>
            <w:vAlign w:val="center"/>
          </w:tcPr>
          <w:p>
            <w:pPr>
              <w:spacing w:line="262" w:lineRule="auto" w:after="0"/>
            </w:pPr>
            <w:r>
              <w:rPr>
                <w:rFonts w:ascii="Aptos" w:hAnsi="Aptos"/>
                <w:b w:val="0"/>
                <w:color w:val="42576D"/>
                <w:sz w:val="17"/>
              </w:rPr>
              <w:t>Review evidence, inspect the site and authorise safety-status changes.</w:t>
            </w:r>
          </w:p>
        </w:tc>
      </w:tr>
    </w:tbl>
    <w:p>
      <w:pPr>
        <w:spacing w:before="0" w:after="0" w:line="271" w:lineRule="auto"/>
      </w:pPr>
      <w:r>
        <w:rPr>
          <w:rFonts w:ascii="Aptos" w:hAnsi="Aptos"/>
          <w:b w:val="0"/>
          <w:color w:val="14283D"/>
          <w:sz w:val="6"/>
        </w:rPr>
      </w:r>
    </w:p>
    <w:p>
      <w:pPr>
        <w:spacing w:before="140" w:after="80"/>
      </w:pPr>
      <w:r>
        <w:rPr>
          <w:rFonts w:ascii="Aptos" w:hAnsi="Aptos"/>
          <w:b/>
          <w:color w:val="057A80"/>
          <w:sz w:val="16"/>
        </w:rPr>
        <w:t>EXAMPLE STATUS JOURNEY</w:t>
      </w:r>
    </w:p>
    <w:p>
      <w:pPr>
        <w:spacing w:after="80"/>
      </w:pPr>
      <w:r>
        <w:rPr>
          <w:rFonts w:ascii="Aptos" w:hAnsi="Aptos"/>
          <w:b/>
          <w:color w:val="057A80"/>
          <w:sz w:val="18"/>
        </w:rPr>
        <w:t>Reported  →  Awaiting assessment  →  Uncontained  →  Protection recorded  →  Protection verified  →  Repair pending  →  Repair verified / closed</w:t>
      </w:r>
    </w:p>
    <w:p>
      <w:pPr>
        <w:spacing w:before="0" w:after="0" w:line="271" w:lineRule="auto"/>
      </w:pPr>
      <w:r>
        <w:rPr>
          <w:rFonts w:ascii="Aptos" w:hAnsi="Aptos"/>
          <w:b w:val="0"/>
          <w:color w:val="42576D"/>
          <w:sz w:val="17"/>
        </w:rPr>
        <w:t>The public interface should display verified statuses and timestamps, not imply that an unreviewed report has triggered emergency dispatch.</w:t>
      </w:r>
    </w:p>
    <w:p>
      <w:r>
        <w:br w:type="page"/>
      </w:r>
    </w:p>
    <w:p>
      <w:pPr>
        <w:pStyle w:val="Heading2"/>
        <w:spacing w:before="140" w:after="120"/>
      </w:pPr>
      <w:r>
        <w:rPr>
          <w:rFonts w:ascii="Aptos" w:hAnsi="Aptos"/>
          <w:b/>
          <w:color w:val="057A80"/>
          <w:sz w:val="24"/>
        </w:rPr>
        <w:t xml:space="preserve">09  </w:t>
      </w:r>
      <w:r>
        <w:rPr>
          <w:rFonts w:ascii="Aptos" w:hAnsi="Aptos"/>
          <w:b/>
          <w:color w:val="14283D"/>
          <w:sz w:val="24"/>
        </w:rPr>
        <w:t>Hackathon build: minimum viable product</w:t>
      </w:r>
    </w:p>
    <w:tbl>
      <w:tblPr>
        <w:tblW w:type="auto" w:w="0"/>
        <w:jc w:val="center"/>
        <w:tblLayout w:type="fixed"/>
        <w:tblLook w:firstColumn="1" w:firstRow="1" w:lastColumn="0" w:lastRow="0" w:noHBand="0" w:noVBand="1" w:val="04A0"/>
      </w:tblPr>
      <w:tblGrid>
        <w:gridCol w:w="1037"/>
        <w:gridCol w:w="2506"/>
        <w:gridCol w:w="6091"/>
      </w:tblGrid>
      <w:tr>
        <w:trPr>
          <w:tblHeader w:val="true"/>
        </w:trPr>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PRIORITY</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FEATURE</w:t>
            </w:r>
          </w:p>
        </w:tc>
        <w:tc>
          <w:tcPr>
            <w:tcW w:type="dxa" w:w="3240"/>
            <w:shd w:fill="14283D"/>
            <w:tcMar>
              <w:top w:w="90" w:type="dxa"/>
              <w:start w:w="105" w:type="dxa"/>
              <w:bottom w:w="90" w:type="dxa"/>
              <w:end w:w="105" w:type="dxa"/>
            </w:tcMar>
            <w:vAlign w:val="center"/>
          </w:tcPr>
          <w:p>
            <w:pPr>
              <w:spacing w:after="0"/>
            </w:pPr>
            <w:r>
              <w:rPr>
                <w:rFonts w:ascii="Aptos" w:hAnsi="Aptos"/>
                <w:b/>
                <w:color w:val="FFFFFF"/>
                <w:sz w:val="16"/>
              </w:rPr>
              <w:t>DEMO ACCEPTANCE TEST</w:t>
            </w:r>
          </w:p>
        </w:tc>
      </w:tr>
      <w:tr>
        <w:tc>
          <w:tcPr>
            <w:tcW w:type="dxa" w:w="1037"/>
            <w:tcMar>
              <w:top w:w="90" w:type="dxa"/>
              <w:start w:w="105" w:type="dxa"/>
              <w:bottom w:w="90" w:type="dxa"/>
              <w:end w:w="105" w:type="dxa"/>
            </w:tcMar>
            <w:vAlign w:val="center"/>
            <w:shd w:fill="F2F6F8"/>
          </w:tcPr>
          <w:p>
            <w:pPr>
              <w:spacing w:line="262" w:lineRule="auto" w:after="0"/>
            </w:pPr>
            <w:r>
              <w:rPr>
                <w:rFonts w:ascii="Aptos" w:hAnsi="Aptos"/>
                <w:b/>
                <w:color w:val="14283D"/>
                <w:sz w:val="16"/>
              </w:rPr>
              <w:t>P0</w:t>
            </w:r>
          </w:p>
        </w:tc>
        <w:tc>
          <w:tcPr>
            <w:tcW w:type="dxa" w:w="2506"/>
            <w:tcMar>
              <w:top w:w="90" w:type="dxa"/>
              <w:start w:w="105" w:type="dxa"/>
              <w:bottom w:w="90" w:type="dxa"/>
              <w:end w:w="105" w:type="dxa"/>
            </w:tcMar>
            <w:vAlign w:val="center"/>
            <w:shd w:fill="F2F6F8"/>
          </w:tcPr>
          <w:p>
            <w:pPr>
              <w:spacing w:line="262" w:lineRule="auto" w:after="0"/>
            </w:pPr>
            <w:r>
              <w:rPr>
                <w:rFonts w:ascii="Aptos" w:hAnsi="Aptos"/>
                <w:b w:val="0"/>
                <w:color w:val="42576D"/>
                <w:sz w:val="16"/>
              </w:rPr>
              <w:t>Report hazard</w:t>
            </w:r>
          </w:p>
        </w:tc>
        <w:tc>
          <w:tcPr>
            <w:tcW w:type="dxa" w:w="6091"/>
            <w:tcMar>
              <w:top w:w="90" w:type="dxa"/>
              <w:start w:w="105" w:type="dxa"/>
              <w:bottom w:w="90" w:type="dxa"/>
              <w:end w:w="105" w:type="dxa"/>
            </w:tcMar>
            <w:vAlign w:val="center"/>
            <w:shd w:fill="F2F6F8"/>
          </w:tcPr>
          <w:p>
            <w:pPr>
              <w:spacing w:line="262" w:lineRule="auto" w:after="0"/>
            </w:pPr>
            <w:r>
              <w:rPr>
                <w:rFonts w:ascii="Aptos" w:hAnsi="Aptos"/>
                <w:b w:val="0"/>
                <w:color w:val="42576D"/>
                <w:sz w:val="16"/>
              </w:rPr>
              <w:t>Create one synthetic case with type, map location and optional image.</w:t>
            </w:r>
          </w:p>
        </w:tc>
      </w:tr>
      <w:tr>
        <w:tc>
          <w:tcPr>
            <w:tcW w:type="dxa" w:w="1037"/>
            <w:tcMar>
              <w:top w:w="90" w:type="dxa"/>
              <w:start w:w="105" w:type="dxa"/>
              <w:bottom w:w="90" w:type="dxa"/>
              <w:end w:w="105" w:type="dxa"/>
            </w:tcMar>
            <w:vAlign w:val="center"/>
          </w:tcPr>
          <w:p>
            <w:pPr>
              <w:spacing w:line="262" w:lineRule="auto" w:after="0"/>
            </w:pPr>
            <w:r>
              <w:rPr>
                <w:rFonts w:ascii="Aptos" w:hAnsi="Aptos"/>
                <w:b/>
                <w:color w:val="14283D"/>
                <w:sz w:val="16"/>
              </w:rPr>
              <w:t>P0</w:t>
            </w:r>
          </w:p>
        </w:tc>
        <w:tc>
          <w:tcPr>
            <w:tcW w:type="dxa" w:w="2506"/>
            <w:tcMar>
              <w:top w:w="90" w:type="dxa"/>
              <w:start w:w="105" w:type="dxa"/>
              <w:bottom w:w="90" w:type="dxa"/>
              <w:end w:w="105" w:type="dxa"/>
            </w:tcMar>
            <w:vAlign w:val="center"/>
          </w:tcPr>
          <w:p>
            <w:pPr>
              <w:spacing w:line="262" w:lineRule="auto" w:after="0"/>
            </w:pPr>
            <w:r>
              <w:rPr>
                <w:rFonts w:ascii="Aptos" w:hAnsi="Aptos"/>
                <w:b w:val="0"/>
                <w:color w:val="42576D"/>
                <w:sz w:val="16"/>
              </w:rPr>
              <w:t>Review and route</w:t>
            </w:r>
          </w:p>
        </w:tc>
        <w:tc>
          <w:tcPr>
            <w:tcW w:type="dxa" w:w="6091"/>
            <w:tcMar>
              <w:top w:w="90" w:type="dxa"/>
              <w:start w:w="105" w:type="dxa"/>
              <w:bottom w:w="90" w:type="dxa"/>
              <w:end w:w="105" w:type="dxa"/>
            </w:tcMar>
            <w:vAlign w:val="center"/>
          </w:tcPr>
          <w:p>
            <w:pPr>
              <w:spacing w:line="262" w:lineRule="auto" w:after="0"/>
            </w:pPr>
            <w:r>
              <w:rPr>
                <w:rFonts w:ascii="Aptos" w:hAnsi="Aptos"/>
                <w:b w:val="0"/>
                <w:color w:val="42576D"/>
                <w:sz w:val="16"/>
              </w:rPr>
              <w:t>Authorised official can validate and assign a case.</w:t>
            </w:r>
          </w:p>
        </w:tc>
      </w:tr>
      <w:tr>
        <w:tc>
          <w:tcPr>
            <w:tcW w:type="dxa" w:w="1037"/>
            <w:tcMar>
              <w:top w:w="90" w:type="dxa"/>
              <w:start w:w="105" w:type="dxa"/>
              <w:bottom w:w="90" w:type="dxa"/>
              <w:end w:w="105" w:type="dxa"/>
            </w:tcMar>
            <w:vAlign w:val="center"/>
            <w:shd w:fill="F2F6F8"/>
          </w:tcPr>
          <w:p>
            <w:pPr>
              <w:spacing w:line="262" w:lineRule="auto" w:after="0"/>
            </w:pPr>
            <w:r>
              <w:rPr>
                <w:rFonts w:ascii="Aptos" w:hAnsi="Aptos"/>
                <w:b/>
                <w:color w:val="14283D"/>
                <w:sz w:val="16"/>
              </w:rPr>
              <w:t>P0</w:t>
            </w:r>
          </w:p>
        </w:tc>
        <w:tc>
          <w:tcPr>
            <w:tcW w:type="dxa" w:w="2506"/>
            <w:tcMar>
              <w:top w:w="90" w:type="dxa"/>
              <w:start w:w="105" w:type="dxa"/>
              <w:bottom w:w="90" w:type="dxa"/>
              <w:end w:w="105" w:type="dxa"/>
            </w:tcMar>
            <w:vAlign w:val="center"/>
            <w:shd w:fill="F2F6F8"/>
          </w:tcPr>
          <w:p>
            <w:pPr>
              <w:spacing w:line="262" w:lineRule="auto" w:after="0"/>
            </w:pPr>
            <w:r>
              <w:rPr>
                <w:rFonts w:ascii="Aptos" w:hAnsi="Aptos"/>
                <w:b w:val="0"/>
                <w:color w:val="42576D"/>
                <w:sz w:val="16"/>
              </w:rPr>
              <w:t>Interim safety control</w:t>
            </w:r>
          </w:p>
        </w:tc>
        <w:tc>
          <w:tcPr>
            <w:tcW w:type="dxa" w:w="6091"/>
            <w:tcMar>
              <w:top w:w="90" w:type="dxa"/>
              <w:start w:w="105" w:type="dxa"/>
              <w:bottom w:w="90" w:type="dxa"/>
              <w:end w:w="105" w:type="dxa"/>
            </w:tcMar>
            <w:vAlign w:val="center"/>
            <w:shd w:fill="F2F6F8"/>
          </w:tcPr>
          <w:p>
            <w:pPr>
              <w:spacing w:line="262" w:lineRule="auto" w:after="0"/>
            </w:pPr>
            <w:r>
              <w:rPr>
                <w:rFonts w:ascii="Aptos" w:hAnsi="Aptos"/>
                <w:b w:val="0"/>
                <w:color w:val="42576D"/>
                <w:sz w:val="16"/>
              </w:rPr>
              <w:t>Record a protective action and keep it “unverified” until sign-off.</w:t>
            </w:r>
          </w:p>
        </w:tc>
      </w:tr>
      <w:tr>
        <w:tc>
          <w:tcPr>
            <w:tcW w:type="dxa" w:w="1037"/>
            <w:tcMar>
              <w:top w:w="90" w:type="dxa"/>
              <w:start w:w="105" w:type="dxa"/>
              <w:bottom w:w="90" w:type="dxa"/>
              <w:end w:w="105" w:type="dxa"/>
            </w:tcMar>
            <w:vAlign w:val="center"/>
          </w:tcPr>
          <w:p>
            <w:pPr>
              <w:spacing w:line="262" w:lineRule="auto" w:after="0"/>
            </w:pPr>
            <w:r>
              <w:rPr>
                <w:rFonts w:ascii="Aptos" w:hAnsi="Aptos"/>
                <w:b/>
                <w:color w:val="14283D"/>
                <w:sz w:val="16"/>
              </w:rPr>
              <w:t>P0</w:t>
            </w:r>
          </w:p>
        </w:tc>
        <w:tc>
          <w:tcPr>
            <w:tcW w:type="dxa" w:w="2506"/>
            <w:tcMar>
              <w:top w:w="90" w:type="dxa"/>
              <w:start w:w="105" w:type="dxa"/>
              <w:bottom w:w="90" w:type="dxa"/>
              <w:end w:w="105" w:type="dxa"/>
            </w:tcMar>
            <w:vAlign w:val="center"/>
          </w:tcPr>
          <w:p>
            <w:pPr>
              <w:spacing w:line="262" w:lineRule="auto" w:after="0"/>
            </w:pPr>
            <w:r>
              <w:rPr>
                <w:rFonts w:ascii="Aptos" w:hAnsi="Aptos"/>
                <w:b w:val="0"/>
                <w:color w:val="42576D"/>
                <w:sz w:val="16"/>
              </w:rPr>
              <w:t>Permanent resolution</w:t>
            </w:r>
          </w:p>
        </w:tc>
        <w:tc>
          <w:tcPr>
            <w:tcW w:type="dxa" w:w="6091"/>
            <w:tcMar>
              <w:top w:w="90" w:type="dxa"/>
              <w:start w:w="105" w:type="dxa"/>
              <w:bottom w:w="90" w:type="dxa"/>
              <w:end w:w="105" w:type="dxa"/>
            </w:tcMar>
            <w:vAlign w:val="center"/>
          </w:tcPr>
          <w:p>
            <w:pPr>
              <w:spacing w:line="262" w:lineRule="auto" w:after="0"/>
            </w:pPr>
            <w:r>
              <w:rPr>
                <w:rFonts w:ascii="Aptos" w:hAnsi="Aptos"/>
                <w:b w:val="0"/>
                <w:color w:val="42576D"/>
                <w:sz w:val="16"/>
              </w:rPr>
              <w:t>Log a repair; qualified inspector verifies closure.</w:t>
            </w:r>
          </w:p>
        </w:tc>
      </w:tr>
      <w:tr>
        <w:tc>
          <w:tcPr>
            <w:tcW w:type="dxa" w:w="1037"/>
            <w:tcMar>
              <w:top w:w="90" w:type="dxa"/>
              <w:start w:w="105" w:type="dxa"/>
              <w:bottom w:w="90" w:type="dxa"/>
              <w:end w:w="105" w:type="dxa"/>
            </w:tcMar>
            <w:vAlign w:val="center"/>
            <w:shd w:fill="F2F6F8"/>
          </w:tcPr>
          <w:p>
            <w:pPr>
              <w:spacing w:line="262" w:lineRule="auto" w:after="0"/>
            </w:pPr>
            <w:r>
              <w:rPr>
                <w:rFonts w:ascii="Aptos" w:hAnsi="Aptos"/>
                <w:b/>
                <w:color w:val="14283D"/>
                <w:sz w:val="16"/>
              </w:rPr>
              <w:t>P0</w:t>
            </w:r>
          </w:p>
        </w:tc>
        <w:tc>
          <w:tcPr>
            <w:tcW w:type="dxa" w:w="2506"/>
            <w:tcMar>
              <w:top w:w="90" w:type="dxa"/>
              <w:start w:w="105" w:type="dxa"/>
              <w:bottom w:w="90" w:type="dxa"/>
              <w:end w:w="105" w:type="dxa"/>
            </w:tcMar>
            <w:vAlign w:val="center"/>
            <w:shd w:fill="F2F6F8"/>
          </w:tcPr>
          <w:p>
            <w:pPr>
              <w:spacing w:line="262" w:lineRule="auto" w:after="0"/>
            </w:pPr>
            <w:r>
              <w:rPr>
                <w:rFonts w:ascii="Aptos" w:hAnsi="Aptos"/>
                <w:b w:val="0"/>
                <w:color w:val="42576D"/>
                <w:sz w:val="16"/>
              </w:rPr>
              <w:t>Audit and status display</w:t>
            </w:r>
          </w:p>
        </w:tc>
        <w:tc>
          <w:tcPr>
            <w:tcW w:type="dxa" w:w="6091"/>
            <w:tcMar>
              <w:top w:w="90" w:type="dxa"/>
              <w:start w:w="105" w:type="dxa"/>
              <w:bottom w:w="90" w:type="dxa"/>
              <w:end w:w="105" w:type="dxa"/>
            </w:tcMar>
            <w:vAlign w:val="center"/>
            <w:shd w:fill="F2F6F8"/>
          </w:tcPr>
          <w:p>
            <w:pPr>
              <w:spacing w:line="262" w:lineRule="auto" w:after="0"/>
            </w:pPr>
            <w:r>
              <w:rPr>
                <w:rFonts w:ascii="Aptos" w:hAnsi="Aptos"/>
                <w:b w:val="0"/>
                <w:color w:val="42576D"/>
                <w:sz w:val="16"/>
              </w:rPr>
              <w:t>Show who changed a case and when; public view hides identities.</w:t>
            </w:r>
          </w:p>
        </w:tc>
      </w:tr>
      <w:tr>
        <w:tc>
          <w:tcPr>
            <w:tcW w:type="dxa" w:w="1037"/>
            <w:tcMar>
              <w:top w:w="90" w:type="dxa"/>
              <w:start w:w="105" w:type="dxa"/>
              <w:bottom w:w="90" w:type="dxa"/>
              <w:end w:w="105" w:type="dxa"/>
            </w:tcMar>
            <w:vAlign w:val="center"/>
          </w:tcPr>
          <w:p>
            <w:pPr>
              <w:spacing w:line="262" w:lineRule="auto" w:after="0"/>
            </w:pPr>
            <w:r>
              <w:rPr>
                <w:rFonts w:ascii="Aptos" w:hAnsi="Aptos"/>
                <w:b/>
                <w:color w:val="14283D"/>
                <w:sz w:val="16"/>
              </w:rPr>
              <w:t>P1</w:t>
            </w:r>
          </w:p>
        </w:tc>
        <w:tc>
          <w:tcPr>
            <w:tcW w:type="dxa" w:w="2506"/>
            <w:tcMar>
              <w:top w:w="90" w:type="dxa"/>
              <w:start w:w="105" w:type="dxa"/>
              <w:bottom w:w="90" w:type="dxa"/>
              <w:end w:w="105" w:type="dxa"/>
            </w:tcMar>
            <w:vAlign w:val="center"/>
          </w:tcPr>
          <w:p>
            <w:pPr>
              <w:spacing w:line="262" w:lineRule="auto" w:after="0"/>
            </w:pPr>
            <w:r>
              <w:rPr>
                <w:rFonts w:ascii="Aptos" w:hAnsi="Aptos"/>
                <w:b w:val="0"/>
                <w:color w:val="42576D"/>
                <w:sz w:val="16"/>
              </w:rPr>
              <w:t>Community map / filters</w:t>
            </w:r>
          </w:p>
        </w:tc>
        <w:tc>
          <w:tcPr>
            <w:tcW w:type="dxa" w:w="6091"/>
            <w:tcMar>
              <w:top w:w="90" w:type="dxa"/>
              <w:start w:w="105" w:type="dxa"/>
              <w:bottom w:w="90" w:type="dxa"/>
              <w:end w:w="105" w:type="dxa"/>
            </w:tcMar>
            <w:vAlign w:val="center"/>
          </w:tcPr>
          <w:p>
            <w:pPr>
              <w:spacing w:line="262" w:lineRule="auto" w:after="0"/>
            </w:pPr>
            <w:r>
              <w:rPr>
                <w:rFonts w:ascii="Aptos" w:hAnsi="Aptos"/>
                <w:b w:val="0"/>
                <w:color w:val="42576D"/>
                <w:sz w:val="16"/>
              </w:rPr>
              <w:t>Filter unresolved and uncontained hazards by category and location.</w:t>
            </w:r>
          </w:p>
        </w:tc>
      </w:tr>
      <w:tr>
        <w:tc>
          <w:tcPr>
            <w:tcW w:type="dxa" w:w="1037"/>
            <w:tcMar>
              <w:top w:w="90" w:type="dxa"/>
              <w:start w:w="105" w:type="dxa"/>
              <w:bottom w:w="90" w:type="dxa"/>
              <w:end w:w="105" w:type="dxa"/>
            </w:tcMar>
            <w:vAlign w:val="center"/>
            <w:shd w:fill="F2F6F8"/>
          </w:tcPr>
          <w:p>
            <w:pPr>
              <w:spacing w:line="262" w:lineRule="auto" w:after="0"/>
            </w:pPr>
            <w:r>
              <w:rPr>
                <w:rFonts w:ascii="Aptos" w:hAnsi="Aptos"/>
                <w:b/>
                <w:color w:val="14283D"/>
                <w:sz w:val="16"/>
              </w:rPr>
              <w:t>P2</w:t>
            </w:r>
          </w:p>
        </w:tc>
        <w:tc>
          <w:tcPr>
            <w:tcW w:type="dxa" w:w="2506"/>
            <w:tcMar>
              <w:top w:w="90" w:type="dxa"/>
              <w:start w:w="105" w:type="dxa"/>
              <w:bottom w:w="90" w:type="dxa"/>
              <w:end w:w="105" w:type="dxa"/>
            </w:tcMar>
            <w:vAlign w:val="center"/>
            <w:shd w:fill="F2F6F8"/>
          </w:tcPr>
          <w:p>
            <w:pPr>
              <w:spacing w:line="262" w:lineRule="auto" w:after="0"/>
            </w:pPr>
            <w:r>
              <w:rPr>
                <w:rFonts w:ascii="Aptos" w:hAnsi="Aptos"/>
                <w:b w:val="0"/>
                <w:color w:val="42576D"/>
                <w:sz w:val="16"/>
              </w:rPr>
              <w:t>Maintenance insights</w:t>
            </w:r>
          </w:p>
        </w:tc>
        <w:tc>
          <w:tcPr>
            <w:tcW w:type="dxa" w:w="6091"/>
            <w:tcMar>
              <w:top w:w="90" w:type="dxa"/>
              <w:start w:w="105" w:type="dxa"/>
              <w:bottom w:w="90" w:type="dxa"/>
              <w:end w:w="105" w:type="dxa"/>
            </w:tcMar>
            <w:vAlign w:val="center"/>
            <w:shd w:fill="F2F6F8"/>
          </w:tcPr>
          <w:p>
            <w:pPr>
              <w:spacing w:line="262" w:lineRule="auto" w:after="0"/>
            </w:pPr>
            <w:r>
              <w:rPr>
                <w:rFonts w:ascii="Aptos" w:hAnsi="Aptos"/>
                <w:b w:val="0"/>
                <w:color w:val="42576D"/>
                <w:sz w:val="16"/>
              </w:rPr>
              <w:t>Flag repeat issues and schedule follow-up inspections.</w:t>
            </w:r>
          </w:p>
        </w:tc>
      </w:tr>
    </w:tbl>
    <w:p>
      <w:pPr>
        <w:spacing w:before="0" w:after="0" w:line="271" w:lineRule="auto"/>
      </w:pPr>
      <w:r>
        <w:rPr>
          <w:rFonts w:ascii="Aptos" w:hAnsi="Aptos"/>
          <w:b w:val="0"/>
          <w:color w:val="14283D"/>
          <w:sz w:val="6"/>
        </w:rPr>
      </w:r>
    </w:p>
    <w:p>
      <w:pPr>
        <w:pStyle w:val="Heading2"/>
        <w:spacing w:before="140" w:after="120"/>
      </w:pPr>
      <w:r>
        <w:rPr>
          <w:rFonts w:ascii="Aptos" w:hAnsi="Aptos"/>
          <w:b/>
          <w:color w:val="057A80"/>
          <w:sz w:val="24"/>
        </w:rPr>
        <w:t xml:space="preserve">10  </w:t>
      </w:r>
      <w:r>
        <w:rPr>
          <w:rFonts w:ascii="Aptos" w:hAnsi="Aptos"/>
          <w:b/>
          <w:color w:val="14283D"/>
          <w:sz w:val="24"/>
        </w:rPr>
        <w:t>Suggested implementation</w:t>
      </w:r>
    </w:p>
    <w:p>
      <w:pPr>
        <w:spacing w:before="0" w:after="120" w:line="271" w:lineRule="auto"/>
      </w:pPr>
      <w:r>
        <w:rPr>
          <w:rFonts w:ascii="Aptos" w:hAnsi="Aptos"/>
          <w:b w:val="0"/>
          <w:color w:val="14283D"/>
          <w:sz w:val="18"/>
        </w:rPr>
        <w:t>Build a responsive web application first. Proposed stack: React + Tailwind CSS (interface), Supabase/PostgreSQL (database and authentication), and Vercel (hosting). Use seeded fictional cases. Suggested entities: users/roles, hazards, hazard_updates, assignments, protective_actions, inspections and audit_events.</w:t>
      </w:r>
    </w:p>
    <w:p>
      <w:pPr>
        <w:spacing w:before="140" w:after="80"/>
      </w:pPr>
      <w:r>
        <w:rPr>
          <w:rFonts w:ascii="Aptos" w:hAnsi="Aptos"/>
          <w:b/>
          <w:color w:val="057A80"/>
          <w:sz w:val="16"/>
        </w:rPr>
        <w:t>NON-NEGOTIABLE PRODUCT SAFEGUARDS</w:t>
      </w:r>
    </w:p>
    <w:p>
      <w:pPr>
        <w:pStyle w:val="ListBullet"/>
        <w:spacing w:after="60" w:line="264" w:lineRule="auto"/>
        <w:ind w:left="259" w:hanging="158"/>
      </w:pPr>
      <w:r>
        <w:rPr>
          <w:rFonts w:ascii="Aptos" w:hAnsi="Aptos"/>
          <w:b w:val="0"/>
          <w:color w:val="14283D"/>
          <w:sz w:val="18"/>
        </w:rPr>
        <w:t>Emergency disclaimer: imminent danger must be reported through appropriate emergency and municipal channels; SafeGuard SA is not an emergency dispatch service.</w:t>
      </w:r>
    </w:p>
    <w:p>
      <w:pPr>
        <w:pStyle w:val="ListBullet"/>
        <w:spacing w:after="60" w:line="264" w:lineRule="auto"/>
        <w:ind w:left="259" w:hanging="158"/>
      </w:pPr>
      <w:r>
        <w:rPr>
          <w:rFonts w:ascii="Aptos" w:hAnsi="Aptos"/>
          <w:b w:val="0"/>
          <w:color w:val="14283D"/>
          <w:sz w:val="18"/>
        </w:rPr>
        <w:t>Only authorised, qualified personnel may mark a protective action verified or clear a safety-critical hazard.</w:t>
      </w:r>
    </w:p>
    <w:p>
      <w:pPr>
        <w:pStyle w:val="ListBullet"/>
        <w:spacing w:after="60" w:line="264" w:lineRule="auto"/>
        <w:ind w:left="259" w:hanging="158"/>
      </w:pPr>
      <w:r>
        <w:rPr>
          <w:rFonts w:ascii="Aptos" w:hAnsi="Aptos"/>
          <w:b w:val="0"/>
          <w:color w:val="14283D"/>
          <w:sz w:val="18"/>
        </w:rPr>
        <w:t>Never encourage residents to approach exposed electricity, unstable structures, open pits or active repair sites to photograph them.</w:t>
      </w:r>
    </w:p>
    <w:p>
      <w:pPr>
        <w:pStyle w:val="ListBullet"/>
        <w:spacing w:after="60" w:line="264" w:lineRule="auto"/>
        <w:ind w:left="259" w:hanging="158"/>
      </w:pPr>
      <w:r>
        <w:rPr>
          <w:rFonts w:ascii="Aptos" w:hAnsi="Aptos"/>
          <w:b w:val="0"/>
          <w:color w:val="14283D"/>
          <w:sz w:val="18"/>
        </w:rPr>
        <w:t>Personal and precise-location data must be minimised, with role-based access, consent, retention rules and an audit trail consistent with POPIA. [7]</w:t>
      </w:r>
    </w:p>
    <w:p>
      <w:pPr>
        <w:pStyle w:val="ListBullet"/>
        <w:spacing w:after="60" w:line="264" w:lineRule="auto"/>
        <w:ind w:left="259" w:hanging="158"/>
      </w:pPr>
      <w:r>
        <w:rPr>
          <w:rFonts w:ascii="Aptos" w:hAnsi="Aptos"/>
          <w:b w:val="0"/>
          <w:color w:val="14283D"/>
          <w:sz w:val="18"/>
        </w:rPr>
        <w:t>Use verified versus unverified labels; no untested AI severity scores or unsupported real-time municipal integrations.</w:t>
      </w:r>
    </w:p>
    <w:p>
      <w:pPr>
        <w:pStyle w:val="Heading2"/>
        <w:spacing w:before="120" w:after="120"/>
      </w:pPr>
      <w:r>
        <w:rPr>
          <w:rFonts w:ascii="Aptos" w:hAnsi="Aptos"/>
          <w:b/>
          <w:color w:val="057A80"/>
          <w:sz w:val="24"/>
        </w:rPr>
        <w:t xml:space="preserve">11  </w:t>
      </w:r>
      <w:r>
        <w:rPr>
          <w:rFonts w:ascii="Aptos" w:hAnsi="Aptos"/>
          <w:b/>
          <w:color w:val="14283D"/>
          <w:sz w:val="24"/>
        </w:rPr>
        <w:t>What we deliberately will NOT build</w:t>
      </w:r>
    </w:p>
    <w:p>
      <w:pPr>
        <w:spacing w:before="0" w:after="40" w:line="271" w:lineRule="auto"/>
      </w:pPr>
      <w:r>
        <w:rPr>
          <w:rFonts w:ascii="Aptos" w:hAnsi="Aptos"/>
          <w:b w:val="0"/>
          <w:color w:val="14283D"/>
          <w:sz w:val="18"/>
        </w:rPr>
        <w:t>No automated police or ambulance dispatch; no guaranteed repair times; no live government API unless formally available; no automated declaration that an installation is safe. These boundaries make the demo credible and the system safer.</w:t>
      </w:r>
    </w:p>
    <w:p>
      <w:r>
        <w:br w:type="page"/>
      </w:r>
    </w:p>
    <w:p>
      <w:pPr>
        <w:pStyle w:val="Heading2"/>
        <w:spacing w:before="140" w:after="120"/>
      </w:pPr>
      <w:r>
        <w:rPr>
          <w:rFonts w:ascii="Aptos" w:hAnsi="Aptos"/>
          <w:b/>
          <w:color w:val="057A80"/>
          <w:sz w:val="24"/>
        </w:rPr>
        <w:t xml:space="preserve">12  </w:t>
      </w:r>
      <w:r>
        <w:rPr>
          <w:rFonts w:ascii="Aptos" w:hAnsi="Aptos"/>
          <w:b/>
          <w:color w:val="14283D"/>
          <w:sz w:val="24"/>
        </w:rPr>
        <w:t>Impact, pilot and delivery plan</w:t>
      </w:r>
    </w:p>
    <w:tbl>
      <w:tblPr>
        <w:tblW w:type="auto" w:w="0"/>
        <w:jc w:val="center"/>
        <w:tblLayout w:type="fixed"/>
        <w:tblLook w:firstColumn="1" w:firstRow="1" w:lastColumn="0" w:lastRow="0" w:noHBand="0" w:noVBand="1" w:val="04A0"/>
      </w:tblPr>
      <w:tblGrid>
        <w:gridCol w:w="3038"/>
        <w:gridCol w:w="6595"/>
      </w:tblGrid>
      <w:tr>
        <w:trPr>
          <w:tblHeader w:val="true"/>
        </w:trPr>
        <w:tc>
          <w:tcPr>
            <w:tcW w:type="dxa" w:w="4860"/>
            <w:shd w:fill="14283D"/>
            <w:tcMar>
              <w:top w:w="90" w:type="dxa"/>
              <w:start w:w="105" w:type="dxa"/>
              <w:bottom w:w="90" w:type="dxa"/>
              <w:end w:w="105" w:type="dxa"/>
            </w:tcMar>
            <w:vAlign w:val="center"/>
          </w:tcPr>
          <w:p>
            <w:pPr>
              <w:spacing w:after="0"/>
            </w:pPr>
            <w:r>
              <w:rPr>
                <w:rFonts w:ascii="Aptos" w:hAnsi="Aptos"/>
                <w:b/>
                <w:color w:val="FFFFFF"/>
                <w:sz w:val="16"/>
              </w:rPr>
              <w:t>PILOT MEASURE</w:t>
            </w:r>
          </w:p>
        </w:tc>
        <w:tc>
          <w:tcPr>
            <w:tcW w:type="dxa" w:w="4860"/>
            <w:shd w:fill="14283D"/>
            <w:tcMar>
              <w:top w:w="90" w:type="dxa"/>
              <w:start w:w="105" w:type="dxa"/>
              <w:bottom w:w="90" w:type="dxa"/>
              <w:end w:w="105" w:type="dxa"/>
            </w:tcMar>
            <w:vAlign w:val="center"/>
          </w:tcPr>
          <w:p>
            <w:pPr>
              <w:spacing w:after="0"/>
            </w:pPr>
            <w:r>
              <w:rPr>
                <w:rFonts w:ascii="Aptos" w:hAnsi="Aptos"/>
                <w:b/>
                <w:color w:val="FFFFFF"/>
                <w:sz w:val="16"/>
              </w:rPr>
              <w:t>WHAT THE TEAM WOULD TRACK</w:t>
            </w:r>
          </w:p>
        </w:tc>
      </w:tr>
      <w:tr>
        <w:tc>
          <w:tcPr>
            <w:tcW w:type="dxa" w:w="3038"/>
            <w:tcMar>
              <w:top w:w="90" w:type="dxa"/>
              <w:start w:w="105" w:type="dxa"/>
              <w:bottom w:w="90" w:type="dxa"/>
              <w:end w:w="105" w:type="dxa"/>
            </w:tcMar>
            <w:vAlign w:val="center"/>
            <w:shd w:fill="F2F6F8"/>
          </w:tcPr>
          <w:p>
            <w:pPr>
              <w:spacing w:line="262" w:lineRule="auto" w:after="0"/>
            </w:pPr>
            <w:r>
              <w:rPr>
                <w:rFonts w:ascii="Aptos" w:hAnsi="Aptos"/>
                <w:b/>
                <w:color w:val="14283D"/>
                <w:sz w:val="16"/>
              </w:rPr>
              <w:t>Time to assessment</w:t>
            </w:r>
          </w:p>
        </w:tc>
        <w:tc>
          <w:tcPr>
            <w:tcW w:type="dxa" w:w="6595"/>
            <w:tcMar>
              <w:top w:w="90" w:type="dxa"/>
              <w:start w:w="105" w:type="dxa"/>
              <w:bottom w:w="90" w:type="dxa"/>
              <w:end w:w="105" w:type="dxa"/>
            </w:tcMar>
            <w:vAlign w:val="center"/>
            <w:shd w:fill="F2F6F8"/>
          </w:tcPr>
          <w:p>
            <w:pPr>
              <w:spacing w:line="262" w:lineRule="auto" w:after="0"/>
            </w:pPr>
            <w:r>
              <w:rPr>
                <w:rFonts w:ascii="Aptos" w:hAnsi="Aptos"/>
                <w:b w:val="0"/>
                <w:color w:val="42576D"/>
                <w:sz w:val="16"/>
              </w:rPr>
              <w:t>Median duration from submission to authorised triage.</w:t>
            </w:r>
          </w:p>
        </w:tc>
      </w:tr>
      <w:tr>
        <w:tc>
          <w:tcPr>
            <w:tcW w:type="dxa" w:w="3038"/>
            <w:tcMar>
              <w:top w:w="90" w:type="dxa"/>
              <w:start w:w="105" w:type="dxa"/>
              <w:bottom w:w="90" w:type="dxa"/>
              <w:end w:w="105" w:type="dxa"/>
            </w:tcMar>
            <w:vAlign w:val="center"/>
          </w:tcPr>
          <w:p>
            <w:pPr>
              <w:spacing w:line="262" w:lineRule="auto" w:after="0"/>
            </w:pPr>
            <w:r>
              <w:rPr>
                <w:rFonts w:ascii="Aptos" w:hAnsi="Aptos"/>
                <w:b/>
                <w:color w:val="14283D"/>
                <w:sz w:val="16"/>
              </w:rPr>
              <w:t>Time to protective action</w:t>
            </w:r>
          </w:p>
        </w:tc>
        <w:tc>
          <w:tcPr>
            <w:tcW w:type="dxa" w:w="6595"/>
            <w:tcMar>
              <w:top w:w="90" w:type="dxa"/>
              <w:start w:w="105" w:type="dxa"/>
              <w:bottom w:w="90" w:type="dxa"/>
              <w:end w:w="105" w:type="dxa"/>
            </w:tcMar>
            <w:vAlign w:val="center"/>
          </w:tcPr>
          <w:p>
            <w:pPr>
              <w:spacing w:line="262" w:lineRule="auto" w:after="0"/>
            </w:pPr>
            <w:r>
              <w:rPr>
                <w:rFonts w:ascii="Aptos" w:hAnsi="Aptos"/>
                <w:b w:val="0"/>
                <w:color w:val="42576D"/>
                <w:sz w:val="16"/>
              </w:rPr>
              <w:t>Duration a verified hazard remains without documented temporary protection.</w:t>
            </w:r>
          </w:p>
        </w:tc>
      </w:tr>
      <w:tr>
        <w:tc>
          <w:tcPr>
            <w:tcW w:type="dxa" w:w="3038"/>
            <w:tcMar>
              <w:top w:w="90" w:type="dxa"/>
              <w:start w:w="105" w:type="dxa"/>
              <w:bottom w:w="90" w:type="dxa"/>
              <w:end w:w="105" w:type="dxa"/>
            </w:tcMar>
            <w:vAlign w:val="center"/>
            <w:shd w:fill="F2F6F8"/>
          </w:tcPr>
          <w:p>
            <w:pPr>
              <w:spacing w:line="262" w:lineRule="auto" w:after="0"/>
            </w:pPr>
            <w:r>
              <w:rPr>
                <w:rFonts w:ascii="Aptos" w:hAnsi="Aptos"/>
                <w:b/>
                <w:color w:val="14283D"/>
                <w:sz w:val="16"/>
              </w:rPr>
              <w:t>Verified closure rate</w:t>
            </w:r>
          </w:p>
        </w:tc>
        <w:tc>
          <w:tcPr>
            <w:tcW w:type="dxa" w:w="6595"/>
            <w:tcMar>
              <w:top w:w="90" w:type="dxa"/>
              <w:start w:w="105" w:type="dxa"/>
              <w:bottom w:w="90" w:type="dxa"/>
              <w:end w:w="105" w:type="dxa"/>
            </w:tcMar>
            <w:vAlign w:val="center"/>
            <w:shd w:fill="F2F6F8"/>
          </w:tcPr>
          <w:p>
            <w:pPr>
              <w:spacing w:line="262" w:lineRule="auto" w:after="0"/>
            </w:pPr>
            <w:r>
              <w:rPr>
                <w:rFonts w:ascii="Aptos" w:hAnsi="Aptos"/>
                <w:b w:val="0"/>
                <w:color w:val="42576D"/>
                <w:sz w:val="16"/>
              </w:rPr>
              <w:t>Share of permanently repaired cases with qualified sign-off.</w:t>
            </w:r>
          </w:p>
        </w:tc>
      </w:tr>
      <w:tr>
        <w:tc>
          <w:tcPr>
            <w:tcW w:type="dxa" w:w="3038"/>
            <w:tcMar>
              <w:top w:w="90" w:type="dxa"/>
              <w:start w:w="105" w:type="dxa"/>
              <w:bottom w:w="90" w:type="dxa"/>
              <w:end w:w="105" w:type="dxa"/>
            </w:tcMar>
            <w:vAlign w:val="center"/>
          </w:tcPr>
          <w:p>
            <w:pPr>
              <w:spacing w:line="262" w:lineRule="auto" w:after="0"/>
            </w:pPr>
            <w:r>
              <w:rPr>
                <w:rFonts w:ascii="Aptos" w:hAnsi="Aptos"/>
                <w:b/>
                <w:color w:val="14283D"/>
                <w:sz w:val="16"/>
              </w:rPr>
              <w:t>Repeat hazards</w:t>
            </w:r>
          </w:p>
        </w:tc>
        <w:tc>
          <w:tcPr>
            <w:tcW w:type="dxa" w:w="6595"/>
            <w:tcMar>
              <w:top w:w="90" w:type="dxa"/>
              <w:start w:w="105" w:type="dxa"/>
              <w:bottom w:w="90" w:type="dxa"/>
              <w:end w:w="105" w:type="dxa"/>
            </w:tcMar>
            <w:vAlign w:val="center"/>
          </w:tcPr>
          <w:p>
            <w:pPr>
              <w:spacing w:line="262" w:lineRule="auto" w:after="0"/>
            </w:pPr>
            <w:r>
              <w:rPr>
                <w:rFonts w:ascii="Aptos" w:hAnsi="Aptos"/>
                <w:b w:val="0"/>
                <w:color w:val="42576D"/>
                <w:sz w:val="16"/>
              </w:rPr>
              <w:t>Assets or locations reported again after a previous repair.</w:t>
            </w:r>
          </w:p>
        </w:tc>
      </w:tr>
    </w:tbl>
    <w:p>
      <w:pPr>
        <w:spacing w:before="0" w:after="0" w:line="271" w:lineRule="auto"/>
      </w:pPr>
      <w:r>
        <w:rPr>
          <w:rFonts w:ascii="Aptos" w:hAnsi="Aptos"/>
          <w:b w:val="0"/>
          <w:color w:val="14283D"/>
          <w:sz w:val="6"/>
        </w:rPr>
      </w:r>
    </w:p>
    <w:p>
      <w:pPr>
        <w:spacing w:before="0" w:after="140" w:line="271" w:lineRule="auto"/>
      </w:pPr>
      <w:r>
        <w:rPr>
          <w:rFonts w:ascii="Aptos" w:hAnsi="Aptos"/>
          <w:b w:val="0"/>
          <w:color w:val="42576D"/>
          <w:sz w:val="17"/>
        </w:rPr>
        <w:t>These are proposed pilot metrics, not measured outcomes or promised reductions in injury. Any real deployment would require a municipality or asset owner to agree to case ownership, operational response and data governance.</w:t>
      </w:r>
    </w:p>
    <w:p>
      <w:pPr>
        <w:spacing w:before="140" w:after="80"/>
      </w:pPr>
      <w:r>
        <w:rPr>
          <w:rFonts w:ascii="Aptos" w:hAnsi="Aptos"/>
          <w:b/>
          <w:color w:val="057A80"/>
          <w:sz w:val="16"/>
        </w:rPr>
        <w:t>TEN-MEMBER TEAM ALLOCATION — ADJUST IF ORGANISERS REQUIRE SMALLER TEAMS</w:t>
      </w:r>
    </w:p>
    <w:tbl>
      <w:tblPr>
        <w:tblW w:type="auto" w:w="0"/>
        <w:jc w:val="center"/>
        <w:tblLayout w:type="fixed"/>
        <w:tblLook w:firstColumn="1" w:firstRow="1" w:lastColumn="0" w:lastRow="0" w:noHBand="0" w:noVBand="1" w:val="04A0"/>
      </w:tblPr>
      <w:tblGrid>
        <w:gridCol w:w="3168"/>
        <w:gridCol w:w="6466"/>
      </w:tblGrid>
      <w:tr>
        <w:trPr>
          <w:tblHeader w:val="true"/>
        </w:trPr>
        <w:tc>
          <w:tcPr>
            <w:tcW w:type="dxa" w:w="4860"/>
            <w:shd w:fill="14283D"/>
            <w:tcMar>
              <w:top w:w="90" w:type="dxa"/>
              <w:start w:w="105" w:type="dxa"/>
              <w:bottom w:w="90" w:type="dxa"/>
              <w:end w:w="105" w:type="dxa"/>
            </w:tcMar>
            <w:vAlign w:val="center"/>
          </w:tcPr>
          <w:p>
            <w:pPr>
              <w:spacing w:after="0"/>
            </w:pPr>
            <w:r>
              <w:rPr>
                <w:rFonts w:ascii="Aptos" w:hAnsi="Aptos"/>
                <w:b/>
                <w:color w:val="FFFFFF"/>
                <w:sz w:val="15"/>
              </w:rPr>
              <w:t>TEAM</w:t>
            </w:r>
          </w:p>
        </w:tc>
        <w:tc>
          <w:tcPr>
            <w:tcW w:type="dxa" w:w="4860"/>
            <w:shd w:fill="14283D"/>
            <w:tcMar>
              <w:top w:w="90" w:type="dxa"/>
              <w:start w:w="105" w:type="dxa"/>
              <w:bottom w:w="90" w:type="dxa"/>
              <w:end w:w="105" w:type="dxa"/>
            </w:tcMar>
            <w:vAlign w:val="center"/>
          </w:tcPr>
          <w:p>
            <w:pPr>
              <w:spacing w:after="0"/>
            </w:pPr>
            <w:r>
              <w:rPr>
                <w:rFonts w:ascii="Aptos" w:hAnsi="Aptos"/>
                <w:b/>
                <w:color w:val="FFFFFF"/>
                <w:sz w:val="15"/>
              </w:rPr>
              <w:t>OWNERSHIP</w:t>
            </w:r>
          </w:p>
        </w:tc>
      </w:tr>
      <w:tr>
        <w:tc>
          <w:tcPr>
            <w:tcW w:type="dxa" w:w="3168"/>
            <w:tcMar>
              <w:top w:w="90" w:type="dxa"/>
              <w:start w:w="105" w:type="dxa"/>
              <w:bottom w:w="90" w:type="dxa"/>
              <w:end w:w="105" w:type="dxa"/>
            </w:tcMar>
            <w:vAlign w:val="center"/>
            <w:shd w:fill="F2F6F8"/>
          </w:tcPr>
          <w:p>
            <w:pPr>
              <w:spacing w:line="262" w:lineRule="auto" w:after="0"/>
            </w:pPr>
            <w:r>
              <w:rPr>
                <w:rFonts w:ascii="Aptos" w:hAnsi="Aptos"/>
                <w:b/>
                <w:color w:val="14283D"/>
                <w:sz w:val="16"/>
              </w:rPr>
              <w:t>1–2  Product &amp; evidence</w:t>
            </w:r>
          </w:p>
        </w:tc>
        <w:tc>
          <w:tcPr>
            <w:tcW w:type="dxa" w:w="6466"/>
            <w:tcMar>
              <w:top w:w="90" w:type="dxa"/>
              <w:start w:w="105" w:type="dxa"/>
              <w:bottom w:w="90" w:type="dxa"/>
              <w:end w:w="105" w:type="dxa"/>
            </w:tcMar>
            <w:vAlign w:val="center"/>
            <w:shd w:fill="F2F6F8"/>
          </w:tcPr>
          <w:p>
            <w:pPr>
              <w:spacing w:line="262" w:lineRule="auto" w:after="0"/>
            </w:pPr>
            <w:r>
              <w:rPr>
                <w:rFonts w:ascii="Aptos" w:hAnsi="Aptos"/>
                <w:b w:val="0"/>
                <w:color w:val="42576D"/>
                <w:sz w:val="16"/>
              </w:rPr>
              <w:t>Scope, user story, statistics, competitor verification, mentor feedback.</w:t>
            </w:r>
          </w:p>
        </w:tc>
      </w:tr>
      <w:tr>
        <w:tc>
          <w:tcPr>
            <w:tcW w:type="dxa" w:w="3168"/>
            <w:tcMar>
              <w:top w:w="90" w:type="dxa"/>
              <w:start w:w="105" w:type="dxa"/>
              <w:bottom w:w="90" w:type="dxa"/>
              <w:end w:w="105" w:type="dxa"/>
            </w:tcMar>
            <w:vAlign w:val="center"/>
          </w:tcPr>
          <w:p>
            <w:pPr>
              <w:spacing w:line="262" w:lineRule="auto" w:after="0"/>
            </w:pPr>
            <w:r>
              <w:rPr>
                <w:rFonts w:ascii="Aptos" w:hAnsi="Aptos"/>
                <w:b/>
                <w:color w:val="14283D"/>
                <w:sz w:val="16"/>
              </w:rPr>
              <w:t>3–4  UX &amp; resident experience</w:t>
            </w:r>
          </w:p>
        </w:tc>
        <w:tc>
          <w:tcPr>
            <w:tcW w:type="dxa" w:w="6466"/>
            <w:tcMar>
              <w:top w:w="90" w:type="dxa"/>
              <w:start w:w="105" w:type="dxa"/>
              <w:bottom w:w="90" w:type="dxa"/>
              <w:end w:w="105" w:type="dxa"/>
            </w:tcMar>
            <w:vAlign w:val="center"/>
          </w:tcPr>
          <w:p>
            <w:pPr>
              <w:spacing w:line="262" w:lineRule="auto" w:after="0"/>
            </w:pPr>
            <w:r>
              <w:rPr>
                <w:rFonts w:ascii="Aptos" w:hAnsi="Aptos"/>
                <w:b w:val="0"/>
                <w:color w:val="42576D"/>
                <w:sz w:val="16"/>
              </w:rPr>
              <w:t>Accessible reporting form, public status views and design system.</w:t>
            </w:r>
          </w:p>
        </w:tc>
      </w:tr>
      <w:tr>
        <w:tc>
          <w:tcPr>
            <w:tcW w:type="dxa" w:w="3168"/>
            <w:tcMar>
              <w:top w:w="90" w:type="dxa"/>
              <w:start w:w="105" w:type="dxa"/>
              <w:bottom w:w="90" w:type="dxa"/>
              <w:end w:w="105" w:type="dxa"/>
            </w:tcMar>
            <w:vAlign w:val="center"/>
            <w:shd w:fill="F2F6F8"/>
          </w:tcPr>
          <w:p>
            <w:pPr>
              <w:spacing w:line="262" w:lineRule="auto" w:after="0"/>
            </w:pPr>
            <w:r>
              <w:rPr>
                <w:rFonts w:ascii="Aptos" w:hAnsi="Aptos"/>
                <w:b/>
                <w:color w:val="14283D"/>
                <w:sz w:val="16"/>
              </w:rPr>
              <w:t>5–6  Government workflow</w:t>
            </w:r>
          </w:p>
        </w:tc>
        <w:tc>
          <w:tcPr>
            <w:tcW w:type="dxa" w:w="6466"/>
            <w:tcMar>
              <w:top w:w="90" w:type="dxa"/>
              <w:start w:w="105" w:type="dxa"/>
              <w:bottom w:w="90" w:type="dxa"/>
              <w:end w:w="105" w:type="dxa"/>
            </w:tcMar>
            <w:vAlign w:val="center"/>
            <w:shd w:fill="F2F6F8"/>
          </w:tcPr>
          <w:p>
            <w:pPr>
              <w:spacing w:line="262" w:lineRule="auto" w:after="0"/>
            </w:pPr>
            <w:r>
              <w:rPr>
                <w:rFonts w:ascii="Aptos" w:hAnsi="Aptos"/>
                <w:b w:val="0"/>
                <w:color w:val="42576D"/>
                <w:sz w:val="16"/>
              </w:rPr>
              <w:t>Triage dashboard, assignments and incident status logic.</w:t>
            </w:r>
          </w:p>
        </w:tc>
      </w:tr>
      <w:tr>
        <w:tc>
          <w:tcPr>
            <w:tcW w:type="dxa" w:w="3168"/>
            <w:tcMar>
              <w:top w:w="90" w:type="dxa"/>
              <w:start w:w="105" w:type="dxa"/>
              <w:bottom w:w="90" w:type="dxa"/>
              <w:end w:w="105" w:type="dxa"/>
            </w:tcMar>
            <w:vAlign w:val="center"/>
          </w:tcPr>
          <w:p>
            <w:pPr>
              <w:spacing w:line="262" w:lineRule="auto" w:after="0"/>
            </w:pPr>
            <w:r>
              <w:rPr>
                <w:rFonts w:ascii="Aptos" w:hAnsi="Aptos"/>
                <w:b/>
                <w:color w:val="14283D"/>
                <w:sz w:val="16"/>
              </w:rPr>
              <w:t>7–8  Platform integration</w:t>
            </w:r>
          </w:p>
        </w:tc>
        <w:tc>
          <w:tcPr>
            <w:tcW w:type="dxa" w:w="6466"/>
            <w:tcMar>
              <w:top w:w="90" w:type="dxa"/>
              <w:start w:w="105" w:type="dxa"/>
              <w:bottom w:w="90" w:type="dxa"/>
              <w:end w:w="105" w:type="dxa"/>
            </w:tcMar>
            <w:vAlign w:val="center"/>
          </w:tcPr>
          <w:p>
            <w:pPr>
              <w:spacing w:line="262" w:lineRule="auto" w:after="0"/>
            </w:pPr>
            <w:r>
              <w:rPr>
                <w:rFonts w:ascii="Aptos" w:hAnsi="Aptos"/>
                <w:b w:val="0"/>
                <w:color w:val="42576D"/>
                <w:sz w:val="16"/>
              </w:rPr>
              <w:t>Supabase schema, roles, APIs and deployment.</w:t>
            </w:r>
          </w:p>
        </w:tc>
      </w:tr>
      <w:tr>
        <w:tc>
          <w:tcPr>
            <w:tcW w:type="dxa" w:w="3168"/>
            <w:tcMar>
              <w:top w:w="90" w:type="dxa"/>
              <w:start w:w="105" w:type="dxa"/>
              <w:bottom w:w="90" w:type="dxa"/>
              <w:end w:w="105" w:type="dxa"/>
            </w:tcMar>
            <w:vAlign w:val="center"/>
            <w:shd w:fill="F2F6F8"/>
          </w:tcPr>
          <w:p>
            <w:pPr>
              <w:spacing w:line="262" w:lineRule="auto" w:after="0"/>
            </w:pPr>
            <w:r>
              <w:rPr>
                <w:rFonts w:ascii="Aptos" w:hAnsi="Aptos"/>
                <w:b/>
                <w:color w:val="14283D"/>
                <w:sz w:val="16"/>
              </w:rPr>
              <w:t>9–10  QA &amp; pitch</w:t>
            </w:r>
          </w:p>
        </w:tc>
        <w:tc>
          <w:tcPr>
            <w:tcW w:type="dxa" w:w="6466"/>
            <w:tcMar>
              <w:top w:w="90" w:type="dxa"/>
              <w:start w:w="105" w:type="dxa"/>
              <w:bottom w:w="90" w:type="dxa"/>
              <w:end w:w="105" w:type="dxa"/>
            </w:tcMar>
            <w:vAlign w:val="center"/>
            <w:shd w:fill="F2F6F8"/>
          </w:tcPr>
          <w:p>
            <w:pPr>
              <w:spacing w:line="262" w:lineRule="auto" w:after="0"/>
            </w:pPr>
            <w:r>
              <w:rPr>
                <w:rFonts w:ascii="Aptos" w:hAnsi="Aptos"/>
                <w:b w:val="0"/>
                <w:color w:val="42576D"/>
                <w:sz w:val="16"/>
              </w:rPr>
              <w:t>End-to-end testing, contingency demo, narrative and presentation.</w:t>
            </w:r>
          </w:p>
        </w:tc>
      </w:tr>
    </w:tbl>
    <w:p>
      <w:pPr>
        <w:spacing w:before="0" w:after="0" w:line="271" w:lineRule="auto"/>
      </w:pPr>
      <w:r>
        <w:rPr>
          <w:rFonts w:ascii="Aptos" w:hAnsi="Aptos"/>
          <w:b w:val="0"/>
          <w:color w:val="14283D"/>
          <w:sz w:val="6"/>
        </w:rPr>
      </w:r>
    </w:p>
    <w:p>
      <w:pPr>
        <w:spacing w:before="140" w:after="80"/>
      </w:pPr>
      <w:r>
        <w:rPr>
          <w:rFonts w:ascii="Aptos" w:hAnsi="Aptos"/>
          <w:b/>
          <w:color w:val="057A80"/>
          <w:sz w:val="16"/>
        </w:rPr>
        <w:t>DECISION GATES</w:t>
      </w:r>
    </w:p>
    <w:p>
      <w:pPr>
        <w:spacing w:before="0" w:after="160" w:line="271" w:lineRule="auto"/>
      </w:pPr>
      <w:r>
        <w:rPr>
          <w:rFonts w:ascii="Aptos" w:hAnsi="Aptos"/>
          <w:b w:val="0"/>
          <w:color w:val="14283D"/>
          <w:sz w:val="17"/>
        </w:rPr>
        <w:t>1. Confirm G12 eligibility and team size.   2. Validate containment/sign-off gap with a mentor or municipal user.   3. Build one complete fictional case journey.   4. Freeze features before submission; rehearse a live demo with a backup video.</w:t>
      </w:r>
    </w:p>
    <w:tbl>
      <w:tblPr>
        <w:tblW w:type="auto" w:w="0"/>
        <w:tblLayout w:type="fixed"/>
        <w:tblLook w:firstColumn="1" w:firstRow="1" w:lastColumn="0" w:lastRow="0" w:noHBand="0" w:noVBand="1" w:val="04A0"/>
      </w:tblPr>
      <w:tblGrid>
        <w:gridCol w:w="9936"/>
      </w:tblGrid>
      <w:tr>
        <w:tc>
          <w:tcPr>
            <w:tcW w:type="dxa" w:w="9721"/>
            <w:shd w:fill="E7F5F3"/>
            <w:tcMar>
              <w:top w:w="130" w:type="dxa"/>
              <w:start w:w="170" w:type="dxa"/>
              <w:bottom w:w="130" w:type="dxa"/>
              <w:end w:w="170" w:type="dxa"/>
            </w:tcMar>
          </w:tcPr>
          <w:p>
            <w:pPr>
              <w:spacing w:after="80"/>
            </w:pPr>
            <w:r>
              <w:rPr>
                <w:rFonts w:ascii="Aptos" w:hAnsi="Aptos"/>
                <w:b/>
                <w:color w:val="057A80"/>
                <w:sz w:val="16"/>
              </w:rPr>
              <w:t>PITCH IN ONE SENTENCE</w:t>
            </w:r>
          </w:p>
          <w:p>
            <w:pPr>
              <w:spacing w:after="0" w:line="276" w:lineRule="auto"/>
            </w:pPr>
            <w:r>
              <w:rPr>
                <w:rFonts w:ascii="Aptos" w:hAnsi="Aptos"/>
                <w:b w:val="0"/>
                <w:color w:val="14283D"/>
                <w:sz w:val="20"/>
              </w:rPr>
              <w:t>“Most apps help report what is broken. SafeGuard SA helps show whether people are protected while it is being fixed—and who verified that the danger is finally resolved.”</w:t>
            </w:r>
          </w:p>
        </w:tc>
      </w:tr>
    </w:tbl>
    <w:p>
      <w:pPr>
        <w:spacing w:before="0" w:after="20" w:line="271" w:lineRule="auto"/>
      </w:pPr>
      <w:r>
        <w:rPr>
          <w:rFonts w:ascii="Aptos" w:hAnsi="Aptos"/>
          <w:b w:val="0"/>
          <w:color w:val="14283D"/>
          <w:sz w:val="6"/>
        </w:rPr>
      </w:r>
    </w:p>
    <w:p>
      <w:pPr>
        <w:spacing w:before="140" w:after="80"/>
      </w:pPr>
      <w:r>
        <w:rPr>
          <w:rFonts w:ascii="Aptos" w:hAnsi="Aptos"/>
          <w:b/>
          <w:color w:val="057A80"/>
          <w:sz w:val="16"/>
        </w:rPr>
        <w:t>REFERENCES AND VERIFICATION LINKS</w:t>
      </w:r>
    </w:p>
    <w:p>
      <w:pPr>
        <w:spacing w:after="20" w:line="252" w:lineRule="auto"/>
      </w:pPr>
      <w:r>
        <w:rPr>
          <w:rFonts w:ascii="Aptos" w:hAnsi="Aptos"/>
          <w:b/>
          <w:color w:val="057A80"/>
          <w:sz w:val="16"/>
        </w:rPr>
        <w:t xml:space="preserve">[1] </w:t>
      </w:r>
      <w:hyperlink r:id="rId11">
        <w:r>
          <w:rPr>
            <w:color w:val="057A80"/>
            <w:u w:val="single"/>
            <w:sz w:val="17"/>
          </w:rPr>
          <w:t>Gauteng Premier, State of the Province Address, 24 February 2026</w:t>
        </w:r>
      </w:hyperlink>
    </w:p>
    <w:p>
      <w:pPr>
        <w:spacing w:after="20" w:line="252" w:lineRule="auto"/>
      </w:pPr>
      <w:r>
        <w:rPr>
          <w:rFonts w:ascii="Aptos" w:hAnsi="Aptos"/>
          <w:b/>
          <w:color w:val="057A80"/>
          <w:sz w:val="16"/>
        </w:rPr>
        <w:t xml:space="preserve">[2] </w:t>
      </w:r>
      <w:hyperlink r:id="rId12">
        <w:r>
          <w:rPr>
            <w:color w:val="057A80"/>
            <w:u w:val="single"/>
            <w:sz w:val="17"/>
          </w:rPr>
          <w:t>Johannesburg Water, infrastructure theft and public safety, 8 April 2025</w:t>
        </w:r>
      </w:hyperlink>
    </w:p>
    <w:p>
      <w:pPr>
        <w:spacing w:after="20" w:line="252" w:lineRule="auto"/>
      </w:pPr>
      <w:r>
        <w:rPr>
          <w:rFonts w:ascii="Aptos" w:hAnsi="Aptos"/>
          <w:b/>
          <w:color w:val="057A80"/>
          <w:sz w:val="16"/>
        </w:rPr>
        <w:t xml:space="preserve">[3] </w:t>
      </w:r>
      <w:hyperlink r:id="rId13">
        <w:r>
          <w:rPr>
            <w:color w:val="057A80"/>
            <w:u w:val="single"/>
            <w:sz w:val="17"/>
          </w:rPr>
          <w:t>eNCA, Khutsong open-manhole tragedy, 6 October 2025</w:t>
        </w:r>
      </w:hyperlink>
    </w:p>
    <w:p>
      <w:pPr>
        <w:spacing w:after="20" w:line="252" w:lineRule="auto"/>
      </w:pPr>
      <w:r>
        <w:rPr>
          <w:rFonts w:ascii="Aptos" w:hAnsi="Aptos"/>
          <w:b/>
          <w:color w:val="057A80"/>
          <w:sz w:val="16"/>
        </w:rPr>
        <w:t xml:space="preserve">[4] </w:t>
      </w:r>
      <w:hyperlink r:id="rId14">
        <w:r>
          <w:rPr>
            <w:color w:val="057A80"/>
            <w:u w:val="single"/>
            <w:sz w:val="17"/>
          </w:rPr>
          <w:t>City of Johannesburg, Central Service Delivery App</w:t>
        </w:r>
      </w:hyperlink>
    </w:p>
    <w:p>
      <w:pPr>
        <w:spacing w:after="20" w:line="252" w:lineRule="auto"/>
      </w:pPr>
      <w:r>
        <w:rPr>
          <w:rFonts w:ascii="Aptos" w:hAnsi="Aptos"/>
          <w:b/>
          <w:color w:val="057A80"/>
          <w:sz w:val="16"/>
        </w:rPr>
        <w:t xml:space="preserve">[5] </w:t>
      </w:r>
      <w:hyperlink r:id="rId15">
        <w:r>
          <w:rPr>
            <w:color w:val="057A80"/>
            <w:u w:val="single"/>
            <w:sz w:val="17"/>
          </w:rPr>
          <w:t>CityMenderSA, platform capabilities / FAQ</w:t>
        </w:r>
      </w:hyperlink>
    </w:p>
    <w:p>
      <w:pPr>
        <w:spacing w:after="20" w:line="252" w:lineRule="auto"/>
      </w:pPr>
      <w:r>
        <w:rPr>
          <w:rFonts w:ascii="Aptos" w:hAnsi="Aptos"/>
          <w:b/>
          <w:color w:val="057A80"/>
          <w:sz w:val="16"/>
        </w:rPr>
        <w:t xml:space="preserve">[6] </w:t>
      </w:r>
      <w:hyperlink r:id="rId16">
        <w:r>
          <w:rPr>
            <w:color w:val="057A80"/>
            <w:u w:val="single"/>
            <w:sz w:val="17"/>
          </w:rPr>
          <w:t>Fixlocal, reporting and escalation guidance</w:t>
        </w:r>
      </w:hyperlink>
    </w:p>
    <w:p>
      <w:pPr>
        <w:spacing w:after="20" w:line="252" w:lineRule="auto"/>
      </w:pPr>
      <w:r>
        <w:rPr>
          <w:rFonts w:ascii="Aptos" w:hAnsi="Aptos"/>
          <w:b/>
          <w:color w:val="057A80"/>
          <w:sz w:val="16"/>
        </w:rPr>
        <w:t xml:space="preserve">[7] </w:t>
      </w:r>
      <w:hyperlink r:id="rId17">
        <w:r>
          <w:rPr>
            <w:color w:val="057A80"/>
            <w:u w:val="single"/>
            <w:sz w:val="17"/>
          </w:rPr>
          <w:t>South African Government, Protection of Personal Information Act</w:t>
        </w:r>
      </w:hyperlink>
    </w:p>
    <w:sectPr w:rsidR="00FC693F" w:rsidRPr="0006063C" w:rsidSect="00034616">
      <w:headerReference w:type="default" r:id="rId9"/>
      <w:footerReference w:type="default" r:id="rId10"/>
      <w:pgSz w:w="11909" w:h="16834"/>
      <w:pgMar w:top="979" w:right="1094" w:bottom="936" w:left="1094" w:header="446"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4748B"/>
        <w:sz w:val="15"/>
      </w:rPr>
      <w:t xml:space="preserve">Concept proposal  •  16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57A80"/>
        <w:sz w:val="15"/>
      </w:rPr>
      <w:t>SAFEGUARD SA   |   G13 E-GOV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428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8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8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8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za/news/speeches/premier-panyaza-lesufi-gauteng-state-province-address-2026-24-feb-2026" TargetMode="External"/><Relationship Id="rId12" Type="http://schemas.openxmlformats.org/officeDocument/2006/relationships/hyperlink" Target="https://www.johannesburgwater.co.za/blog/2025/04/08/theft-and-vandalism-of-water-infrastructure-in-johannesburg-is-crippling-effective-service-delivery-2/" TargetMode="External"/><Relationship Id="rId13" Type="http://schemas.openxmlformats.org/officeDocument/2006/relationships/hyperlink" Target="https://www.enca.com/top-stories/outrage-over-toddlers-death-open-manhole-khutsong" TargetMode="External"/><Relationship Id="rId14" Type="http://schemas.openxmlformats.org/officeDocument/2006/relationships/hyperlink" Target="https://play.google.com/store/apps/details?id=com.joburg.app" TargetMode="External"/><Relationship Id="rId15" Type="http://schemas.openxmlformats.org/officeDocument/2006/relationships/hyperlink" Target="https://www.citymendersa.co.za/frequentlyaskedquestions" TargetMode="External"/><Relationship Id="rId16" Type="http://schemas.openxmlformats.org/officeDocument/2006/relationships/hyperlink" Target="https://www.fixlocal.org.za/" TargetMode="External"/><Relationship Id="rId17" Type="http://schemas.openxmlformats.org/officeDocument/2006/relationships/hyperlink" Target="https://www.gov.za/documents/protection-personal-information-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 SA — G13 Hackathon Concept Proposal</dc:title>
  <dc:subject>G12 failing infrastructure, risk containment and verified repair workflow</dc:subject>
  <dc:creator>Youth Tech Hackathon Team</dc:creator>
  <cp:keywords>G13; Gauteng; Youth Tech; Hackathon; Infrastructure Safety</cp:keywords>
  <dc:description>generated by python-docx</dc:description>
  <cp:lastModifiedBy/>
  <cp:revision>1</cp:revision>
  <dcterms:created xsi:type="dcterms:W3CDTF">2013-12-23T23:15:00Z</dcterms:created>
  <dcterms:modified xsi:type="dcterms:W3CDTF">2013-12-23T23:15:00Z</dcterms:modified>
  <cp:category/>
</cp:coreProperties>
</file>