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80" w:line="360" w:lineRule="auto"/>
        <w:jc w:val="center"/>
      </w:pPr>
      <w:r>
        <w:rPr>
          <w:rFonts w:ascii="Arial" w:hAnsi="Arial"/>
          <w:b/>
          <w:i w:val="0"/>
          <w:color w:val="1F4E79"/>
          <w:sz w:val="40"/>
        </w:rPr>
        <w:t>面向校园学习资料共享的</w:t>
      </w:r>
    </w:p>
    <w:p>
      <w:pPr>
        <w:spacing w:after="80" w:line="360" w:lineRule="auto"/>
        <w:jc w:val="center"/>
      </w:pPr>
      <w:r>
        <w:rPr>
          <w:rFonts w:ascii="Arial" w:hAnsi="Arial"/>
          <w:b/>
          <w:i w:val="0"/>
          <w:color w:val="1F4E79"/>
          <w:sz w:val="40"/>
        </w:rPr>
        <w:t>区块链可信分发原型系统</w:t>
      </w:r>
    </w:p>
    <w:p>
      <w:pPr>
        <w:spacing w:after="480" w:line="360" w:lineRule="auto"/>
        <w:jc w:val="center"/>
      </w:pPr>
      <w:r>
        <w:rPr>
          <w:rFonts w:ascii="Arial" w:hAnsi="Arial"/>
          <w:b w:val="0"/>
          <w:i w:val="0"/>
          <w:color w:val="2E75B6"/>
          <w:sz w:val="36"/>
        </w:rPr>
        <w:t>系统设计方案</w:t>
      </w:r>
    </w:p>
    <w:p>
      <w:pPr>
        <w:spacing w:after="720" w:line="360" w:lineRule="auto"/>
        <w:jc w:val="center"/>
      </w:pPr>
      <w:r>
        <w:rPr>
          <w:rFonts w:ascii="Arial" w:hAnsi="Arial"/>
          <w:b w:val="0"/>
          <w:i w:val="0"/>
          <w:color w:val="333333"/>
          <w:sz w:val="24"/>
        </w:rPr>
        <w:t>核心难题：内容级防篡改验证 × 通证激励资源交换</w:t>
      </w:r>
    </w:p>
    <w:p>
      <w:pPr>
        <w:spacing w:after="160" w:line="360" w:lineRule="auto"/>
        <w:jc w:val="center"/>
      </w:pPr>
      <w:r>
        <w:rPr>
          <w:rFonts w:ascii="Arial" w:hAnsi="Arial"/>
          <w:b w:val="0"/>
          <w:i w:val="0"/>
          <w:color w:val="999999"/>
          <w:sz w:val="20"/>
        </w:rPr>
        <w:t>────────────────────────────────────────</w:t>
      </w:r>
    </w:p>
    <w:p>
      <w:pPr>
        <w:spacing w:after="80" w:line="360" w:lineRule="auto"/>
        <w:jc w:val="center"/>
      </w:pPr>
      <w:r>
        <w:rPr>
          <w:rFonts w:ascii="Arial" w:hAnsi="Arial"/>
          <w:b w:val="0"/>
          <w:i w:val="0"/>
          <w:color w:val="999999"/>
          <w:sz w:val="20"/>
        </w:rPr>
        <w:t>PPT 文稿　│　全文分为 Part 1–4，对应四位组员各自负责的 PPT 制作范围</w:t>
      </w:r>
    </w:p>
    <w:p>
      <w:r>
        <w:br w:type="page"/>
      </w:r>
    </w:p>
    <w:p>
      <w:pPr>
        <w:spacing w:before="320" w:after="160" w:line="240" w:lineRule="auto"/>
        <w:pBdr>
          <w:top w:val="single" w:sz="6" w:space="4" w:color="4A86C8"/>
          <w:bottom w:val="single" w:sz="6" w:space="4" w:color="4A86C8"/>
        </w:pBdr>
        <w:shd w:fill="E8F0FE" w:val="clear"/>
      </w:pPr>
      <w:r>
        <w:rPr>
          <w:rFonts w:ascii="Arial" w:hAnsi="Arial"/>
          <w:b/>
          <w:color w:val="1F4E79"/>
          <w:sz w:val="24"/>
        </w:rPr>
        <w:t xml:space="preserve">┃ Part 1｜组员一 ┃  </w:t>
      </w:r>
      <w:r>
        <w:rPr>
          <w:rFonts w:ascii="Arial" w:hAnsi="Arial"/>
          <w:i/>
          <w:color w:val="2E75B6"/>
          <w:sz w:val="22"/>
        </w:rPr>
        <w:t>问题分析 · 核心定位 · 整体架构 · 技术选型</w:t>
      </w:r>
    </w:p>
    <w:p>
      <w:pPr>
        <w:spacing w:before="160" w:after="40"/>
      </w:pPr>
      <w:r>
        <w:rPr>
          <w:rFonts w:ascii="Arial" w:hAnsi="Arial"/>
          <w:i/>
          <w:color w:val="888888"/>
          <w:sz w:val="20"/>
        </w:rPr>
        <w:t>▶ [Slide: 场景痛点分析]</w:t>
      </w:r>
    </w:p>
    <w:p>
      <w:pPr>
        <w:pStyle w:val="Heading1"/>
      </w:pPr>
      <w:r>
        <w:rPr>
          <w:rFonts w:ascii="Arial" w:hAnsi="Arial"/>
          <w:color w:val="1F4E79"/>
        </w:rPr>
        <w:t>一、场景痛点分析</w:t>
      </w:r>
    </w:p>
    <w:p>
      <w:pPr>
        <w:spacing w:after="80" w:line="360" w:lineRule="auto"/>
      </w:pPr>
      <w:r>
        <w:rPr>
          <w:rFonts w:ascii="Arial" w:hAnsi="Arial"/>
          <w:b w:val="0"/>
          <w:i w:val="0"/>
          <w:color w:val="333333"/>
          <w:sz w:val="22"/>
        </w:rPr>
        <w:t>校园学习资料共享场景下，现有方式（网盘、QQ群文件、微信群转发）存在两个深层次问题：</w:t>
      </w:r>
    </w:p>
    <w:p>
      <w:pPr>
        <w:spacing w:after="80" w:line="360" w:lineRule="auto"/>
      </w:pPr>
      <w:r>
        <w:rPr>
          <w:rFonts w:ascii="Arial" w:hAnsi="Arial"/>
          <w:b/>
          <w:color w:val="333333"/>
          <w:sz w:val="22"/>
        </w:rPr>
        <w:t>痛点一——内容篡改无法感知：</w:t>
      </w:r>
      <w:r>
        <w:rPr>
          <w:rFonts w:ascii="Arial" w:hAnsi="Arial"/>
          <w:color w:val="333333"/>
          <w:sz w:val="22"/>
        </w:rPr>
        <w:t>课件经多次转发后，可能被修改内容后重新传播。接收者无法判断所下载的文件是否与原始版本一致，更无法知道“被改了多少”。传统 SHA-256 哈希只能给出“一样/不一样”的二值结论，无法量化差异程度。</w:t>
      </w:r>
    </w:p>
    <w:p>
      <w:pPr>
        <w:spacing w:after="80" w:line="360" w:lineRule="auto"/>
      </w:pPr>
      <w:r>
        <w:rPr>
          <w:rFonts w:ascii="Arial" w:hAnsi="Arial"/>
          <w:b/>
          <w:color w:val="333333"/>
          <w:sz w:val="22"/>
        </w:rPr>
        <w:t>痛点二——共享缺乏激励，生态不可持续：</w:t>
      </w:r>
      <w:r>
        <w:rPr>
          <w:rFonts w:ascii="Arial" w:hAnsi="Arial"/>
          <w:color w:val="333333"/>
          <w:sz w:val="22"/>
        </w:rPr>
        <w:t>上传者承担整理、上传成本，却无任何回报。长期来看系统必然陷入“搭便车困境”——所有人都想下载，没人愿意上传。这个场景的本质不是单向“分发”，而是双向“交换”。</w:t>
      </w:r>
    </w:p>
    <w:p>
      <w:pPr>
        <w:spacing w:before="160" w:after="40"/>
      </w:pPr>
      <w:r>
        <w:rPr>
          <w:rFonts w:ascii="Arial" w:hAnsi="Arial"/>
          <w:i/>
          <w:color w:val="888888"/>
          <w:sz w:val="20"/>
        </w:rPr>
        <w:t>▶ [Slide: 核心问题凝练]</w:t>
      </w:r>
    </w:p>
    <w:p>
      <w:pPr>
        <w:pStyle w:val="Heading1"/>
      </w:pPr>
      <w:r>
        <w:rPr>
          <w:rFonts w:ascii="Arial" w:hAnsi="Arial"/>
          <w:color w:val="1F4E79"/>
        </w:rPr>
        <w:t>二、核心问题凝练</w:t>
      </w:r>
    </w:p>
    <w:p>
      <w:pPr>
        <w:spacing w:after="80" w:line="360" w:lineRule="auto"/>
      </w:pPr>
      <w:r>
        <w:rPr>
          <w:rFonts w:ascii="Arial" w:hAnsi="Arial"/>
          <w:b w:val="0"/>
          <w:i w:val="0"/>
          <w:color w:val="333333"/>
          <w:sz w:val="22"/>
        </w:rPr>
        <w:t>基于上述分析，我们将系统设计聚焦于两个核心难题：</w:t>
      </w:r>
    </w:p>
    <w:p>
      <w:pPr>
        <w:spacing w:after="80" w:line="360" w:lineRule="auto"/>
      </w:pPr>
      <w:r>
        <w:rPr>
          <w:rFonts w:ascii="Arial" w:hAnsi="Arial"/>
          <w:b/>
          <w:color w:val="333333"/>
          <w:sz w:val="22"/>
        </w:rPr>
        <w:t>核心难题 ①：文档内容级防篡改验证。</w:t>
      </w:r>
      <w:r>
        <w:rPr>
          <w:rFonts w:ascii="Arial" w:hAnsi="Arial"/>
          <w:color w:val="333333"/>
          <w:sz w:val="22"/>
        </w:rPr>
        <w:t>从“是否一致”升级为“相似度有多高”。引入内容感知哈希（SimHash），对文档提取文字、生成对微小改动具有鲁棒性的感知指纹，与精确哈希一并上链存证，实现可量化的篡改检测与差异定位。</w:t>
      </w:r>
    </w:p>
    <w:p>
      <w:pPr>
        <w:spacing w:after="80" w:line="360" w:lineRule="auto"/>
      </w:pPr>
      <w:r>
        <w:rPr>
          <w:rFonts w:ascii="Arial" w:hAnsi="Arial"/>
          <w:b/>
          <w:color w:val="333333"/>
          <w:sz w:val="22"/>
        </w:rPr>
        <w:t>核心难题 ②：基于通证激励的可信资源交换。</w:t>
      </w:r>
      <w:r>
        <w:rPr>
          <w:rFonts w:ascii="Arial" w:hAnsi="Arial"/>
          <w:color w:val="333333"/>
          <w:sz w:val="22"/>
        </w:rPr>
        <w:t>通过智能合约驱动的 ERC-20 通证机制，让上传者因贡献资源获得通证奖励，下载者因消费资源支付通证成本，形成自我循环的资源交换生态。</w:t>
      </w:r>
    </w:p>
    <w:p>
      <w:pPr>
        <w:spacing w:after="80" w:line="360" w:lineRule="auto"/>
      </w:pPr>
      <w:r>
        <w:rPr>
          <w:rFonts w:ascii="Arial" w:hAnsi="Arial"/>
          <w:b w:val="0"/>
          <w:i w:val="0"/>
          <w:color w:val="333333"/>
          <w:sz w:val="22"/>
        </w:rPr>
        <w:t>两个难题相互支撑：内容指纹解决“信任”，通证激励解决“动力”，共同构成可信交换闭环。</w:t>
      </w:r>
    </w:p>
    <w:p>
      <w:pPr>
        <w:spacing w:before="160" w:after="40"/>
      </w:pPr>
      <w:r>
        <w:rPr>
          <w:rFonts w:ascii="Arial" w:hAnsi="Arial"/>
          <w:i/>
          <w:color w:val="888888"/>
          <w:sz w:val="20"/>
        </w:rPr>
        <w:t>▶ [Slide: 系统架构图]</w:t>
      </w:r>
    </w:p>
    <w:p>
      <w:pPr>
        <w:pStyle w:val="Heading1"/>
      </w:pPr>
      <w:r>
        <w:rPr>
          <w:rFonts w:ascii="Arial" w:hAnsi="Arial"/>
          <w:color w:val="1F4E79"/>
        </w:rPr>
        <w:t>三、系统架构</w:t>
      </w:r>
    </w:p>
    <w:p>
      <w:pPr>
        <w:spacing w:after="80" w:line="360" w:lineRule="auto"/>
      </w:pPr>
      <w:r>
        <w:rPr>
          <w:rFonts w:ascii="Arial" w:hAnsi="Arial"/>
          <w:b w:val="0"/>
          <w:i w:val="0"/>
          <w:color w:val="333333"/>
          <w:sz w:val="22"/>
        </w:rPr>
        <w:t>系统采用四层架构，在需求分析基础上新增内容指纹引擎与通证合约两大模块：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417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层次</w:t>
            </w:r>
          </w:p>
        </w:tc>
        <w:tc>
          <w:tcPr>
            <w:tcW w:type="dxa" w:w="2551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组成</w:t>
            </w:r>
          </w:p>
        </w:tc>
        <w:tc>
          <w:tcPr>
            <w:tcW w:type="dxa" w:w="5386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核心职责</w:t>
            </w:r>
          </w:p>
        </w:tc>
      </w:tr>
      <w:tr>
        <w:tc>
          <w:tcPr>
            <w:tcW w:type="dxa" w:w="1417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前端层</w:t>
            </w:r>
          </w:p>
        </w:tc>
        <w:tc>
          <w:tcPr>
            <w:tcW w:type="dxa" w:w="2551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HTML + JS（Vue 可选）</w:t>
            </w:r>
          </w:p>
        </w:tc>
        <w:tc>
          <w:tcPr>
            <w:tcW w:type="dxa" w:w="5386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用户界面、下载后哈希校验、相似度报告展示、通证余额与交易历史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Arial" w:hAnsi="Arial"/>
                <w:color w:val="333333"/>
                <w:sz w:val="20"/>
              </w:rPr>
              <w:t>后端服务层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color w:val="333333"/>
                <w:sz w:val="20"/>
              </w:rPr>
              <w:t>Python Flask + Web3.py</w:t>
            </w:r>
          </w:p>
        </w:tc>
        <w:tc>
          <w:tcPr>
            <w:tcW w:type="dxa" w:w="5386"/>
          </w:tcPr>
          <w:p>
            <w:r/>
            <w:r>
              <w:rPr>
                <w:rFonts w:ascii="Arial" w:hAnsi="Arial"/>
                <w:color w:val="333333"/>
                <w:sz w:val="20"/>
              </w:rPr>
              <w:t>业务逻辑、内容指纹引擎（文本提取 + SimHash）、通证管理服务</w:t>
            </w:r>
          </w:p>
        </w:tc>
      </w:tr>
      <w:tr>
        <w:tc>
          <w:tcPr>
            <w:tcW w:type="dxa" w:w="1417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区块链层</w:t>
            </w:r>
          </w:p>
        </w:tc>
        <w:tc>
          <w:tcPr>
            <w:tcW w:type="dxa" w:w="2551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Ethereum + Ganache</w:t>
            </w:r>
          </w:p>
        </w:tc>
        <w:tc>
          <w:tcPr>
            <w:tcW w:type="dxa" w:w="5386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MaterialRegistry 合约 + EduToken（ERC-20）合约 + DownloadLog 合约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Arial" w:hAnsi="Arial"/>
                <w:color w:val="333333"/>
                <w:sz w:val="20"/>
              </w:rPr>
              <w:t>链下存储层</w:t>
            </w:r>
          </w:p>
        </w:tc>
        <w:tc>
          <w:tcPr>
            <w:tcW w:type="dxa" w:w="2551"/>
          </w:tcPr>
          <w:p>
            <w:r/>
            <w:r>
              <w:rPr>
                <w:rFonts w:ascii="Arial" w:hAnsi="Arial"/>
                <w:color w:val="333333"/>
                <w:sz w:val="20"/>
              </w:rPr>
              <w:t>本地文件系统 + HTTP</w:t>
            </w:r>
          </w:p>
        </w:tc>
        <w:tc>
          <w:tcPr>
            <w:tcW w:type="dxa" w:w="5386"/>
          </w:tcPr>
          <w:p>
            <w:r/>
            <w:r>
              <w:rPr>
                <w:rFonts w:ascii="Arial" w:hAnsi="Arial"/>
                <w:color w:val="333333"/>
                <w:sz w:val="20"/>
              </w:rPr>
              <w:t>文件本体存储与分发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Arial" w:hAnsi="Arial"/>
          <w:i/>
          <w:color w:val="888888"/>
          <w:sz w:val="20"/>
        </w:rPr>
        <w:t>▶ [Slide: 技术选型一览]</w:t>
      </w:r>
    </w:p>
    <w:p>
      <w:pPr>
        <w:pStyle w:val="Heading1"/>
      </w:pPr>
      <w:r>
        <w:rPr>
          <w:rFonts w:ascii="Arial" w:hAnsi="Arial"/>
          <w:color w:val="1F4E79"/>
        </w:rPr>
        <w:t>四、技术选型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417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组件</w:t>
            </w:r>
          </w:p>
        </w:tc>
        <w:tc>
          <w:tcPr>
            <w:tcW w:type="dxa" w:w="2835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选型</w:t>
            </w:r>
          </w:p>
        </w:tc>
        <w:tc>
          <w:tcPr>
            <w:tcW w:type="dxa" w:w="5102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理由</w:t>
            </w:r>
          </w:p>
        </w:tc>
      </w:tr>
      <w:tr>
        <w:tc>
          <w:tcPr>
            <w:tcW w:type="dxa" w:w="1417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区块链</w:t>
            </w:r>
          </w:p>
        </w:tc>
        <w:tc>
          <w:tcPr>
            <w:tcW w:type="dxa" w:w="2835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Ethereum + Ganache</w:t>
            </w:r>
          </w:p>
        </w:tc>
        <w:tc>
          <w:tcPr>
            <w:tcW w:type="dxa" w:w="5102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Ganache 一键启动测试链；ERC-20 标准可复用；MetaMask 辅助演示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Arial" w:hAnsi="Arial"/>
                <w:color w:val="333333"/>
                <w:sz w:val="20"/>
              </w:rPr>
              <w:t>合约语言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color w:val="333333"/>
                <w:sz w:val="20"/>
              </w:rPr>
              <w:t>Solidity ^0.8</w:t>
            </w:r>
          </w:p>
        </w:tc>
        <w:tc>
          <w:tcPr>
            <w:tcW w:type="dxa" w:w="5102"/>
          </w:tcPr>
          <w:p>
            <w:r/>
            <w:r>
              <w:rPr>
                <w:rFonts w:ascii="Arial" w:hAnsi="Arial"/>
                <w:color w:val="333333"/>
                <w:sz w:val="20"/>
              </w:rPr>
              <w:t>溢出保护内置；生态工具成熟</w:t>
            </w:r>
          </w:p>
        </w:tc>
      </w:tr>
      <w:tr>
        <w:tc>
          <w:tcPr>
            <w:tcW w:type="dxa" w:w="1417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后端</w:t>
            </w:r>
          </w:p>
        </w:tc>
        <w:tc>
          <w:tcPr>
            <w:tcW w:type="dxa" w:w="2835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Python Flask</w:t>
            </w:r>
          </w:p>
        </w:tc>
        <w:tc>
          <w:tcPr>
            <w:tcW w:type="dxa" w:w="5102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hashlib/jieba/simhash 生态完整；Web3.py 对接区块链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Arial" w:hAnsi="Arial"/>
                <w:color w:val="333333"/>
                <w:sz w:val="20"/>
              </w:rPr>
              <w:t>文本提取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color w:val="333333"/>
                <w:sz w:val="20"/>
              </w:rPr>
              <w:t>python-pptx / python-docx / PyPDF2</w:t>
            </w:r>
          </w:p>
        </w:tc>
        <w:tc>
          <w:tcPr>
            <w:tcW w:type="dxa" w:w="5102"/>
          </w:tcPr>
          <w:p>
            <w:r/>
            <w:r>
              <w:rPr>
                <w:rFonts w:ascii="Arial" w:hAnsi="Arial"/>
                <w:color w:val="333333"/>
                <w:sz w:val="20"/>
              </w:rPr>
              <w:t>覆盖 PPT、Word、PDF 三类校园主流格式</w:t>
            </w:r>
          </w:p>
        </w:tc>
      </w:tr>
      <w:tr>
        <w:tc>
          <w:tcPr>
            <w:tcW w:type="dxa" w:w="1417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内容指纹</w:t>
            </w:r>
          </w:p>
        </w:tc>
        <w:tc>
          <w:tcPr>
            <w:tcW w:type="dxa" w:w="2835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SimHash（64位）</w:t>
            </w:r>
          </w:p>
        </w:tc>
        <w:tc>
          <w:tcPr>
            <w:tcW w:type="dxa" w:w="5102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局部敏感哈希，汉明距离量化相似度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Arial" w:hAnsi="Arial"/>
                <w:color w:val="333333"/>
                <w:sz w:val="20"/>
              </w:rPr>
              <w:t>中文分词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color w:val="333333"/>
                <w:sz w:val="20"/>
              </w:rPr>
              <w:t>jieba + TF-IDF</w:t>
            </w:r>
          </w:p>
        </w:tc>
        <w:tc>
          <w:tcPr>
            <w:tcW w:type="dxa" w:w="5102"/>
          </w:tcPr>
          <w:p>
            <w:r/>
            <w:r>
              <w:rPr>
                <w:rFonts w:ascii="Arial" w:hAnsi="Arial"/>
                <w:color w:val="333333"/>
                <w:sz w:val="20"/>
              </w:rPr>
              <w:t>中文分词标准库，支持关键词提取</w:t>
            </w:r>
          </w:p>
        </w:tc>
      </w:tr>
      <w:tr>
        <w:tc>
          <w:tcPr>
            <w:tcW w:type="dxa" w:w="1417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部署</w:t>
            </w:r>
          </w:p>
        </w:tc>
        <w:tc>
          <w:tcPr>
            <w:tcW w:type="dxa" w:w="2835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Docker Compose</w:t>
            </w:r>
          </w:p>
        </w:tc>
        <w:tc>
          <w:tcPr>
            <w:tcW w:type="dxa" w:w="5102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复用共识实验经验，一键启动全部服务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60" w:line="240" w:lineRule="auto"/>
        <w:pBdr>
          <w:top w:val="single" w:sz="6" w:space="4" w:color="4A86C8"/>
          <w:bottom w:val="single" w:sz="6" w:space="4" w:color="4A86C8"/>
        </w:pBdr>
        <w:shd w:fill="E8F0FE" w:val="clear"/>
      </w:pPr>
      <w:r>
        <w:rPr>
          <w:rFonts w:ascii="Arial" w:hAnsi="Arial"/>
          <w:b/>
          <w:color w:val="1F4E79"/>
          <w:sz w:val="24"/>
        </w:rPr>
        <w:t xml:space="preserve">┃ Part 2｜组员二 ┃  </w:t>
      </w:r>
      <w:r>
        <w:rPr>
          <w:rFonts w:ascii="Arial" w:hAnsi="Arial"/>
          <w:i/>
          <w:color w:val="2E75B6"/>
          <w:sz w:val="22"/>
        </w:rPr>
        <w:t>核心难题①：文档内容级防篡改验证</w:t>
      </w:r>
    </w:p>
    <w:p>
      <w:pPr>
        <w:spacing w:before="160" w:after="40"/>
      </w:pPr>
      <w:r>
        <w:rPr>
          <w:rFonts w:ascii="Arial" w:hAnsi="Arial"/>
          <w:i/>
          <w:color w:val="888888"/>
          <w:sz w:val="20"/>
        </w:rPr>
        <w:t>▶ [Slide: 问题定义——SHA-256 的局限性]</w:t>
      </w:r>
    </w:p>
    <w:p>
      <w:pPr>
        <w:pStyle w:val="Heading1"/>
      </w:pPr>
      <w:r>
        <w:rPr>
          <w:rFonts w:ascii="Arial" w:hAnsi="Arial"/>
          <w:color w:val="1F4E79"/>
        </w:rPr>
        <w:t>五、问题定义：SHA-256 为何不够</w:t>
      </w:r>
    </w:p>
    <w:p>
      <w:pPr>
        <w:spacing w:after="80" w:line="360" w:lineRule="auto"/>
      </w:pPr>
      <w:r>
        <w:rPr>
          <w:rFonts w:ascii="Arial" w:hAnsi="Arial"/>
          <w:b w:val="0"/>
          <w:i w:val="0"/>
          <w:color w:val="333333"/>
          <w:sz w:val="22"/>
        </w:rPr>
        <w:t>给定原始文档 D₀ 和待验证文档 D'，系统需回答三个层次的问题：</w:t>
      </w:r>
    </w:p>
    <w:p>
      <w:pPr>
        <w:spacing w:after="80" w:line="360" w:lineRule="auto"/>
      </w:pPr>
      <w:r>
        <w:rPr>
          <w:rFonts w:ascii="Arial" w:hAnsi="Arial"/>
          <w:b w:val="0"/>
          <w:i w:val="0"/>
          <w:color w:val="333333"/>
          <w:sz w:val="22"/>
        </w:rPr>
        <w:t>① D' 是否与 D₀ 比特级完全一致？—— SHA-256 可解决。</w:t>
      </w:r>
    </w:p>
    <w:p>
      <w:pPr>
        <w:spacing w:after="80" w:line="360" w:lineRule="auto"/>
      </w:pPr>
      <w:r>
        <w:rPr>
          <w:rFonts w:ascii="Arial" w:hAnsi="Arial"/>
          <w:b w:val="0"/>
          <w:i w:val="0"/>
          <w:color w:val="333333"/>
          <w:sz w:val="22"/>
        </w:rPr>
        <w:t>② 若不一致，D' 内容与 D₀ 的相似度是多少？是否属于衍生/篡改版本？—— SHA-256 无法回答。</w:t>
      </w:r>
    </w:p>
    <w:p>
      <w:pPr>
        <w:spacing w:after="80" w:line="360" w:lineRule="auto"/>
      </w:pPr>
      <w:r>
        <w:rPr>
          <w:rFonts w:ascii="Arial" w:hAnsi="Arial"/>
          <w:b w:val="0"/>
          <w:i w:val="0"/>
          <w:color w:val="333333"/>
          <w:sz w:val="22"/>
        </w:rPr>
        <w:t>③ 具体改动了哪些部分？—— SHA-256 无法回答。</w:t>
      </w:r>
    </w:p>
    <w:p>
      <w:pPr>
        <w:spacing w:after="80" w:line="360" w:lineRule="auto"/>
      </w:pPr>
      <w:r>
        <w:rPr>
          <w:rFonts w:ascii="Arial" w:hAnsi="Arial"/>
          <w:b w:val="0"/>
          <w:i w:val="0"/>
          <w:color w:val="333333"/>
          <w:sz w:val="22"/>
        </w:rPr>
        <w:t>典型场景：有人修改了 PPT 中几页文字后另存为新文件，或将 Word 文档内容复制到新文件中。这类“内容级篡改”是校园场景的主要威胁，SHA-256 只能说“不一样”，无法量化差异。</w:t>
      </w:r>
    </w:p>
    <w:p>
      <w:pPr>
        <w:spacing w:before="160" w:after="40"/>
      </w:pPr>
      <w:r>
        <w:rPr>
          <w:rFonts w:ascii="Arial" w:hAnsi="Arial"/>
          <w:i/>
          <w:color w:val="888888"/>
          <w:sz w:val="20"/>
        </w:rPr>
        <w:t>▶ [Slide: 解决方案——双层指纹体系]</w:t>
      </w:r>
    </w:p>
    <w:p>
      <w:pPr>
        <w:pStyle w:val="Heading1"/>
      </w:pPr>
      <w:r>
        <w:rPr>
          <w:rFonts w:ascii="Arial" w:hAnsi="Arial"/>
          <w:color w:val="1F4E79"/>
        </w:rPr>
        <w:t>六、解决方案：双层指纹体系</w:t>
      </w:r>
    </w:p>
    <w:p>
      <w:pPr>
        <w:pStyle w:val="Heading3"/>
      </w:pPr>
      <w:r>
        <w:rPr>
          <w:rFonts w:ascii="Arial" w:hAnsi="Arial"/>
          <w:color w:val="2E75B6"/>
        </w:rPr>
        <w:t>第一层：SHA-256 精确哈希（保留）</w:t>
      </w:r>
    </w:p>
    <w:p>
      <w:pPr>
        <w:spacing w:after="80" w:line="360" w:lineRule="auto"/>
      </w:pPr>
      <w:r>
        <w:rPr>
          <w:rFonts w:ascii="Arial" w:hAnsi="Arial"/>
          <w:b w:val="0"/>
          <w:i w:val="0"/>
          <w:color w:val="333333"/>
          <w:sz w:val="22"/>
        </w:rPr>
        <w:t>对文件二进制计算 SHA-256，256 位哈希值。任何一个比特改变都导致哈希完全不同。优点：判定精确、零误判。缺点：仅能给出二值结论。</w:t>
      </w:r>
    </w:p>
    <w:p>
      <w:pPr>
        <w:pStyle w:val="Heading3"/>
      </w:pPr>
      <w:r>
        <w:rPr>
          <w:rFonts w:ascii="Arial" w:hAnsi="Arial"/>
          <w:color w:val="2E75B6"/>
        </w:rPr>
        <w:t>第二层：SimHash 内容感知哈希（核心创新）</w:t>
      </w:r>
    </w:p>
    <w:p>
      <w:pPr>
        <w:spacing w:after="80" w:line="360" w:lineRule="auto"/>
      </w:pPr>
      <w:r>
        <w:rPr>
          <w:rFonts w:ascii="Arial" w:hAnsi="Arial"/>
          <w:b w:val="0"/>
          <w:i w:val="0"/>
          <w:color w:val="333333"/>
          <w:sz w:val="22"/>
        </w:rPr>
        <w:t>SimHash 是一种局部敏感哈希（LSH）算法，由 Moses Charikar 提出，Google 用于检测近重复网页。核心特性：输入内容越相似，输出哈希的汉明距离越小。</w:t>
      </w:r>
    </w:p>
    <w:p>
      <w:pPr>
        <w:spacing w:before="160" w:after="40"/>
      </w:pPr>
      <w:r>
        <w:rPr>
          <w:rFonts w:ascii="Arial" w:hAnsi="Arial"/>
          <w:i/>
          <w:color w:val="888888"/>
          <w:sz w:val="20"/>
        </w:rPr>
        <w:t>▶ [Slide: SimHash 算法流程（流程图）]</w:t>
      </w:r>
    </w:p>
    <w:p>
      <w:pPr>
        <w:pStyle w:val="Heading3"/>
      </w:pPr>
      <w:r>
        <w:rPr>
          <w:rFonts w:ascii="Arial" w:hAnsi="Arial"/>
          <w:color w:val="2E75B6"/>
        </w:rPr>
        <w:t>SimHash 计算流程</w:t>
      </w:r>
    </w:p>
    <w:p>
      <w:pPr>
        <w:spacing w:after="80" w:line="360" w:lineRule="auto"/>
      </w:pPr>
      <w:r>
        <w:rPr>
          <w:rFonts w:ascii="Arial" w:hAnsi="Arial"/>
          <w:b/>
          <w:color w:val="333333"/>
          <w:sz w:val="22"/>
        </w:rPr>
        <w:t>Step 1 文本提取：</w:t>
      </w:r>
      <w:r>
        <w:rPr>
          <w:rFonts w:ascii="Arial" w:hAnsi="Arial"/>
          <w:color w:val="333333"/>
          <w:sz w:val="22"/>
        </w:rPr>
        <w:t>使用 python-pptx / python-docx / PyPDF2 从文档中提取纯文本内容。</w:t>
      </w:r>
    </w:p>
    <w:p>
      <w:pPr>
        <w:spacing w:after="80" w:line="360" w:lineRule="auto"/>
      </w:pPr>
      <w:r>
        <w:rPr>
          <w:rFonts w:ascii="Arial" w:hAnsi="Arial"/>
          <w:b/>
          <w:color w:val="333333"/>
          <w:sz w:val="22"/>
        </w:rPr>
        <w:t>Step 2 中文分词与加权：</w:t>
      </w:r>
      <w:r>
        <w:rPr>
          <w:rFonts w:ascii="Arial" w:hAnsi="Arial"/>
          <w:color w:val="333333"/>
          <w:sz w:val="22"/>
        </w:rPr>
        <w:t>使用 jieba 分词，去除停用词，用 TF-IDF 为每个词计算权重。取 Top-200 关键词。</w:t>
      </w:r>
    </w:p>
    <w:p>
      <w:pPr>
        <w:spacing w:after="80" w:line="360" w:lineRule="auto"/>
      </w:pPr>
      <w:r>
        <w:rPr>
          <w:rFonts w:ascii="Arial" w:hAnsi="Arial"/>
          <w:b/>
          <w:color w:val="333333"/>
          <w:sz w:val="22"/>
        </w:rPr>
        <w:t>Step 3 哈希累加：</w:t>
      </w:r>
      <w:r>
        <w:rPr>
          <w:rFonts w:ascii="Arial" w:hAnsi="Arial"/>
          <w:color w:val="333333"/>
          <w:sz w:val="22"/>
        </w:rPr>
        <w:t>对每个分词生成 64 位 MD5 哈希，按权重累加到 64 维向量。</w:t>
      </w:r>
    </w:p>
    <w:p>
      <w:pPr>
        <w:spacing w:after="80" w:line="360" w:lineRule="auto"/>
      </w:pPr>
      <w:r>
        <w:rPr>
          <w:rFonts w:ascii="Arial" w:hAnsi="Arial"/>
          <w:b/>
          <w:color w:val="333333"/>
          <w:sz w:val="22"/>
        </w:rPr>
        <w:t>Step 4 符号化：</w:t>
      </w:r>
      <w:r>
        <w:rPr>
          <w:rFonts w:ascii="Arial" w:hAnsi="Arial"/>
          <w:color w:val="333333"/>
          <w:sz w:val="22"/>
        </w:rPr>
        <w:t>向量每一维取符号（正为 1，负为 0），得到 64 位 SimHash 值。</w:t>
      </w:r>
    </w:p>
    <w:p>
      <w:pPr>
        <w:spacing w:after="80" w:line="360" w:lineRule="auto"/>
      </w:pPr>
      <w:r>
        <w:rPr>
          <w:rFonts w:ascii="Arial" w:hAnsi="Arial"/>
          <w:b/>
          <w:color w:val="333333"/>
          <w:sz w:val="22"/>
        </w:rPr>
        <w:t>Step 5 相似度判定：</w:t>
      </w:r>
      <w:r>
        <w:rPr>
          <w:rFonts w:ascii="Arial" w:hAnsi="Arial"/>
          <w:color w:val="333333"/>
          <w:sz w:val="22"/>
        </w:rPr>
        <w:t>计算两个 SimHash 的汉明距离 d = popcount(A XOR B)。相似度 = (64−d)/64×100%。d≤3 为高度相似。</w:t>
      </w:r>
    </w:p>
    <w:p>
      <w:pPr>
        <w:spacing w:before="160" w:after="40"/>
      </w:pPr>
      <w:r>
        <w:rPr>
          <w:rFonts w:ascii="Arial" w:hAnsi="Arial"/>
          <w:i/>
          <w:color w:val="888888"/>
          <w:sz w:val="20"/>
        </w:rPr>
        <w:t>▶ [Slide: 链上存证结构 + 验证流程]</w:t>
      </w:r>
    </w:p>
    <w:p>
      <w:pPr>
        <w:pStyle w:val="Heading1"/>
      </w:pPr>
      <w:r>
        <w:rPr>
          <w:rFonts w:ascii="Arial" w:hAnsi="Arial"/>
          <w:color w:val="1F4E79"/>
        </w:rPr>
        <w:t>七、链上存证与验证流程</w:t>
      </w:r>
    </w:p>
    <w:p>
      <w:pPr>
        <w:pStyle w:val="Heading3"/>
      </w:pPr>
      <w:r>
        <w:rPr>
          <w:rFonts w:ascii="Arial" w:hAnsi="Arial"/>
          <w:color w:val="2E75B6"/>
        </w:rPr>
        <w:t>链上新增字段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984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417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5953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84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sha256_hash</w:t>
            </w:r>
          </w:p>
        </w:tc>
        <w:tc>
          <w:tcPr>
            <w:tcW w:type="dxa" w:w="1417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bytes32</w:t>
            </w:r>
          </w:p>
        </w:tc>
        <w:tc>
          <w:tcPr>
            <w:tcW w:type="dxa" w:w="5953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文件二进制 SHA-256 精确哈希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color w:val="333333"/>
                <w:sz w:val="20"/>
              </w:rPr>
              <w:t>simhash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color w:val="333333"/>
                <w:sz w:val="20"/>
              </w:rPr>
              <w:t>uint64</w:t>
            </w:r>
          </w:p>
        </w:tc>
        <w:tc>
          <w:tcPr>
            <w:tcW w:type="dxa" w:w="5953"/>
          </w:tcPr>
          <w:p>
            <w:r/>
            <w:r>
              <w:rPr>
                <w:rFonts w:ascii="Arial" w:hAnsi="Arial"/>
                <w:color w:val="333333"/>
                <w:sz w:val="20"/>
              </w:rPr>
              <w:t>文档文本内容的 64 位 SimHash</w:t>
            </w:r>
          </w:p>
        </w:tc>
      </w:tr>
      <w:tr>
        <w:tc>
          <w:tcPr>
            <w:tcW w:type="dxa" w:w="1984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text_length</w:t>
            </w:r>
          </w:p>
        </w:tc>
        <w:tc>
          <w:tcPr>
            <w:tcW w:type="dxa" w:w="1417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uint32</w:t>
            </w:r>
          </w:p>
        </w:tc>
        <w:tc>
          <w:tcPr>
            <w:tcW w:type="dxa" w:w="5953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提取文本字符数（辅助判断）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Arial" w:hAnsi="Arial"/>
          <w:color w:val="2E75B6"/>
        </w:rPr>
        <w:t>三步验证流程</w:t>
      </w:r>
    </w:p>
    <w:p>
      <w:pPr>
        <w:spacing w:after="80" w:line="360" w:lineRule="auto"/>
      </w:pPr>
      <w:r>
        <w:rPr>
          <w:rFonts w:ascii="Arial" w:hAnsi="Arial"/>
          <w:b/>
          <w:color w:val="333333"/>
          <w:sz w:val="22"/>
        </w:rPr>
        <w:t>① 精确校验：</w:t>
      </w:r>
      <w:r>
        <w:rPr>
          <w:rFonts w:ascii="Arial" w:hAnsi="Arial"/>
          <w:color w:val="333333"/>
          <w:sz w:val="22"/>
        </w:rPr>
        <w:t>计算 SHA-256，与链上比对。一致则文件未改动，流程结束。</w:t>
      </w:r>
    </w:p>
    <w:p>
      <w:pPr>
        <w:spacing w:after="80" w:line="360" w:lineRule="auto"/>
      </w:pPr>
      <w:r>
        <w:rPr>
          <w:rFonts w:ascii="Arial" w:hAnsi="Arial"/>
          <w:b/>
          <w:color w:val="333333"/>
          <w:sz w:val="22"/>
        </w:rPr>
        <w:t>② 内容级校验（SHA-256 不一致时触发）：</w:t>
      </w:r>
      <w:r>
        <w:rPr>
          <w:rFonts w:ascii="Arial" w:hAnsi="Arial"/>
          <w:color w:val="333333"/>
          <w:sz w:val="22"/>
        </w:rPr>
        <w:t>提取文本、计算 SimHash，比对汉明距离。d≤3 判定为“内容高度相似，可能经过微小编辑”；d=4–10 为“有明显改动，属衍生版本”；d&gt;10 为“差异较大”。</w:t>
      </w:r>
    </w:p>
    <w:p>
      <w:pPr>
        <w:spacing w:after="80" w:line="360" w:lineRule="auto"/>
      </w:pPr>
      <w:r>
        <w:rPr>
          <w:rFonts w:ascii="Arial" w:hAnsi="Arial"/>
          <w:b/>
          <w:color w:val="333333"/>
          <w:sz w:val="22"/>
        </w:rPr>
        <w:t>③ 差异定位（可选）：</w:t>
      </w:r>
      <w:r>
        <w:rPr>
          <w:rFonts w:ascii="Arial" w:hAnsi="Arial"/>
          <w:color w:val="333333"/>
          <w:sz w:val="22"/>
        </w:rPr>
        <w:t>提取两份文档的关键词列表，用 difflib 对比，展示新增/缺失关键词。</w:t>
      </w:r>
    </w:p>
    <w:p>
      <w:pPr>
        <w:spacing w:before="160" w:after="40"/>
      </w:pPr>
      <w:r>
        <w:rPr>
          <w:rFonts w:ascii="Arial" w:hAnsi="Arial"/>
          <w:i/>
          <w:color w:val="888888"/>
          <w:sz w:val="20"/>
        </w:rPr>
        <w:t>▶ [Slide: 攻击场景对比表]</w:t>
      </w:r>
    </w:p>
    <w:p>
      <w:pPr>
        <w:pStyle w:val="Heading1"/>
      </w:pPr>
      <w:r>
        <w:rPr>
          <w:rFonts w:ascii="Arial" w:hAnsi="Arial"/>
          <w:color w:val="1F4E79"/>
        </w:rPr>
        <w:t>八、攻击场景与检测能力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551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攻击场景</w:t>
            </w:r>
          </w:p>
        </w:tc>
        <w:tc>
          <w:tcPr>
            <w:tcW w:type="dxa" w:w="1701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SHA-256</w:t>
            </w:r>
          </w:p>
        </w:tc>
        <w:tc>
          <w:tcPr>
            <w:tcW w:type="dxa" w:w="1701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SimHash</w:t>
            </w:r>
          </w:p>
        </w:tc>
        <w:tc>
          <w:tcPr>
            <w:tcW w:type="dxa" w:w="3402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系统响应</w:t>
            </w:r>
          </w:p>
        </w:tc>
      </w:tr>
      <w:tr>
        <w:tc>
          <w:tcPr>
            <w:tcW w:type="dxa" w:w="2551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PPT 修改几页后另存</w:t>
            </w:r>
          </w:p>
        </w:tc>
        <w:tc>
          <w:tcPr>
            <w:tcW w:type="dxa" w:w="1701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哈希不同，但无法量化</w:t>
            </w:r>
          </w:p>
        </w:tc>
        <w:tc>
          <w:tcPr>
            <w:tcW w:type="dxa" w:w="1701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给出相似度</w:t>
            </w:r>
          </w:p>
        </w:tc>
        <w:tc>
          <w:tcPr>
            <w:tcW w:type="dxa" w:w="3402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展示相似度 + 改动提示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rial" w:hAnsi="Arial"/>
                <w:color w:val="333333"/>
                <w:sz w:val="20"/>
              </w:rPr>
              <w:t>Word 复制内容到新文件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/>
                <w:color w:val="333333"/>
                <w:sz w:val="20"/>
              </w:rPr>
              <w:t>无法关联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/>
                <w:color w:val="333333"/>
                <w:sz w:val="20"/>
              </w:rPr>
              <w:t>识别为衍生版本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/>
                <w:color w:val="333333"/>
                <w:sz w:val="20"/>
              </w:rPr>
              <w:t>提示“与原资料高度相似”</w:t>
            </w:r>
          </w:p>
        </w:tc>
      </w:tr>
      <w:tr>
        <w:tc>
          <w:tcPr>
            <w:tcW w:type="dxa" w:w="2551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PPT 转为 PDF 传播</w:t>
            </w:r>
          </w:p>
        </w:tc>
        <w:tc>
          <w:tcPr>
            <w:tcW w:type="dxa" w:w="1701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格式不同，哈希不同</w:t>
            </w:r>
          </w:p>
        </w:tc>
        <w:tc>
          <w:tcPr>
            <w:tcW w:type="dxa" w:w="1701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文字不变，SimHash 匹配</w:t>
            </w:r>
          </w:p>
        </w:tc>
        <w:tc>
          <w:tcPr>
            <w:tcW w:type="dxa" w:w="3402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内容一致但格式已变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rial" w:hAnsi="Arial"/>
                <w:color w:val="333333"/>
                <w:sz w:val="20"/>
              </w:rPr>
              <w:t>完全重写内容冒充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/>
                <w:color w:val="333333"/>
                <w:sz w:val="20"/>
              </w:rPr>
              <w:t>不同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/>
                <w:color w:val="333333"/>
                <w:sz w:val="20"/>
              </w:rPr>
              <w:t>汉明距离大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/>
                <w:color w:val="333333"/>
                <w:sz w:val="20"/>
              </w:rPr>
              <w:t>判定为不相关文件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60" w:line="240" w:lineRule="auto"/>
        <w:pBdr>
          <w:top w:val="single" w:sz="6" w:space="4" w:color="4A86C8"/>
          <w:bottom w:val="single" w:sz="6" w:space="4" w:color="4A86C8"/>
        </w:pBdr>
        <w:shd w:fill="E8F0FE" w:val="clear"/>
      </w:pPr>
      <w:r>
        <w:rPr>
          <w:rFonts w:ascii="Arial" w:hAnsi="Arial"/>
          <w:b/>
          <w:color w:val="1F4E79"/>
          <w:sz w:val="24"/>
        </w:rPr>
        <w:t xml:space="preserve">┃ Part 3｜组员三 ┃  </w:t>
      </w:r>
      <w:r>
        <w:rPr>
          <w:rFonts w:ascii="Arial" w:hAnsi="Arial"/>
          <w:i/>
          <w:color w:val="2E75B6"/>
          <w:sz w:val="22"/>
        </w:rPr>
        <w:t>核心难题②：通证激励与智能合约设计</w:t>
      </w:r>
    </w:p>
    <w:p>
      <w:pPr>
        <w:spacing w:before="160" w:after="40"/>
      </w:pPr>
      <w:r>
        <w:rPr>
          <w:rFonts w:ascii="Arial" w:hAnsi="Arial"/>
          <w:i/>
          <w:color w:val="888888"/>
          <w:sz w:val="20"/>
        </w:rPr>
        <w:t>▶ [Slide: 通证经济模型]</w:t>
      </w:r>
    </w:p>
    <w:p>
      <w:pPr>
        <w:pStyle w:val="Heading1"/>
      </w:pPr>
      <w:r>
        <w:rPr>
          <w:rFonts w:ascii="Arial" w:hAnsi="Arial"/>
          <w:color w:val="1F4E79"/>
        </w:rPr>
        <w:t>九、通证经济模型</w:t>
      </w:r>
    </w:p>
    <w:p>
      <w:pPr>
        <w:pStyle w:val="Heading3"/>
      </w:pPr>
      <w:r>
        <w:rPr>
          <w:rFonts w:ascii="Arial" w:hAnsi="Arial"/>
          <w:color w:val="2E75B6"/>
        </w:rPr>
        <w:t>EduToken（EDU）设计</w:t>
      </w:r>
    </w:p>
    <w:p>
      <w:pPr>
        <w:spacing w:after="80" w:line="360" w:lineRule="auto"/>
      </w:pPr>
      <w:r>
        <w:rPr>
          <w:rFonts w:ascii="Arial" w:hAnsi="Arial"/>
          <w:b w:val="0"/>
          <w:i w:val="0"/>
          <w:color w:val="333333"/>
          <w:sz w:val="22"/>
        </w:rPr>
        <w:t>系统发行 EduToken（EDU）校园学习积分通证，采用 ERC-20 标准接口，支持查询余额、转账、授权代扣。通证仅在系统内流通，不涉及真实货币。</w:t>
      </w:r>
    </w:p>
    <w:p>
      <w:pPr>
        <w:pStyle w:val="Heading3"/>
      </w:pPr>
      <w:r>
        <w:rPr>
          <w:rFonts w:ascii="Arial" w:hAnsi="Arial"/>
          <w:color w:val="2E75B6"/>
        </w:rPr>
        <w:t>通证流转规则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984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行为</w:t>
            </w:r>
          </w:p>
        </w:tc>
        <w:tc>
          <w:tcPr>
            <w:tcW w:type="dxa" w:w="1417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通证变化</w:t>
            </w:r>
          </w:p>
        </w:tc>
        <w:tc>
          <w:tcPr>
            <w:tcW w:type="dxa" w:w="850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金额</w:t>
            </w:r>
          </w:p>
        </w:tc>
        <w:tc>
          <w:tcPr>
            <w:tcW w:type="dxa" w:w="5102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84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用户注册</w:t>
            </w:r>
          </w:p>
        </w:tc>
        <w:tc>
          <w:tcPr>
            <w:tcW w:type="dxa" w:w="1417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+EDU</w:t>
            </w:r>
          </w:p>
        </w:tc>
        <w:tc>
          <w:tcPr>
            <w:tcW w:type="dxa" w:w="850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100</w:t>
            </w:r>
          </w:p>
        </w:tc>
        <w:tc>
          <w:tcPr>
            <w:tcW w:type="dxa" w:w="5102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冷启动奖励，系统铸造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color w:val="333333"/>
                <w:sz w:val="20"/>
              </w:rPr>
              <w:t>上传资料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color w:val="333333"/>
                <w:sz w:val="20"/>
              </w:rPr>
              <w:t>+EDU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color w:val="333333"/>
                <w:sz w:val="20"/>
              </w:rPr>
              <w:t>20</w:t>
            </w:r>
          </w:p>
        </w:tc>
        <w:tc>
          <w:tcPr>
            <w:tcW w:type="dxa" w:w="5102"/>
          </w:tcPr>
          <w:p>
            <w:r/>
            <w:r>
              <w:rPr>
                <w:rFonts w:ascii="Arial" w:hAnsi="Arial"/>
                <w:color w:val="333333"/>
                <w:sz w:val="20"/>
              </w:rPr>
              <w:t>基础上传奖励</w:t>
            </w:r>
          </w:p>
        </w:tc>
      </w:tr>
      <w:tr>
        <w:tc>
          <w:tcPr>
            <w:tcW w:type="dxa" w:w="1984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资料被下载（每次）</w:t>
            </w:r>
          </w:p>
        </w:tc>
        <w:tc>
          <w:tcPr>
            <w:tcW w:type="dxa" w:w="1417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+EDU 给上传者</w:t>
            </w:r>
          </w:p>
        </w:tc>
        <w:tc>
          <w:tcPr>
            <w:tcW w:type="dxa" w:w="850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5</w:t>
            </w:r>
          </w:p>
        </w:tc>
        <w:tc>
          <w:tcPr>
            <w:tcW w:type="dxa" w:w="5102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由下载者转移，按需激励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color w:val="333333"/>
                <w:sz w:val="20"/>
              </w:rPr>
              <w:t>下载资料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color w:val="333333"/>
                <w:sz w:val="20"/>
              </w:rPr>
              <w:t>−EDU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color w:val="333333"/>
                <w:sz w:val="20"/>
              </w:rPr>
              <w:t>5</w:t>
            </w:r>
          </w:p>
        </w:tc>
        <w:tc>
          <w:tcPr>
            <w:tcW w:type="dxa" w:w="5102"/>
          </w:tcPr>
          <w:p>
            <w:r/>
            <w:r>
              <w:rPr>
                <w:rFonts w:ascii="Arial" w:hAnsi="Arial"/>
                <w:color w:val="333333"/>
                <w:sz w:val="20"/>
              </w:rPr>
              <w:t>从下载者账户扣除</w:t>
            </w:r>
          </w:p>
        </w:tc>
      </w:tr>
      <w:tr>
        <w:tc>
          <w:tcPr>
            <w:tcW w:type="dxa" w:w="1984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下载免费资料</w:t>
            </w:r>
          </w:p>
        </w:tc>
        <w:tc>
          <w:tcPr>
            <w:tcW w:type="dxa" w:w="1417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无变化</w:t>
            </w:r>
          </w:p>
        </w:tc>
        <w:tc>
          <w:tcPr>
            <w:tcW w:type="dxa" w:w="850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0</w:t>
            </w:r>
          </w:p>
        </w:tc>
        <w:tc>
          <w:tcPr>
            <w:tcW w:type="dxa" w:w="5102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上传者可设置资料为免费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color w:val="333333"/>
                <w:sz w:val="20"/>
              </w:rPr>
              <w:t>举报抄袭（确认后）</w:t>
            </w:r>
          </w:p>
        </w:tc>
        <w:tc>
          <w:tcPr>
            <w:tcW w:type="dxa" w:w="1417"/>
          </w:tcPr>
          <w:p>
            <w:r/>
            <w:r>
              <w:rPr>
                <w:rFonts w:ascii="Arial" w:hAnsi="Arial"/>
                <w:color w:val="333333"/>
                <w:sz w:val="20"/>
              </w:rPr>
              <w:t>−EDU 扣上传者</w:t>
            </w:r>
          </w:p>
        </w:tc>
        <w:tc>
          <w:tcPr>
            <w:tcW w:type="dxa" w:w="850"/>
          </w:tcPr>
          <w:p>
            <w:r/>
            <w:r>
              <w:rPr>
                <w:rFonts w:ascii="Arial" w:hAnsi="Arial"/>
                <w:color w:val="333333"/>
                <w:sz w:val="20"/>
              </w:rPr>
              <w:t>50</w:t>
            </w:r>
          </w:p>
        </w:tc>
        <w:tc>
          <w:tcPr>
            <w:tcW w:type="dxa" w:w="5102"/>
          </w:tcPr>
          <w:p>
            <w:r/>
            <w:r>
              <w:rPr>
                <w:rFonts w:ascii="Arial" w:hAnsi="Arial"/>
                <w:color w:val="333333"/>
                <w:sz w:val="20"/>
              </w:rPr>
              <w:t>惩罚机制，抑制低质量内容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Arial" w:hAnsi="Arial"/>
          <w:color w:val="2E75B6"/>
        </w:rPr>
        <w:t>反搭便车机制</w:t>
      </w:r>
    </w:p>
    <w:p>
      <w:pPr>
        <w:spacing w:after="80" w:line="360" w:lineRule="auto"/>
      </w:pPr>
      <w:r>
        <w:rPr>
          <w:rFonts w:ascii="Arial" w:hAnsi="Arial"/>
          <w:b w:val="0"/>
          <w:i w:val="0"/>
          <w:color w:val="333333"/>
          <w:sz w:val="22"/>
        </w:rPr>
        <w:t>余额低于 10 EDU 时提示上传赚取通证；每日免费下载 2 份公开资料；连续 7 天上传授予“活跃贡献者”徽章 + 额外 30 EDU。</w:t>
      </w:r>
    </w:p>
    <w:p>
      <w:pPr>
        <w:spacing w:before="160" w:after="40"/>
      </w:pPr>
      <w:r>
        <w:rPr>
          <w:rFonts w:ascii="Arial" w:hAnsi="Arial"/>
          <w:i/>
          <w:color w:val="888888"/>
          <w:sz w:val="20"/>
        </w:rPr>
        <w:t>▶ [Slide: 智能合约架构图]</w:t>
      </w:r>
    </w:p>
    <w:p>
      <w:pPr>
        <w:pStyle w:val="Heading1"/>
      </w:pPr>
      <w:r>
        <w:rPr>
          <w:rFonts w:ascii="Arial" w:hAnsi="Arial"/>
          <w:color w:val="1F4E79"/>
        </w:rPr>
        <w:t>十、智能合约设计</w:t>
      </w:r>
    </w:p>
    <w:p>
      <w:pPr>
        <w:pStyle w:val="Heading3"/>
      </w:pPr>
      <w:r>
        <w:rPr>
          <w:rFonts w:ascii="Arial" w:hAnsi="Arial"/>
          <w:color w:val="2E75B6"/>
        </w:rPr>
        <w:t>合约架构：三合约协作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984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合约</w:t>
            </w:r>
          </w:p>
        </w:tc>
        <w:tc>
          <w:tcPr>
            <w:tcW w:type="dxa" w:w="2835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核心功能</w:t>
            </w:r>
          </w:p>
        </w:tc>
        <w:tc>
          <w:tcPr>
            <w:tcW w:type="dxa" w:w="4535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关键接口</w:t>
            </w:r>
          </w:p>
        </w:tc>
      </w:tr>
      <w:tr>
        <w:tc>
          <w:tcPr>
            <w:tcW w:type="dxa" w:w="1984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EduToken（ERC-20）</w:t>
            </w:r>
          </w:p>
        </w:tc>
        <w:tc>
          <w:tcPr>
            <w:tcW w:type="dxa" w:w="2835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通证发行、转移、余额查询、奖惩</w:t>
            </w:r>
          </w:p>
        </w:tc>
        <w:tc>
          <w:tcPr>
            <w:tcW w:type="dxa" w:w="4535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mint() / transfer() / balanceOf() / reward() / penalize()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color w:val="333333"/>
                <w:sz w:val="20"/>
              </w:rPr>
              <w:t>MaterialRegistry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color w:val="333333"/>
                <w:sz w:val="20"/>
              </w:rPr>
              <w:t>资料注册、查询、更新、下载授权</w:t>
            </w:r>
          </w:p>
        </w:tc>
        <w:tc>
          <w:tcPr>
            <w:tcW w:type="dxa" w:w="4535"/>
          </w:tcPr>
          <w:p>
            <w:r/>
            <w:r>
              <w:rPr>
                <w:rFonts w:ascii="Arial" w:hAnsi="Arial"/>
                <w:color w:val="333333"/>
                <w:sz w:val="20"/>
              </w:rPr>
              <w:t>register() / query() / update() / download()</w:t>
            </w:r>
          </w:p>
        </w:tc>
      </w:tr>
      <w:tr>
        <w:tc>
          <w:tcPr>
            <w:tcW w:type="dxa" w:w="1984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DownloadLog</w:t>
            </w:r>
          </w:p>
        </w:tc>
        <w:tc>
          <w:tcPr>
            <w:tcW w:type="dxa" w:w="2835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下载记录存证、批量写入、查询</w:t>
            </w:r>
          </w:p>
        </w:tc>
        <w:tc>
          <w:tcPr>
            <w:tcW w:type="dxa" w:w="4535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batchRecord() / queryByMaterial() / queryByUser()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Arial" w:hAnsi="Arial"/>
          <w:i/>
          <w:color w:val="888888"/>
          <w:sz w:val="20"/>
        </w:rPr>
        <w:t>▶ [Slide: 上传/下载合约交互流程图]</w:t>
      </w:r>
    </w:p>
    <w:p>
      <w:pPr>
        <w:pStyle w:val="Heading3"/>
      </w:pPr>
      <w:r>
        <w:rPr>
          <w:rFonts w:ascii="Arial" w:hAnsi="Arial"/>
          <w:color w:val="2E75B6"/>
        </w:rPr>
        <w:t>合约交互流程</w:t>
      </w:r>
    </w:p>
    <w:p>
      <w:pPr>
        <w:spacing w:after="80" w:line="360" w:lineRule="auto"/>
      </w:pPr>
      <w:r>
        <w:rPr>
          <w:rFonts w:ascii="Arial" w:hAnsi="Arial"/>
          <w:b/>
          <w:color w:val="333333"/>
          <w:sz w:val="22"/>
        </w:rPr>
        <w:t>上传流程：</w:t>
      </w:r>
      <w:r>
        <w:rPr>
          <w:rFonts w:ascii="Arial" w:hAnsi="Arial"/>
          <w:color w:val="333333"/>
          <w:sz w:val="22"/>
        </w:rPr>
        <w:t>用户上传 → 后端计算双层指纹 → 调用 MaterialRegistry.register() → 合约内部调用 EduToken.reward(uploader, 20) → 上传者 +20 EDU。</w:t>
      </w:r>
    </w:p>
    <w:p>
      <w:pPr>
        <w:spacing w:after="80" w:line="360" w:lineRule="auto"/>
      </w:pPr>
      <w:r>
        <w:rPr>
          <w:rFonts w:ascii="Arial" w:hAnsi="Arial"/>
          <w:b/>
          <w:color w:val="333333"/>
          <w:sz w:val="22"/>
        </w:rPr>
        <w:t>下载流程：</w:t>
      </w:r>
      <w:r>
        <w:rPr>
          <w:rFonts w:ascii="Arial" w:hAnsi="Arial"/>
          <w:color w:val="333333"/>
          <w:sz w:val="22"/>
        </w:rPr>
        <w:t>用户点击下载 → 后端查询价格与余额 → 余额不足则拒绝 → 足够则 MaterialRegistry.download() → EduToken.transfer(downloader, uploader, price) → 文件下发 → DownloadLog 异步存证。</w:t>
      </w:r>
    </w:p>
    <w:p>
      <w:pPr>
        <w:pStyle w:val="Heading3"/>
      </w:pPr>
      <w:r>
        <w:rPr>
          <w:rFonts w:ascii="Arial" w:hAnsi="Arial"/>
          <w:color w:val="2E75B6"/>
        </w:rPr>
        <w:t>核心合约字段</w:t>
      </w:r>
    </w:p>
    <w:p>
      <w:pPr>
        <w:spacing w:after="80" w:line="360" w:lineRule="auto"/>
      </w:pPr>
      <w:r>
        <w:rPr>
          <w:rFonts w:ascii="Arial" w:hAnsi="Arial"/>
          <w:b/>
          <w:color w:val="333333"/>
          <w:sz w:val="22"/>
        </w:rPr>
        <w:t>MaterialRecord：</w:t>
      </w:r>
      <w:r>
        <w:rPr>
          <w:rFonts w:ascii="Arial" w:hAnsi="Arial"/>
          <w:color w:val="333333"/>
          <w:sz w:val="22"/>
        </w:rPr>
        <w:t>id、name、uploader (address)、sha256Hash (bytes32)、simHash (uint64)、policyType、policyValue、price (uint256)、version、deleted、timestamp。</w:t>
      </w:r>
    </w:p>
    <w:p>
      <w:pPr>
        <w:spacing w:after="80" w:line="360" w:lineRule="auto"/>
      </w:pPr>
      <w:r>
        <w:rPr>
          <w:rFonts w:ascii="Arial" w:hAnsi="Arial"/>
          <w:b/>
          <w:color w:val="333333"/>
          <w:sz w:val="22"/>
        </w:rPr>
        <w:t>DownloadRecord：</w:t>
      </w:r>
      <w:r>
        <w:rPr>
          <w:rFonts w:ascii="Arial" w:hAnsi="Arial"/>
          <w:color w:val="333333"/>
          <w:sz w:val="22"/>
        </w:rPr>
        <w:t>materialId、downloader (address)、timestamp、result (bool)、tokensTransferred (uint256)。</w:t>
      </w:r>
    </w:p>
    <w:p>
      <w:r>
        <w:br w:type="page"/>
      </w:r>
    </w:p>
    <w:p>
      <w:pPr>
        <w:spacing w:before="320" w:after="160" w:line="240" w:lineRule="auto"/>
        <w:pBdr>
          <w:top w:val="single" w:sz="6" w:space="4" w:color="4A86C8"/>
          <w:bottom w:val="single" w:sz="6" w:space="4" w:color="4A86C8"/>
        </w:pBdr>
        <w:shd w:fill="E8F0FE" w:val="clear"/>
      </w:pPr>
      <w:r>
        <w:rPr>
          <w:rFonts w:ascii="Arial" w:hAnsi="Arial"/>
          <w:b/>
          <w:color w:val="1F4E79"/>
          <w:sz w:val="24"/>
        </w:rPr>
        <w:t xml:space="preserve">┃ Part 4｜组员四 ┃  </w:t>
      </w:r>
      <w:r>
        <w:rPr>
          <w:rFonts w:ascii="Arial" w:hAnsi="Arial"/>
          <w:i/>
          <w:color w:val="2E75B6"/>
          <w:sz w:val="22"/>
        </w:rPr>
        <w:t>功能模块 · 页面设计 · 部署方案 · 演示计划 · 总结</w:t>
      </w:r>
    </w:p>
    <w:p>
      <w:pPr>
        <w:spacing w:before="160" w:after="40"/>
      </w:pPr>
      <w:r>
        <w:rPr>
          <w:rFonts w:ascii="Arial" w:hAnsi="Arial"/>
          <w:i/>
          <w:color w:val="888888"/>
          <w:sz w:val="20"/>
        </w:rPr>
        <w:t>▶ [Slide: 功能模块总览图]</w:t>
      </w:r>
    </w:p>
    <w:p>
      <w:pPr>
        <w:pStyle w:val="Heading1"/>
      </w:pPr>
      <w:r>
        <w:rPr>
          <w:rFonts w:ascii="Arial" w:hAnsi="Arial"/>
          <w:color w:val="1F4E79"/>
        </w:rPr>
        <w:t>十一、功能模块总览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984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3685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核心职责</w:t>
            </w:r>
          </w:p>
        </w:tc>
        <w:tc>
          <w:tcPr>
            <w:tcW w:type="dxa" w:w="3685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关联难题</w:t>
            </w:r>
          </w:p>
        </w:tc>
      </w:tr>
      <w:tr>
        <w:tc>
          <w:tcPr>
            <w:tcW w:type="dxa" w:w="1984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用户管理</w:t>
            </w:r>
          </w:p>
        </w:tc>
        <w:tc>
          <w:tcPr>
            <w:tcW w:type="dxa" w:w="3685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注册、登录、通证余额、选课信息</w:t>
            </w:r>
          </w:p>
        </w:tc>
        <w:tc>
          <w:tcPr>
            <w:tcW w:type="dxa" w:w="3685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难题②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color w:val="333333"/>
                <w:sz w:val="20"/>
              </w:rPr>
              <w:t>资料上传</w:t>
            </w:r>
          </w:p>
        </w:tc>
        <w:tc>
          <w:tcPr>
            <w:tcW w:type="dxa" w:w="3685"/>
          </w:tcPr>
          <w:p>
            <w:r/>
            <w:r>
              <w:rPr>
                <w:rFonts w:ascii="Arial" w:hAnsi="Arial"/>
                <w:color w:val="333333"/>
                <w:sz w:val="20"/>
              </w:rPr>
              <w:t>文件上传、双层指纹计算、链上存证、通证奖励</w:t>
            </w:r>
          </w:p>
        </w:tc>
        <w:tc>
          <w:tcPr>
            <w:tcW w:type="dxa" w:w="3685"/>
          </w:tcPr>
          <w:p>
            <w:r/>
            <w:r>
              <w:rPr>
                <w:rFonts w:ascii="Arial" w:hAnsi="Arial"/>
                <w:color w:val="333333"/>
                <w:sz w:val="20"/>
              </w:rPr>
              <w:t>① + ②</w:t>
            </w:r>
          </w:p>
        </w:tc>
      </w:tr>
      <w:tr>
        <w:tc>
          <w:tcPr>
            <w:tcW w:type="dxa" w:w="1984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内容指纹引擎</w:t>
            </w:r>
          </w:p>
        </w:tc>
        <w:tc>
          <w:tcPr>
            <w:tcW w:type="dxa" w:w="3685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文本提取、分词、SimHash 计算</w:t>
            </w:r>
          </w:p>
        </w:tc>
        <w:tc>
          <w:tcPr>
            <w:tcW w:type="dxa" w:w="3685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①（核心）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color w:val="333333"/>
                <w:sz w:val="20"/>
              </w:rPr>
              <w:t>资料浏览与下载</w:t>
            </w:r>
          </w:p>
        </w:tc>
        <w:tc>
          <w:tcPr>
            <w:tcW w:type="dxa" w:w="3685"/>
          </w:tcPr>
          <w:p>
            <w:r/>
            <w:r>
              <w:rPr>
                <w:rFonts w:ascii="Arial" w:hAnsi="Arial"/>
                <w:color w:val="333333"/>
                <w:sz w:val="20"/>
              </w:rPr>
              <w:t>资料列表、搜索、通证支付、文件下发</w:t>
            </w:r>
          </w:p>
        </w:tc>
        <w:tc>
          <w:tcPr>
            <w:tcW w:type="dxa" w:w="3685"/>
          </w:tcPr>
          <w:p>
            <w:r/>
            <w:r>
              <w:rPr>
                <w:rFonts w:ascii="Arial" w:hAnsi="Arial"/>
                <w:color w:val="333333"/>
                <w:sz w:val="20"/>
              </w:rPr>
              <w:t>②</w:t>
            </w:r>
          </w:p>
        </w:tc>
      </w:tr>
      <w:tr>
        <w:tc>
          <w:tcPr>
            <w:tcW w:type="dxa" w:w="1984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完整性验证</w:t>
            </w:r>
          </w:p>
        </w:tc>
        <w:tc>
          <w:tcPr>
            <w:tcW w:type="dxa" w:w="3685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SHA-256 + SimHash 相似度分析 + 差异展示</w:t>
            </w:r>
          </w:p>
        </w:tc>
        <w:tc>
          <w:tcPr>
            <w:tcW w:type="dxa" w:w="3685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①（核心）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color w:val="333333"/>
                <w:sz w:val="20"/>
              </w:rPr>
              <w:t>通证管理</w:t>
            </w:r>
          </w:p>
        </w:tc>
        <w:tc>
          <w:tcPr>
            <w:tcW w:type="dxa" w:w="3685"/>
          </w:tcPr>
          <w:p>
            <w:r/>
            <w:r>
              <w:rPr>
                <w:rFonts w:ascii="Arial" w:hAnsi="Arial"/>
                <w:color w:val="333333"/>
                <w:sz w:val="20"/>
              </w:rPr>
              <w:t>余额、交易历史、收支统计</w:t>
            </w:r>
          </w:p>
        </w:tc>
        <w:tc>
          <w:tcPr>
            <w:tcW w:type="dxa" w:w="3685"/>
          </w:tcPr>
          <w:p>
            <w:r/>
            <w:r>
              <w:rPr>
                <w:rFonts w:ascii="Arial" w:hAnsi="Arial"/>
                <w:color w:val="333333"/>
                <w:sz w:val="20"/>
              </w:rPr>
              <w:t>②</w:t>
            </w:r>
          </w:p>
        </w:tc>
      </w:tr>
      <w:tr>
        <w:tc>
          <w:tcPr>
            <w:tcW w:type="dxa" w:w="1984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追溯审计</w:t>
            </w:r>
          </w:p>
        </w:tc>
        <w:tc>
          <w:tcPr>
            <w:tcW w:type="dxa" w:w="3685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下载记录、链上凭证</w:t>
            </w:r>
          </w:p>
        </w:tc>
        <w:tc>
          <w:tcPr>
            <w:tcW w:type="dxa" w:w="3685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基础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color w:val="333333"/>
                <w:sz w:val="20"/>
              </w:rPr>
              <w:t>资料管理</w:t>
            </w:r>
          </w:p>
        </w:tc>
        <w:tc>
          <w:tcPr>
            <w:tcW w:type="dxa" w:w="3685"/>
          </w:tcPr>
          <w:p>
            <w:r/>
            <w:r>
              <w:rPr>
                <w:rFonts w:ascii="Arial" w:hAnsi="Arial"/>
                <w:color w:val="333333"/>
                <w:sz w:val="20"/>
              </w:rPr>
              <w:t>编辑权限/价格、软删除、版本追加</w:t>
            </w:r>
          </w:p>
        </w:tc>
        <w:tc>
          <w:tcPr>
            <w:tcW w:type="dxa" w:w="3685"/>
          </w:tcPr>
          <w:p>
            <w:r/>
            <w:r>
              <w:rPr>
                <w:rFonts w:ascii="Arial" w:hAnsi="Arial"/>
                <w:color w:val="333333"/>
                <w:sz w:val="20"/>
              </w:rPr>
              <w:t>基础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Arial" w:hAnsi="Arial"/>
          <w:i/>
          <w:color w:val="888888"/>
          <w:sz w:val="20"/>
        </w:rPr>
        <w:t>▶ [Slide: 关键页面设计（可配 Mockup）]</w:t>
      </w:r>
    </w:p>
    <w:p>
      <w:pPr>
        <w:pStyle w:val="Heading1"/>
      </w:pPr>
      <w:r>
        <w:rPr>
          <w:rFonts w:ascii="Arial" w:hAnsi="Arial"/>
          <w:color w:val="1F4E79"/>
        </w:rPr>
        <w:t>十二、关键页面设计</w:t>
      </w:r>
    </w:p>
    <w:p>
      <w:pPr>
        <w:pStyle w:val="Heading3"/>
      </w:pPr>
      <w:r>
        <w:rPr>
          <w:rFonts w:ascii="Arial" w:hAnsi="Arial"/>
          <w:color w:val="2E75B6"/>
        </w:rPr>
        <w:t>资料市场页（首页）</w:t>
      </w:r>
    </w:p>
    <w:p>
      <w:pPr>
        <w:spacing w:after="80" w:line="360" w:lineRule="auto"/>
      </w:pPr>
      <w:r>
        <w:rPr>
          <w:rFonts w:ascii="Arial" w:hAnsi="Arial"/>
          <w:b w:val="0"/>
          <w:i w:val="0"/>
          <w:color w:val="333333"/>
          <w:sz w:val="22"/>
        </w:rPr>
        <w:t>顶部导航栏：用户学号 + EDU 余额 + “上传资料”按钮。主体资料卡片网格：资料名称、课程、上传者、通证价格、下载次数。左侧：课程筛选 + 搜索框。</w:t>
      </w:r>
    </w:p>
    <w:p>
      <w:pPr>
        <w:pStyle w:val="Heading3"/>
      </w:pPr>
      <w:r>
        <w:rPr>
          <w:rFonts w:ascii="Arial" w:hAnsi="Arial"/>
          <w:color w:val="2E75B6"/>
        </w:rPr>
        <w:t>验证报告页（★ 核心展示页）</w:t>
      </w:r>
    </w:p>
    <w:p>
      <w:pPr>
        <w:spacing w:after="80" w:line="360" w:lineRule="auto"/>
      </w:pPr>
      <w:r>
        <w:rPr>
          <w:rFonts w:ascii="Arial" w:hAnsi="Arial"/>
          <w:b/>
          <w:color w:val="333333"/>
          <w:sz w:val="22"/>
        </w:rPr>
        <w:t>区域一—精确校验：</w:t>
      </w:r>
      <w:r>
        <w:rPr>
          <w:rFonts w:ascii="Arial" w:hAnsi="Arial"/>
          <w:color w:val="333333"/>
          <w:sz w:val="22"/>
        </w:rPr>
        <w:t>大号图标展示 SHA-256 校验结果（绿色“比特级一致” / 黄色“文件已变更”）。</w:t>
      </w:r>
    </w:p>
    <w:p>
      <w:pPr>
        <w:spacing w:after="80" w:line="360" w:lineRule="auto"/>
      </w:pPr>
      <w:r>
        <w:rPr>
          <w:rFonts w:ascii="Arial" w:hAnsi="Arial"/>
          <w:b/>
          <w:color w:val="333333"/>
          <w:sz w:val="22"/>
        </w:rPr>
        <w:t>区域二—内容相似度：</w:t>
      </w:r>
      <w:r>
        <w:rPr>
          <w:rFonts w:ascii="Arial" w:hAnsi="Arial"/>
          <w:color w:val="333333"/>
          <w:sz w:val="22"/>
        </w:rPr>
        <w:t>环形进度图展示相似度百分比，及汉明距离具体值。</w:t>
      </w:r>
    </w:p>
    <w:p>
      <w:pPr>
        <w:spacing w:after="80" w:line="360" w:lineRule="auto"/>
      </w:pPr>
      <w:r>
        <w:rPr>
          <w:rFonts w:ascii="Arial" w:hAnsi="Arial"/>
          <w:b/>
          <w:color w:val="333333"/>
          <w:sz w:val="22"/>
        </w:rPr>
        <w:t>区域三—差异详情：</w:t>
      </w:r>
      <w:r>
        <w:rPr>
          <w:rFonts w:ascii="Arial" w:hAnsi="Arial"/>
          <w:color w:val="333333"/>
          <w:sz w:val="22"/>
        </w:rPr>
        <w:t>关键词左右对比，新增标绿、缺失标红。</w:t>
      </w:r>
    </w:p>
    <w:p>
      <w:pPr>
        <w:pStyle w:val="Heading3"/>
      </w:pPr>
      <w:r>
        <w:rPr>
          <w:rFonts w:ascii="Arial" w:hAnsi="Arial"/>
          <w:color w:val="2E75B6"/>
        </w:rPr>
        <w:t>我的钱包页</w:t>
      </w:r>
    </w:p>
    <w:p>
      <w:pPr>
        <w:spacing w:after="80" w:line="360" w:lineRule="auto"/>
      </w:pPr>
      <w:r>
        <w:rPr>
          <w:rFonts w:ascii="Arial" w:hAnsi="Arial"/>
          <w:b w:val="0"/>
          <w:i w:val="0"/>
          <w:color w:val="333333"/>
          <w:sz w:val="22"/>
        </w:rPr>
        <w:t>EDU 余额大字展示。“收入/支出”分页，时间线形式展示每笔交易（类型、金额、关联资料）。底部累计统计。</w:t>
      </w:r>
    </w:p>
    <w:p>
      <w:pPr>
        <w:spacing w:before="160" w:after="40"/>
      </w:pPr>
      <w:r>
        <w:rPr>
          <w:rFonts w:ascii="Arial" w:hAnsi="Arial"/>
          <w:i/>
          <w:color w:val="888888"/>
          <w:sz w:val="20"/>
        </w:rPr>
        <w:t>▶ [Slide: 部署方案]</w:t>
      </w:r>
    </w:p>
    <w:p>
      <w:pPr>
        <w:pStyle w:val="Heading1"/>
      </w:pPr>
      <w:r>
        <w:rPr>
          <w:rFonts w:ascii="Arial" w:hAnsi="Arial"/>
          <w:color w:val="1F4E79"/>
        </w:rPr>
        <w:t>十三、部署方案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701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服务</w:t>
            </w:r>
          </w:p>
        </w:tc>
        <w:tc>
          <w:tcPr>
            <w:tcW w:type="dxa" w:w="2268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镜像</w:t>
            </w:r>
          </w:p>
        </w:tc>
        <w:tc>
          <w:tcPr>
            <w:tcW w:type="dxa" w:w="1134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端口</w:t>
            </w:r>
          </w:p>
        </w:tc>
        <w:tc>
          <w:tcPr>
            <w:tcW w:type="dxa" w:w="4252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ganache</w:t>
            </w:r>
          </w:p>
        </w:tc>
        <w:tc>
          <w:tcPr>
            <w:tcW w:type="dxa" w:w="2268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trufflesuite/ganache</w:t>
            </w:r>
          </w:p>
        </w:tc>
        <w:tc>
          <w:tcPr>
            <w:tcW w:type="dxa" w:w="1134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8545</w:t>
            </w:r>
          </w:p>
        </w:tc>
        <w:tc>
          <w:tcPr>
            <w:tcW w:type="dxa" w:w="4252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本地以太坊测试链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/>
                <w:color w:val="333333"/>
                <w:sz w:val="20"/>
              </w:rPr>
              <w:t>backend</w:t>
            </w:r>
          </w:p>
        </w:tc>
        <w:tc>
          <w:tcPr>
            <w:tcW w:type="dxa" w:w="2268"/>
          </w:tcPr>
          <w:p>
            <w:r/>
            <w:r>
              <w:rPr>
                <w:rFonts w:ascii="Arial" w:hAnsi="Arial"/>
                <w:color w:val="333333"/>
                <w:sz w:val="20"/>
              </w:rPr>
              <w:t>Python Flask 自建镜像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color w:val="333333"/>
                <w:sz w:val="20"/>
              </w:rPr>
              <w:t>5000</w:t>
            </w:r>
          </w:p>
        </w:tc>
        <w:tc>
          <w:tcPr>
            <w:tcW w:type="dxa" w:w="4252"/>
          </w:tcPr>
          <w:p>
            <w:r/>
            <w:r>
              <w:rPr>
                <w:rFonts w:ascii="Arial" w:hAnsi="Arial"/>
                <w:color w:val="333333"/>
                <w:sz w:val="20"/>
              </w:rPr>
              <w:t>后端 API + 内容指纹引擎</w:t>
            </w:r>
          </w:p>
        </w:tc>
      </w:tr>
      <w:tr>
        <w:tc>
          <w:tcPr>
            <w:tcW w:type="dxa" w:w="1701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frontend</w:t>
            </w:r>
          </w:p>
        </w:tc>
        <w:tc>
          <w:tcPr>
            <w:tcW w:type="dxa" w:w="2268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Nginx 自建镜像</w:t>
            </w:r>
          </w:p>
        </w:tc>
        <w:tc>
          <w:tcPr>
            <w:tcW w:type="dxa" w:w="1134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80</w:t>
            </w:r>
          </w:p>
        </w:tc>
        <w:tc>
          <w:tcPr>
            <w:tcW w:type="dxa" w:w="4252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前端静态页面</w:t>
            </w:r>
          </w:p>
        </w:tc>
      </w:tr>
    </w:tbl>
    <w:p>
      <w:pPr>
        <w:spacing w:after="40"/>
      </w:pPr>
    </w:p>
    <w:p>
      <w:pPr>
        <w:spacing w:after="80" w:line="360" w:lineRule="auto"/>
      </w:pPr>
      <w:r>
        <w:rPr>
          <w:rFonts w:ascii="Arial" w:hAnsi="Arial"/>
          <w:b w:val="0"/>
          <w:i w:val="0"/>
          <w:color w:val="333333"/>
          <w:sz w:val="22"/>
        </w:rPr>
        <w:t>一键启动：docker compose up --build，复用共识实验的容器化经验。</w:t>
      </w:r>
    </w:p>
    <w:p>
      <w:pPr>
        <w:spacing w:before="160" w:after="40"/>
      </w:pPr>
      <w:r>
        <w:rPr>
          <w:rFonts w:ascii="Arial" w:hAnsi="Arial"/>
          <w:i/>
          <w:color w:val="888888"/>
          <w:sz w:val="20"/>
        </w:rPr>
        <w:t>▶ [Slide: 演示脚本（重点）]</w:t>
      </w:r>
    </w:p>
    <w:p>
      <w:pPr>
        <w:pStyle w:val="Heading1"/>
      </w:pPr>
      <w:r>
        <w:rPr>
          <w:rFonts w:ascii="Arial" w:hAnsi="Arial"/>
          <w:color w:val="1F4E79"/>
        </w:rPr>
        <w:t>十四、答辩演示脚本</w:t>
      </w:r>
    </w:p>
    <w:p>
      <w:pPr>
        <w:spacing w:after="80" w:line="360" w:lineRule="auto"/>
      </w:pPr>
      <w:r>
        <w:rPr>
          <w:rFonts w:ascii="Arial" w:hAnsi="Arial"/>
          <w:b w:val="0"/>
          <w:i w:val="0"/>
          <w:color w:val="333333"/>
          <w:sz w:val="22"/>
        </w:rPr>
        <w:t>建议每个环节 2–3 分钟：</w:t>
      </w:r>
    </w:p>
    <w:p>
      <w:pPr>
        <w:spacing w:after="80" w:line="360" w:lineRule="auto"/>
      </w:pPr>
      <w:r>
        <w:rPr>
          <w:rFonts w:ascii="Arial" w:hAnsi="Arial"/>
          <w:b/>
          <w:color w:val="333333"/>
          <w:sz w:val="22"/>
        </w:rPr>
        <w:t>环节一（冷启动）：</w:t>
      </w:r>
      <w:r>
        <w:rPr>
          <w:rFonts w:ascii="Arial" w:hAnsi="Arial"/>
          <w:color w:val="333333"/>
          <w:sz w:val="22"/>
        </w:rPr>
        <w:t>展示两个用户注册，各获得 100 EDU 初始通证。</w:t>
      </w:r>
    </w:p>
    <w:p>
      <w:pPr>
        <w:spacing w:after="80" w:line="360" w:lineRule="auto"/>
      </w:pPr>
      <w:r>
        <w:rPr>
          <w:rFonts w:ascii="Arial" w:hAnsi="Arial"/>
          <w:b/>
          <w:color w:val="333333"/>
          <w:sz w:val="22"/>
        </w:rPr>
        <w:t>环节二（上传与激励）：</w:t>
      </w:r>
      <w:r>
        <w:rPr>
          <w:rFonts w:ascii="Arial" w:hAnsi="Arial"/>
          <w:color w:val="333333"/>
          <w:sz w:val="22"/>
        </w:rPr>
        <w:t>用户 A 上传 PPT，控制台展示 SHA-256 + SimHash 计算过程，余额 +20 EDU。</w:t>
      </w:r>
    </w:p>
    <w:p>
      <w:pPr>
        <w:spacing w:after="80" w:line="360" w:lineRule="auto"/>
      </w:pPr>
      <w:r>
        <w:rPr>
          <w:rFonts w:ascii="Arial" w:hAnsi="Arial"/>
          <w:b/>
          <w:color w:val="333333"/>
          <w:sz w:val="22"/>
        </w:rPr>
        <w:t>环节三（下载与支付）：</w:t>
      </w:r>
      <w:r>
        <w:rPr>
          <w:rFonts w:ascii="Arial" w:hAnsi="Arial"/>
          <w:color w:val="333333"/>
          <w:sz w:val="22"/>
        </w:rPr>
        <w:t>用户 B 下载，余额 −5 EDU，A 余额 +5 EDU。验证报告显示 SHA-256 一致、相似度 100%。</w:t>
      </w:r>
    </w:p>
    <w:p>
      <w:pPr>
        <w:spacing w:after="80" w:line="360" w:lineRule="auto"/>
      </w:pPr>
      <w:r>
        <w:rPr>
          <w:rFonts w:ascii="Arial" w:hAnsi="Arial"/>
          <w:b/>
          <w:color w:val="333333"/>
          <w:sz w:val="22"/>
        </w:rPr>
        <w:t>环节四（篡改检测 ★）：</w:t>
      </w:r>
      <w:r>
        <w:rPr>
          <w:rFonts w:ascii="Arial" w:hAnsi="Arial"/>
          <w:color w:val="333333"/>
          <w:sz w:val="22"/>
        </w:rPr>
        <w:t>提前准备一份修改过内容的 PPT 副本，触发验证。展示“SHA-256 不匹配，SimHash 相似度 92.1%，属衍生版本”的完整报告。这是最能体现技术深度的环节。</w:t>
      </w:r>
    </w:p>
    <w:p>
      <w:pPr>
        <w:spacing w:after="80" w:line="360" w:lineRule="auto"/>
      </w:pPr>
      <w:r>
        <w:rPr>
          <w:rFonts w:ascii="Arial" w:hAnsi="Arial"/>
          <w:b/>
          <w:color w:val="333333"/>
          <w:sz w:val="22"/>
        </w:rPr>
        <w:t>环节五（链上追溯）：</w:t>
      </w:r>
      <w:r>
        <w:rPr>
          <w:rFonts w:ascii="Arial" w:hAnsi="Arial"/>
          <w:color w:val="333333"/>
          <w:sz w:val="22"/>
        </w:rPr>
        <w:t>展示下载记录链上存证，点击交易 ID 查看 Ganache 区块信息。</w:t>
      </w:r>
    </w:p>
    <w:p>
      <w:pPr>
        <w:spacing w:before="160" w:after="40"/>
      </w:pPr>
      <w:r>
        <w:rPr>
          <w:rFonts w:ascii="Arial" w:hAnsi="Arial"/>
          <w:i/>
          <w:color w:val="888888"/>
          <w:sz w:val="20"/>
        </w:rPr>
        <w:t>▶ [Slide: 与需求分析的改进对比 + 实施计划]</w:t>
      </w:r>
    </w:p>
    <w:p>
      <w:pPr>
        <w:pStyle w:val="Heading1"/>
      </w:pPr>
      <w:r>
        <w:rPr>
          <w:rFonts w:ascii="Arial" w:hAnsi="Arial"/>
          <w:color w:val="1F4E79"/>
        </w:rPr>
        <w:t>十五、改进对比与实施计划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417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2835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需求分析阶段</w:t>
            </w:r>
          </w:p>
        </w:tc>
        <w:tc>
          <w:tcPr>
            <w:tcW w:type="dxa" w:w="5102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系统设计阶段（本方案）</w:t>
            </w:r>
          </w:p>
        </w:tc>
      </w:tr>
      <w:tr>
        <w:tc>
          <w:tcPr>
            <w:tcW w:type="dxa" w:w="1417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核心定位</w:t>
            </w:r>
          </w:p>
        </w:tc>
        <w:tc>
          <w:tcPr>
            <w:tcW w:type="dxa" w:w="2835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三大痛点并行</w:t>
            </w:r>
          </w:p>
        </w:tc>
        <w:tc>
          <w:tcPr>
            <w:tcW w:type="dxa" w:w="5102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聚焦两大核心难题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Arial" w:hAnsi="Arial"/>
                <w:color w:val="333333"/>
                <w:sz w:val="20"/>
              </w:rPr>
              <w:t>完整性校验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color w:val="333333"/>
                <w:sz w:val="20"/>
              </w:rPr>
              <w:t>仅 SHA-256 精确哈希</w:t>
            </w:r>
          </w:p>
        </w:tc>
        <w:tc>
          <w:tcPr>
            <w:tcW w:type="dxa" w:w="5102"/>
          </w:tcPr>
          <w:p>
            <w:r/>
            <w:r>
              <w:rPr>
                <w:rFonts w:ascii="Arial" w:hAnsi="Arial"/>
                <w:color w:val="333333"/>
                <w:sz w:val="20"/>
              </w:rPr>
              <w:t>双层指纹：SHA-256 + SimHash</w:t>
            </w:r>
          </w:p>
        </w:tc>
      </w:tr>
      <w:tr>
        <w:tc>
          <w:tcPr>
            <w:tcW w:type="dxa" w:w="1417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篡改检测</w:t>
            </w:r>
          </w:p>
        </w:tc>
        <w:tc>
          <w:tcPr>
            <w:tcW w:type="dxa" w:w="2835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只能判断“一致/不一致”</w:t>
            </w:r>
          </w:p>
        </w:tc>
        <w:tc>
          <w:tcPr>
            <w:tcW w:type="dxa" w:w="5102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可量化相似度、定位差异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Arial" w:hAnsi="Arial"/>
                <w:color w:val="333333"/>
                <w:sz w:val="20"/>
              </w:rPr>
              <w:t>激励机制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color w:val="333333"/>
                <w:sz w:val="20"/>
              </w:rPr>
              <w:t>无（纯分发模式）</w:t>
            </w:r>
          </w:p>
        </w:tc>
        <w:tc>
          <w:tcPr>
            <w:tcW w:type="dxa" w:w="5102"/>
          </w:tcPr>
          <w:p>
            <w:r/>
            <w:r>
              <w:rPr>
                <w:rFonts w:ascii="Arial" w:hAnsi="Arial"/>
                <w:color w:val="333333"/>
                <w:sz w:val="20"/>
              </w:rPr>
              <w:t>EduToken 通证经济</w:t>
            </w:r>
          </w:p>
        </w:tc>
      </w:tr>
      <w:tr>
        <w:tc>
          <w:tcPr>
            <w:tcW w:type="dxa" w:w="1417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区块链角色</w:t>
            </w:r>
          </w:p>
        </w:tc>
        <w:tc>
          <w:tcPr>
            <w:tcW w:type="dxa" w:w="2835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被动记录者</w:t>
            </w:r>
          </w:p>
        </w:tc>
        <w:tc>
          <w:tcPr>
            <w:tcW w:type="dxa" w:w="5102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主动治理者（通证转移 + 激励规则）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Arial" w:hAnsi="Arial"/>
                <w:color w:val="333333"/>
                <w:sz w:val="20"/>
              </w:rPr>
              <w:t>智能合约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/>
                <w:color w:val="333333"/>
                <w:sz w:val="20"/>
              </w:rPr>
              <w:t>单一合约，5 个接口</w:t>
            </w:r>
          </w:p>
        </w:tc>
        <w:tc>
          <w:tcPr>
            <w:tcW w:type="dxa" w:w="5102"/>
          </w:tcPr>
          <w:p>
            <w:r/>
            <w:r>
              <w:rPr>
                <w:rFonts w:ascii="Arial" w:hAnsi="Arial"/>
                <w:color w:val="333333"/>
                <w:sz w:val="20"/>
              </w:rPr>
              <w:t>三合约协作</w:t>
            </w:r>
          </w:p>
        </w:tc>
      </w:tr>
      <w:tr>
        <w:tc>
          <w:tcPr>
            <w:tcW w:type="dxa" w:w="1417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演示亮点</w:t>
            </w:r>
          </w:p>
        </w:tc>
        <w:tc>
          <w:tcPr>
            <w:tcW w:type="dxa" w:w="2835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哈希一致/不一致</w:t>
            </w:r>
          </w:p>
        </w:tc>
        <w:tc>
          <w:tcPr>
            <w:tcW w:type="dxa" w:w="5102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篡改检测 + 相似度报告 + 通证流转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/>
          <w:color w:val="1F4E79"/>
        </w:rPr>
        <w:t>实施计划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984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1134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周期</w:t>
            </w:r>
          </w:p>
        </w:tc>
        <w:tc>
          <w:tcPr>
            <w:tcW w:type="dxa" w:w="6236"/>
            <w:shd w:fill="1F4E79" w:val="clea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主要任务</w:t>
            </w:r>
          </w:p>
        </w:tc>
      </w:tr>
      <w:tr>
        <w:tc>
          <w:tcPr>
            <w:tcW w:type="dxa" w:w="1984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1. 环境搭建</w:t>
            </w:r>
          </w:p>
        </w:tc>
        <w:tc>
          <w:tcPr>
            <w:tcW w:type="dxa" w:w="1134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1 周</w:t>
            </w:r>
          </w:p>
        </w:tc>
        <w:tc>
          <w:tcPr>
            <w:tcW w:type="dxa" w:w="6236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Docker Compose 编排 Ganache + Flask；Solidity 合约编写与部署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color w:val="333333"/>
                <w:sz w:val="20"/>
              </w:rPr>
              <w:t>2. 内容指纹引擎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color w:val="333333"/>
                <w:sz w:val="20"/>
              </w:rPr>
              <w:t>1 周</w:t>
            </w:r>
          </w:p>
        </w:tc>
        <w:tc>
          <w:tcPr>
            <w:tcW w:type="dxa" w:w="6236"/>
          </w:tcPr>
          <w:p>
            <w:r/>
            <w:r>
              <w:rPr>
                <w:rFonts w:ascii="Arial" w:hAnsi="Arial"/>
                <w:color w:val="333333"/>
                <w:sz w:val="20"/>
              </w:rPr>
              <w:t>文本提取模块（PPT/Word/PDF）；SimHash 实现与测试</w:t>
            </w:r>
          </w:p>
        </w:tc>
      </w:tr>
      <w:tr>
        <w:tc>
          <w:tcPr>
            <w:tcW w:type="dxa" w:w="1984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3. 通证合约</w:t>
            </w:r>
          </w:p>
        </w:tc>
        <w:tc>
          <w:tcPr>
            <w:tcW w:type="dxa" w:w="1134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1 周</w:t>
            </w:r>
          </w:p>
        </w:tc>
        <w:tc>
          <w:tcPr>
            <w:tcW w:type="dxa" w:w="6236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EduToken ERC-20 合约；MaterialRegistry 合约增强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color w:val="333333"/>
                <w:sz w:val="20"/>
              </w:rPr>
              <w:t>4. 前端开发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color w:val="333333"/>
                <w:sz w:val="20"/>
              </w:rPr>
              <w:t>1–2 周</w:t>
            </w:r>
          </w:p>
        </w:tc>
        <w:tc>
          <w:tcPr>
            <w:tcW w:type="dxa" w:w="6236"/>
          </w:tcPr>
          <w:p>
            <w:r/>
            <w:r>
              <w:rPr>
                <w:rFonts w:ascii="Arial" w:hAnsi="Arial"/>
                <w:color w:val="333333"/>
                <w:sz w:val="20"/>
              </w:rPr>
              <w:t>资料市场页、上传页、验证报告页、钱包页</w:t>
            </w:r>
          </w:p>
        </w:tc>
      </w:tr>
      <w:tr>
        <w:tc>
          <w:tcPr>
            <w:tcW w:type="dxa" w:w="1984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5. 集成联调</w:t>
            </w:r>
          </w:p>
        </w:tc>
        <w:tc>
          <w:tcPr>
            <w:tcW w:type="dxa" w:w="1134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1 周</w:t>
            </w:r>
          </w:p>
        </w:tc>
        <w:tc>
          <w:tcPr>
            <w:tcW w:type="dxa" w:w="6236"/>
            <w:shd w:fill="D6E4F0" w:val="clear"/>
          </w:tcPr>
          <w:p>
            <w:r/>
            <w:r>
              <w:rPr>
                <w:rFonts w:ascii="Arial" w:hAnsi="Arial"/>
                <w:color w:val="333333"/>
                <w:sz w:val="20"/>
              </w:rPr>
              <w:t>前后端联调、合约交互、端到端测试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rial" w:hAnsi="Arial"/>
                <w:color w:val="333333"/>
                <w:sz w:val="20"/>
              </w:rPr>
              <w:t>6. 答辩准备</w:t>
            </w:r>
          </w:p>
        </w:tc>
        <w:tc>
          <w:tcPr>
            <w:tcW w:type="dxa" w:w="1134"/>
          </w:tcPr>
          <w:p>
            <w:r/>
            <w:r>
              <w:rPr>
                <w:rFonts w:ascii="Arial" w:hAnsi="Arial"/>
                <w:color w:val="333333"/>
                <w:sz w:val="20"/>
              </w:rPr>
              <w:t>3–5 天</w:t>
            </w:r>
          </w:p>
        </w:tc>
        <w:tc>
          <w:tcPr>
            <w:tcW w:type="dxa" w:w="6236"/>
          </w:tcPr>
          <w:p>
            <w:r/>
            <w:r>
              <w:rPr>
                <w:rFonts w:ascii="Arial" w:hAnsi="Arial"/>
                <w:color w:val="333333"/>
                <w:sz w:val="20"/>
              </w:rPr>
              <w:t>PPT 制作、演示排练、录屏备份</w:t>
            </w:r>
          </w:p>
        </w:tc>
      </w:tr>
    </w:tbl>
    <w:p>
      <w:pPr>
        <w:spacing w:after="40"/>
      </w:pPr>
    </w:p>
    <w:p>
      <w:pPr>
        <w:spacing w:after="80" w:line="360" w:lineRule="auto"/>
      </w:pPr>
      <w:r>
        <w:rPr>
          <w:rFonts w:ascii="Arial" w:hAnsi="Arial"/>
          <w:b w:val="0"/>
          <w:i w:val="0"/>
          <w:color w:val="333333"/>
          <w:sz w:val="22"/>
        </w:rPr>
      </w:r>
    </w:p>
    <w:p>
      <w:pPr>
        <w:spacing w:after="80" w:line="360" w:lineRule="auto"/>
        <w:jc w:val="center"/>
      </w:pPr>
      <w:r>
        <w:rPr>
          <w:rFonts w:ascii="Arial" w:hAnsi="Arial"/>
          <w:b w:val="0"/>
          <w:i/>
          <w:color w:val="999999"/>
          <w:sz w:val="22"/>
        </w:rPr>
        <w:t>—— 文稿结束 ——</w:t>
      </w:r>
    </w:p>
    <w:sectPr w:rsidR="00FC693F" w:rsidRPr="0006063C" w:rsidSect="00034616">
      <w:pgSz w:w="11906" w:h="16838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