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new-pay Portal 系統設計文件（SD）</w:t>
      </w:r>
    </w:p>
    <w:p>
      <w:pPr>
        <w:pStyle w:val="MdBlockquote"/>
      </w:pPr>
      <w:r>
        <w:t xml:space="preserve">需求來源：</w:t>
      </w:r>
      <w:r>
        <w:rPr>
          <w:rStyle w:val="MdCodespan"/>
          <w:u w:val="single"/>
        </w:rPr>
        <w:t xml:space="preserve">docs/new-pay_Portal_SRS.md</w:t>
      </w:r>
      <w:r>
        <w:t xml:space="preserve">（SRS 1.0）；User Story：</w:t>
      </w:r>
      <w:r>
        <w:rPr>
          <w:rStyle w:val="MdCodespan"/>
          <w:u w:val="single"/>
        </w:rPr>
        <w:t xml:space="preserve">docs/user-stories.md</w:t>
      </w:r>
      <w:r>
        <w:t xml:space="preserve">。</w:t>
      </w:r>
      <w:r>
        <w:br/>
        <w:t xml:space="preserve">端點與參數以 SRS 第 5 章與</w:t>
      </w:r>
      <w:r>
        <w:rPr>
          <w:rStyle w:val="MdCodespan"/>
          <w:u w:val="single"/>
        </w:rPr>
        <w:t xml:space="preserve">portal/.../PortalController.java</w:t>
      </w:r>
      <w:r>
        <w:t xml:space="preserve"> 為準；兩者若有不一致，以程式為準並在圖下說明。本版次對照結果：Portal 端點、參數、未登入回應與 SRS 5.1 完全一致。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1. 系統架構</w:t>
      </w:r>
    </w:p>
    <w:p>
      <w:pPr>
        <w:pStyle w:val="MdParagraph"/>
        <w:jc w:val="center"/>
      </w:pPr>
      <w:r>
        <w:drawing>
          <wp:inline distT="0" distB="0" distL="0" distR="0">
            <wp:extent cx="5734050" cy="828675"/>
            <wp:effectExtent t="0" r="0" b="0" l="0"/>
            <wp:docPr id="1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Portal 不存取資料庫（P-COM-13）；每個資料端點對應一個後端 API，回應字串原樣轉回瀏覽器。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後端位址寫死在 </w:t>
      </w:r>
      <w:r>
        <w:rPr>
          <w:rStyle w:val="MdCodespan"/>
          <w:u w:val="single"/>
        </w:rPr>
        <w:t xml:space="preserve">PortalController.BACKEND</w:t>
      </w:r>
      <w:r>
        <w:t xml:space="preserve">（P-COM-14）；</w:t>
      </w:r>
      <w:r>
        <w:rPr>
          <w:rStyle w:val="MdCodespan"/>
          <w:u w:val="single"/>
        </w:rPr>
        <w:t xml:space="preserve">application.properties</w:t>
      </w:r>
      <w:r>
        <w:t xml:space="preserve"> 的 </w:t>
      </w:r>
      <w:r>
        <w:rPr>
          <w:rStyle w:val="MdCodespan"/>
          <w:u w:val="single"/>
        </w:rPr>
        <w:t xml:space="preserve">newpay.backend.url</w:t>
      </w:r>
      <w:r>
        <w:t xml:space="preserve"> 保留未用（SRS 7.5）。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Portal 啟動不依賴後端；後端未啟動時頁面可開、可登入，查詢回 </w:t>
      </w:r>
      <w:r>
        <w:rPr>
          <w:rStyle w:val="MdCodespan"/>
          <w:u w:val="single"/>
        </w:rPr>
        <w:t xml:space="preserve">backend error:</w:t>
      </w:r>
      <w:r>
        <w:t xml:space="preserve">（P-NFR-03）。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後端 API 不要求認證；Portal 的登入檢查只在 Portal 這一層（SRS 7.3）。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2. 循序圖 Sequence Diagram</w:t>
      </w:r>
    </w:p>
    <w:p>
      <w:pPr>
        <w:pStyle w:val="Heading3"/>
        <w:pStyle w:val="MdHeading3"/>
      </w:pPr>
      <w:r>
        <w:t xml:space="preserve">SD-01 登入與登出</w:t>
      </w:r>
    </w:p>
    <w:p>
      <w:pPr>
        <w:pStyle w:val="MdParagraph"/>
        <w:jc w:val="center"/>
      </w:pPr>
      <w:r>
        <w:drawing>
          <wp:inline distT="0" distB="0" distL="0" distR="0">
            <wp:extent cx="5734050" cy="6553200"/>
            <wp:effectExtent t="0" r="0" b="0" l="0"/>
            <wp:docPr id="2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帳號表為程式常數 </w:t>
      </w:r>
      <w:r>
        <w:rPr>
          <w:rStyle w:val="MdCodespan"/>
          <w:u w:val="single"/>
        </w:rPr>
        <w:t xml:space="preserve">USERS</w:t>
      </w:r>
      <w:r>
        <w:t xml:space="preserve">（sa/sa、cp/cp、csr/csr），密碼明碼比對（P-LGN-01）。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再次登入不換 session id，只覆寫 </w:t>
      </w:r>
      <w:r>
        <w:rPr>
          <w:rStyle w:val="MdCodespan"/>
          <w:u w:val="single"/>
        </w:rPr>
        <w:t xml:space="preserve">loginUser</w:t>
      </w:r>
      <w:r>
        <w:t xml:space="preserve">、</w:t>
      </w:r>
      <w:r>
        <w:rPr>
          <w:rStyle w:val="MdCodespan"/>
          <w:u w:val="single"/>
        </w:rPr>
        <w:t xml:space="preserve">role</w:t>
      </w:r>
      <w:r>
        <w:t xml:space="preserve">（P-LGN-06）；無失敗次數限制與驗證碼（P-LGN-08）。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session 逾時為 Servlet 容器預設 30 分鐘，以 cookie </w:t>
      </w:r>
      <w:r>
        <w:rPr>
          <w:rStyle w:val="MdCodespan"/>
          <w:u w:val="single"/>
        </w:rPr>
        <w:t xml:space="preserve">JSESSIONID</w:t>
      </w:r>
      <w:r>
        <w:t xml:space="preserve"> 識別（P-COM-06）。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SD-02 首頁</w:t>
      </w:r>
    </w:p>
    <w:p>
      <w:pPr>
        <w:pStyle w:val="MdParagraph"/>
        <w:jc w:val="center"/>
      </w:pPr>
      <w:r>
        <w:drawing>
          <wp:inline distT="0" distB="0" distL="0" distR="0">
            <wp:extent cx="5734050" cy="3076575"/>
            <wp:effectExtent t="0" r="0" b="0" l="0"/>
            <wp:docPr id="3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首頁是唯一在標題列顯示 </w:t>
      </w:r>
      <w:r>
        <w:rPr>
          <w:rStyle w:val="MdCodespan"/>
          <w:u w:val="single"/>
        </w:rPr>
        <w:t xml:space="preserve">(role)</w:t>
      </w:r>
      <w:r>
        <w:t xml:space="preserve"> 的頁面（P-COM-07、P-HOME-03）；三個帳號看到的內容相同（P-HOME-02）。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選單不依角色過濾（P-COM-09）；Merchant 區塊沒有退款報表連結（P-HOME-04）。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各頁只載入 </w:t>
      </w:r>
      <w:r>
        <w:rPr>
          <w:rStyle w:val="MdCodespan"/>
          <w:u w:val="single"/>
        </w:rPr>
        <w:t xml:space="preserve">/css/portal.css</w:t>
      </w:r>
      <w:r>
        <w:t xml:space="preserve"> 與 </w:t>
      </w:r>
      <w:r>
        <w:rPr>
          <w:rStyle w:val="MdCodespan"/>
          <w:u w:val="single"/>
        </w:rPr>
        <w:t xml:space="preserve">/js/jquery.min.js</w:t>
      </w:r>
      <w:r>
        <w:t xml:space="preserve">，不用外部 CDN（P-COM-12）。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SD-03 交易報表查詢</w:t>
      </w:r>
    </w:p>
    <w:p>
      <w:pPr>
        <w:pStyle w:val="MdParagraph"/>
        <w:jc w:val="center"/>
      </w:pPr>
      <w:r>
        <w:drawing>
          <wp:inline distT="0" distB="0" distL="0" distR="0">
            <wp:extent cx="5734050" cy="3057525"/>
            <wp:effectExtent t="0" r="0" b="0" l="0"/>
            <wp:docPr id="4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Codespan"/>
          <w:u w:val="single"/>
        </w:rPr>
        <w:t xml:space="preserve">col</w:t>
      </w:r>
      <w:r>
        <w:t xml:space="preserve"> = </w:t>
      </w:r>
      <w:r>
        <w:rPr>
          <w:rStyle w:val="MdCodespan"/>
          <w:u w:val="single"/>
        </w:rPr>
        <w:t xml:space="preserve">AUTH_DT</w:t>
      </w:r>
      <w:r>
        <w:t xml:space="preserve">（timeType=auth）或 </w:t>
      </w:r>
      <w:r>
        <w:rPr>
          <w:rStyle w:val="MdCodespan"/>
          <w:u w:val="single"/>
        </w:rPr>
        <w:t xml:space="preserve">TX_DT</w:t>
      </w:r>
      <w:r>
        <w:t xml:space="preserve">（其他）；排序固定 </w:t>
      </w:r>
      <w:r>
        <w:rPr>
          <w:rStyle w:val="MdCodespan"/>
          <w:u w:val="single"/>
        </w:rPr>
        <w:t xml:space="preserve">TX_DT</w:t>
      </w:r>
      <w:r>
        <w:t xml:space="preserve">（P-RPT-04、P-RPT-07）。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Codespan"/>
          <w:u w:val="single"/>
        </w:rPr>
        <w:t xml:space="preserve">type</w:t>
      </w:r>
      <w:r>
        <w:t xml:space="preserve"> 只判斷是否等於 </w:t>
      </w:r>
      <w:r>
        <w:rPr>
          <w:rStyle w:val="MdCodespan"/>
          <w:u w:val="single"/>
        </w:rPr>
        <w:t xml:space="preserve">refund</w:t>
      </w:r>
      <w:r>
        <w:t xml:space="preserve">，其他值一律走交易報表（P-RPT-12）；參數直接串入 URL、不做 URL 編碼（P-COM-18）。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缺 </w:t>
      </w:r>
      <w:r>
        <w:rPr>
          <w:rStyle w:val="MdCodespan"/>
          <w:u w:val="single"/>
        </w:rPr>
        <w:t xml:space="preserve">type</w:t>
      </w:r>
      <w:r>
        <w:t xml:space="preserve">、</w:t>
      </w:r>
      <w:r>
        <w:rPr>
          <w:rStyle w:val="MdCodespan"/>
          <w:u w:val="single"/>
        </w:rPr>
        <w:t xml:space="preserve">from</w:t>
      </w:r>
      <w:r>
        <w:t xml:space="preserve">、</w:t>
      </w:r>
      <w:r>
        <w:rPr>
          <w:rStyle w:val="MdCodespan"/>
          <w:u w:val="single"/>
        </w:rPr>
        <w:t xml:space="preserve">to</w:t>
      </w:r>
      <w:r>
        <w:t xml:space="preserve"> → Portal 回 400，不轉呼叫（P-COM-19）。</w:t>
      </w:r>
    </w:p>
    <w:p>
      <w:pPr>
        <w:pStyle w:val="MdSpace"/>
      </w:pPr>
    </w:p>
    <w:p>
      <w:pPr>
        <w:pStyle w:val="MdParagraph"/>
      </w:pPr>
      <w:r>
        <w:t xml:space="preserve">結果欄位（P-RPT-06）——User Story 用中文名稱，畫面表頭顯示代號：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rPr>
          <w:cantSplit/>
          <w:tblHeader/>
        </w:trPr>
        <w:tc>
          <w:tcPr>
            <w:tcW w:type="dxa" w:w="2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畫面表頭</w:t>
            </w:r>
          </w:p>
        </w:tc>
        <w:tc>
          <w:tcPr>
            <w:tcW w:type="dxa" w:w="2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中文名稱</w:t>
            </w:r>
          </w:p>
        </w:tc>
        <w:tc>
          <w:tcPr>
            <w:tcW w:type="dxa" w:w="2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2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畫面表頭</w:t>
            </w:r>
          </w:p>
        </w:tc>
        <w:tc>
          <w:tcPr>
            <w:tcW w:type="dxa" w:w="2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中文名稱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TXID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交易序號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TX_DT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交易時間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MERCHANT_ID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商家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AUTH_DT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授權時間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ACC_ID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門號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BILL_CSPTIME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請款時間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AMOUNT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金額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MEMO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OLS 單號（CorrelationId）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CURRENCY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幣別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MERCHANDIZE_NAME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商品名稱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TX_STATUS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交易狀態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REFERENCE</w:t>
            </w:r>
          </w:p>
        </w:tc>
        <w:tc>
          <w:tcPr>
            <w:tcW w:type="dxa" w:w="2000"/>
            <w:vAlign w:val="center"/>
          </w:tcPr>
          <w:p>
            <w:pPr>
              <w:pStyle w:val="MdTableCell"/>
            </w:pPr>
            <w:r>
              <w:t xml:space="preserve">商家聯絡資訊（MerchantContact）</w:t>
            </w:r>
          </w:p>
        </w:tc>
      </w:tr>
    </w:tbl>
    <w:p>
      <w:pPr>
        <w:pStyle w:val="Heading3"/>
        <w:pStyle w:val="MdHeading3"/>
      </w:pPr>
      <w:r>
        <w:t xml:space="preserve">SD-04 退款報表查詢</w:t>
      </w:r>
    </w:p>
    <w:p>
      <w:pPr>
        <w:pStyle w:val="MdParagraph"/>
        <w:jc w:val="center"/>
      </w:pPr>
      <w:r>
        <w:drawing>
          <wp:inline distT="0" distB="0" distL="0" distR="0">
            <wp:extent cx="5734050" cy="3286125"/>
            <wp:effectExtent t="0" r="0" b="0" l="0"/>
            <wp:docPr id="5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區間欄位為 </w:t>
      </w:r>
      <w:r>
        <w:rPr>
          <w:rStyle w:val="MdCodespan"/>
          <w:u w:val="single"/>
        </w:rPr>
        <w:t xml:space="preserve">REFUND_DATE</w:t>
      </w:r>
      <w:r>
        <w:t xml:space="preserve">（P-RFD-02）；內連結使找不到原交易的退款不出現（P-RFD-05）。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結果欄位（P-RFD-03）：TXID 交易序號、AMOUNT 退款金額、REFUND_STATUS 退款狀態、REFUND_DATE 退款時間、MEMO 原交易 OLS 單號、AUTH_DT 原交易授權時間。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SD-05 對帳查詢（每日／每月／差異明細）</w:t>
      </w:r>
    </w:p>
    <w:p>
      <w:pPr>
        <w:pStyle w:val="MdParagraph"/>
        <w:jc w:val="center"/>
      </w:pPr>
      <w:r>
        <w:drawing>
          <wp:inline distT="0" distB="0" distL="0" distR="0">
            <wp:extent cx="5734050" cy="3914775"/>
            <wp:effectExtent t="0" r="0" b="0" l="0"/>
            <wp:docPr id="6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彙總區（</w:t>
      </w:r>
      <w:r>
        <w:rPr>
          <w:rStyle w:val="MdCodespan"/>
          <w:u w:val="single"/>
        </w:rPr>
        <w:t xml:space="preserve">#result</w:t>
      </w:r>
      <w:r>
        <w:t xml:space="preserve">）與明細區（</w:t>
      </w:r>
      <w:r>
        <w:rPr>
          <w:rStyle w:val="MdCodespan"/>
          <w:u w:val="single"/>
        </w:rPr>
        <w:t xml:space="preserve">#detail</w:t>
      </w:r>
      <w:r>
        <w:t xml:space="preserve">）各自更新、互不清除（P-RCN-10、P-RCN-12）。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明細只查每日明細表；</w:t>
      </w:r>
      <w:r>
        <w:rPr>
          <w:rStyle w:val="MdCodespan"/>
          <w:u w:val="single"/>
        </w:rPr>
        <w:t xml:space="preserve">M</w:t>
      </w:r>
      <w:r>
        <w:t xml:space="preserve"> 開頭的 RECON_ID 必為 0 筆（P-RCN-08）；空 reconId 照送（P-RCN-09）。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差異明細 20 欄（P-RCN-07）：RECON_ID、RECON_SEQ_NUM、MERCHANT_ID、BILLING_AGREEMENT_ID、CORRELATION_ID、SQE_NUM、TXID、STATUS、ITEM_PRICE、TAX、TOTAL_AMOUNT、ROUND_AMOUNT、CURRENCY、LAST_EVENT、TIMESTAMP、EVENT_RESPONSE、EVENT_RESPONSE_DESCRIPTION、CREATE_TIME、RECON_RESULT、RECON_MESSAGE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每日彙總 8 欄、每月彙總 7 欄，見第 4 章 ER Model（P-RCN-02、P-RCN-03）。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SD-06 服務條款設定</w:t>
      </w:r>
    </w:p>
    <w:p>
      <w:pPr>
        <w:pStyle w:val="MdParagraph"/>
        <w:jc w:val="center"/>
      </w:pPr>
      <w:r>
        <w:drawing>
          <wp:inline distT="0" distB="0" distL="0" distR="0">
            <wp:extent cx="5734050" cy="3848100"/>
            <wp:effectExtent t="0" r="0" b="0" l="0"/>
            <wp:docPr id="7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後端 </w:t>
      </w:r>
      <w:r>
        <w:rPr>
          <w:rStyle w:val="MdCodespan"/>
          <w:u w:val="single"/>
        </w:rPr>
        <w:t xml:space="preserve">/sa/tos/query</w:t>
      </w:r>
      <w:r>
        <w:t xml:space="preserve"> 沒有 try/catch：merchantID 含單引號時回 HTTP 500，Portal 轉成 </w:t>
      </w:r>
      <w:r>
        <w:rPr>
          <w:rStyle w:val="MdCodespan"/>
          <w:u w:val="single"/>
        </w:rPr>
        <w:t xml:space="preserve">backend error:</w:t>
      </w:r>
      <w:r>
        <w:t xml:space="preserve">，頁面因非 JSON 不更新——與 P-COM-31「查詢回 query error」不符（見 US-COM-05）。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後端未啟動時存檔回 </w:t>
      </w:r>
      <w:r>
        <w:rPr>
          <w:rStyle w:val="MdCodespan"/>
          <w:u w:val="single"/>
        </w:rPr>
        <w:t xml:space="preserve">FAIL …</w:t>
      </w:r>
      <w:r>
        <w:t xml:space="preserve">，重查回 </w:t>
      </w:r>
      <w:r>
        <w:rPr>
          <w:rStyle w:val="MdCodespan"/>
          <w:u w:val="single"/>
        </w:rPr>
        <w:t xml:space="preserve">backend error:</w:t>
      </w:r>
      <w:r>
        <w:t xml:space="preserve">，頁面不更新，因此 </w:t>
      </w:r>
      <w:r>
        <w:rPr>
          <w:rStyle w:val="MdCodespan"/>
          <w:u w:val="single"/>
        </w:rPr>
        <w:t xml:space="preserve">FAIL</w:t>
      </w:r>
      <w:r>
        <w:t xml:space="preserve"> 訊息不會被清空——與 P-TOS-14 前半句不符（見 US-TOS-04）。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JSON 鍵為欄位名，</w:t>
      </w:r>
      <w:r>
        <w:rPr>
          <w:rStyle w:val="MdCodespan"/>
          <w:u w:val="single"/>
        </w:rPr>
        <w:t xml:space="preserve">TOS_VERSION</w:t>
      </w:r>
      <w:r>
        <w:t xml:space="preserve"> 為數字、</w:t>
      </w:r>
      <w:r>
        <w:rPr>
          <w:rStyle w:val="MdCodespan"/>
          <w:u w:val="single"/>
        </w:rPr>
        <w:t xml:space="preserve">TOS_CONTENT</w:t>
      </w:r>
      <w:r>
        <w:t xml:space="preserve">（CLOB）轉字串（P-API-04）。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SD-07 商家銀行帳戶註冊</w:t>
      </w:r>
    </w:p>
    <w:p>
      <w:pPr>
        <w:pStyle w:val="MdParagraph"/>
        <w:jc w:val="center"/>
      </w:pPr>
      <w:r>
        <w:drawing>
          <wp:inline distT="0" distB="0" distL="0" distR="0">
            <wp:extent cx="5734050" cy="3133725"/>
            <wp:effectExtent t="0" r="0" b="0" l="0"/>
            <wp:docPr id="8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清單不限 10 筆、沒有 total rows、表格沒有 </w:t>
      </w:r>
      <w:r>
        <w:rPr>
          <w:rStyle w:val="MdCodespan"/>
          <w:u w:val="single"/>
        </w:rPr>
        <w:t xml:space="preserve">border=1</w:t>
      </w:r>
      <w:r>
        <w:t xml:space="preserve">（P-BNK-05、P-BNK-06）。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清單回應非 JSON 時 </w:t>
      </w:r>
      <w:r>
        <w:rPr>
          <w:rStyle w:val="MdCodespan"/>
          <w:u w:val="single"/>
        </w:rPr>
        <w:t xml:space="preserve">JSON.parse</w:t>
      </w:r>
      <w:r>
        <w:t xml:space="preserve"> 失敗，清單不更新（P-BNK-11）。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Codespan"/>
          <w:u w:val="single"/>
        </w:rPr>
        <w:t xml:space="preserve">/cp/bankacc/list</w:t>
      </w:r>
      <w:r>
        <w:t xml:space="preserve"> 同樣沒有 try/catch，merchantId 含單引號回 500 → </w:t>
      </w:r>
      <w:r>
        <w:rPr>
          <w:rStyle w:val="MdCodespan"/>
          <w:u w:val="single"/>
        </w:rPr>
        <w:t xml:space="preserve">backend error:</w:t>
      </w:r>
      <w:r>
        <w:t xml:space="preserve">（同 SD-06 的差異）。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SD-08 CSR 交易查詢</w:t>
      </w:r>
    </w:p>
    <w:p>
      <w:pPr>
        <w:pStyle w:val="MdParagraph"/>
        <w:jc w:val="center"/>
      </w:pPr>
      <w:r>
        <w:drawing>
          <wp:inline distT="0" distB="0" distL="0" distR="0">
            <wp:extent cx="5734050" cy="2200275"/>
            <wp:effectExtent t="0" r="0" b="0" l="0"/>
            <wp:docPr id="9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兩段 SQL 各自 try/catch，可能只有一段出現 </w:t>
      </w:r>
      <w:r>
        <w:rPr>
          <w:rStyle w:val="MdCodespan"/>
          <w:u w:val="single"/>
        </w:rPr>
        <w:t xml:space="preserve">query error:</w:t>
      </w:r>
      <w:r>
        <w:t xml:space="preserve">（P-CSR-10）。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交易表 8 欄（P-CSR-03）：TXID、AMOUNT、TX_STATUS、TX_DT、AUTH_DT、MERCHANDIZE_NAME、REFERENCE、RETURN_CODE；退款表為 MWP_PAY_REFUND 全部 8 欄（P-CSR-05）。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3. 活動圖 Activity Diagram</w:t>
      </w:r>
    </w:p>
    <w:p>
      <w:pPr>
        <w:pStyle w:val="Heading3"/>
        <w:pStyle w:val="MdHeading3"/>
      </w:pPr>
      <w:r>
        <w:t xml:space="preserve">AD-01 存取控制</w:t>
      </w:r>
    </w:p>
    <w:p>
      <w:pPr>
        <w:pStyle w:val="MdParagraph"/>
        <w:jc w:val="center"/>
      </w:pPr>
      <w:r>
        <w:drawing>
          <wp:inline distT="0" distB="0" distL="0" distR="0">
            <wp:extent cx="5734050" cy="3638550"/>
            <wp:effectExtent t="0" r="0" b="0" l="0"/>
            <wp:docPr id="10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判斷依據：功能頁面 P-COM-01；資料端點未登入回應 P-COM-02；不檢查角色 P-COM-03；登出 P-COM-05；缺參數 P-COM-19。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參數綁定先於登入檢查：未登入且缺參數時回 400 而非 please login（程式行為，SRS 未明寫順序）。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AD-02 報表查詢與結果呈現</w:t>
      </w:r>
    </w:p>
    <w:p>
      <w:pPr>
        <w:pStyle w:val="MdParagraph"/>
        <w:jc w:val="center"/>
      </w:pPr>
      <w:r>
        <w:drawing>
          <wp:inline distT="0" distB="0" distL="0" distR="0">
            <wp:extent cx="5734050" cy="8039100"/>
            <wp:effectExtent t="0" r="0" b="0" l="0"/>
            <wp:docPr id="11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時間區間：後端將 from 補 </w:t>
      </w:r>
      <w:r>
        <w:rPr>
          <w:rStyle w:val="MdCodespan"/>
          <w:u w:val="single"/>
        </w:rPr>
        <w:t xml:space="preserve">0000</w:t>
      </w:r>
      <w:r>
        <w:t xml:space="preserve">、to 補 </w:t>
      </w:r>
      <w:r>
        <w:rPr>
          <w:rStyle w:val="MdCodespan"/>
          <w:u w:val="single"/>
        </w:rPr>
        <w:t xml:space="preserve">5959</w:t>
      </w:r>
      <w:r>
        <w:t xml:space="preserve">，以字串比較，兩端包含（P-COM-35、P-RPT-03）。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查詢按鈕不停用；連按多次以最後到達的回應為準（P-COM-28）。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欄位值原樣輸出、不轉義；NULL 輸出 </w:t>
      </w:r>
      <w:r>
        <w:rPr>
          <w:rStyle w:val="MdCodespan"/>
          <w:u w:val="single"/>
        </w:rPr>
        <w:t xml:space="preserve">null</w:t>
      </w:r>
      <w:r>
        <w:t xml:space="preserve">（P-COM-24、P-COM-25）。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AD-03 Portal 轉呼叫後端與錯誤處理</w:t>
      </w:r>
    </w:p>
    <w:p>
      <w:pPr>
        <w:pStyle w:val="MdParagraph"/>
        <w:jc w:val="center"/>
      </w:pPr>
      <w:r>
        <w:drawing>
          <wp:inline distT="0" distB="0" distL="0" distR="0">
            <wp:extent cx="5734050" cy="4619625"/>
            <wp:effectExtent t="0" r="0" b="0" l="0"/>
            <wp:docPr id="12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後端業務錯誤一律 HTTP 200（</w:t>
      </w:r>
      <w:r>
        <w:rPr>
          <w:rStyle w:val="MdCodespan"/>
          <w:u w:val="single"/>
        </w:rPr>
        <w:t xml:space="preserve">query error:</w:t>
      </w:r>
      <w:r>
        <w:t xml:space="preserve">／</w:t>
      </w:r>
      <w:r>
        <w:rPr>
          <w:rStyle w:val="MdCodespan"/>
          <w:u w:val="single"/>
        </w:rPr>
        <w:t xml:space="preserve">FAIL</w:t>
      </w:r>
      <w:r>
        <w:t xml:space="preserve">）；404／400／405 由 Portal 轉成 </w:t>
      </w:r>
      <w:r>
        <w:rPr>
          <w:rStyle w:val="MdCodespan"/>
          <w:u w:val="single"/>
        </w:rPr>
        <w:t xml:space="preserve">backend error:</w:t>
      </w:r>
      <w:r>
        <w:t xml:space="preserve">（P-API-02）。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回應 Content-Type：HTML 表格類 </w:t>
      </w:r>
      <w:r>
        <w:rPr>
          <w:rStyle w:val="MdCodespan"/>
          <w:u w:val="single"/>
        </w:rPr>
        <w:t xml:space="preserve">text/html;charset=UTF-8</w:t>
      </w:r>
      <w:r>
        <w:t xml:space="preserve">、JSON 類 </w:t>
      </w:r>
      <w:r>
        <w:rPr>
          <w:rStyle w:val="MdCodespan"/>
          <w:u w:val="single"/>
        </w:rPr>
        <w:t xml:space="preserve">application/json</w:t>
      </w:r>
      <w:r>
        <w:t xml:space="preserve">、OK／FAIL 依 Spring 預設，Portal 一律當字串轉送（P-API-01）。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AD-04 服務條款狀態流程</w:t>
      </w:r>
    </w:p>
    <w:p>
      <w:pPr>
        <w:pStyle w:val="MdParagraph"/>
        <w:jc w:val="center"/>
      </w:pPr>
      <w:r>
        <w:drawing>
          <wp:inline distT="0" distB="0" distL="0" distR="0">
            <wp:extent cx="5734050" cy="8648700"/>
            <wp:effectExtent t="0" r="0" b="0" l="0"/>
            <wp:docPr id="13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6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狀態定義依 SRS 4.6.2；畫面沒有存檔前的確認對話框，也沒有前端格式檢核（P-TOS-12）。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S3 的「最新 + 1」只是預覽，實際版次由後端 </w:t>
      </w:r>
      <w:r>
        <w:rPr>
          <w:rStyle w:val="MdCodespan"/>
          <w:u w:val="single"/>
        </w:rPr>
        <w:t xml:space="preserve">MAX(TOS_VERSION)+1</w:t>
      </w:r>
      <w:r>
        <w:t xml:space="preserve"> 決定（P-TOS-07、P-TOS-11）。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舊版次沒有修改入口（P-TOS-10）。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AD-05 銀行帳戶新增與存檔</w:t>
      </w:r>
    </w:p>
    <w:p>
      <w:pPr>
        <w:pStyle w:val="MdParagraph"/>
        <w:jc w:val="center"/>
      </w:pPr>
      <w:r>
        <w:drawing>
          <wp:inline distT="0" distB="0" distL="0" distR="0">
            <wp:extent cx="4286250" cy="8867775"/>
            <wp:effectExtent t="0" r="0" b="0" l="0"/>
            <wp:docPr id="14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86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清單查詢不會清除訊息區（P-BNK-10）；未登入時清單回 </w:t>
      </w:r>
      <w:r>
        <w:rPr>
          <w:rStyle w:val="MdCodespan"/>
          <w:u w:val="single"/>
        </w:rPr>
        <w:t xml:space="preserve">[]</w:t>
      </w:r>
      <w:r>
        <w:t xml:space="preserve">，顯示只有表頭的表格。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本版次無審核流程，狀態停在 W（P-BNK-13）。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4. 資料模型 ER Model</w:t>
      </w:r>
    </w:p>
    <w:p>
      <w:pPr>
        <w:pStyle w:val="MdParagraph"/>
      </w:pPr>
      <w:r>
        <w:t xml:space="preserve">只畫 SRS 6.1 列出的 7 張資料表。為避免單張圖過寬，分成交易、對帳、設定三張。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ER-1 交易與退款</w:t>
      </w:r>
    </w:p>
    <w:p>
      <w:pPr>
        <w:pStyle w:val="MdParagraph"/>
        <w:jc w:val="center"/>
      </w:pPr>
      <w:r>
        <w:drawing>
          <wp:inline distT="0" distB="0" distL="0" distR="0">
            <wp:extent cx="3962400" cy="8867775"/>
            <wp:effectExtent t="0" r="0" b="0" l="0"/>
            <wp:docPr id="15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886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Codespan"/>
          <w:u w:val="single"/>
        </w:rPr>
        <w:t xml:space="preserve">MWP_PAY_REFUND</w:t>
      </w:r>
      <w:r>
        <w:t xml:space="preserve"> 無 PK、無 FK 約束；與交易主檔以 </w:t>
      </w:r>
      <w:r>
        <w:rPr>
          <w:rStyle w:val="MdCodespan"/>
          <w:u w:val="single"/>
        </w:rPr>
        <w:t xml:space="preserve">TXID</w:t>
      </w:r>
      <w:r>
        <w:t xml:space="preserve"> 為</w:t>
      </w:r>
      <w:r>
        <w:rPr>
          <w:rStyle w:val="MdStrong"/>
          <w:b/>
          <w:bCs/>
        </w:rPr>
        <w:t xml:space="preserve">邏輯關聯</w:t>
      </w:r>
      <w:r>
        <w:t xml:space="preserve">，一筆交易可有多筆退款。退款報表以內連結取原交易的 MEMO、AUTH_DT（P-RFD-03、P-RFD-05）。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ER-2 對帳</w:t>
      </w:r>
    </w:p>
    <w:p>
      <w:pPr>
        <w:pStyle w:val="MdParagraph"/>
        <w:jc w:val="center"/>
      </w:pPr>
      <w:r>
        <w:drawing>
          <wp:inline distT="0" distB="0" distL="0" distR="0">
            <wp:extent cx="5734050" cy="4600575"/>
            <wp:effectExtent t="0" r="0" b="0" l="0"/>
            <wp:docPr id="16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彙總與明細以 </w:t>
      </w:r>
      <w:r>
        <w:rPr>
          <w:rStyle w:val="MdCodespan"/>
          <w:u w:val="single"/>
        </w:rPr>
        <w:t xml:space="preserve">RECON_ID</w:t>
      </w:r>
      <w:r>
        <w:t xml:space="preserve"> 為</w:t>
      </w:r>
      <w:r>
        <w:rPr>
          <w:rStyle w:val="MdStrong"/>
          <w:b/>
          <w:bCs/>
        </w:rPr>
        <w:t xml:space="preserve">邏輯關聯</w:t>
      </w:r>
      <w:r>
        <w:t xml:space="preserve">（差異明細查詢以 RECON_ID 篩選，P-RCN-06）；明細的 </w:t>
      </w:r>
      <w:r>
        <w:rPr>
          <w:rStyle w:val="MdCodespan"/>
          <w:u w:val="single"/>
        </w:rPr>
        <w:t xml:space="preserve">TXID</w:t>
      </w:r>
      <w:r>
        <w:t xml:space="preserve"> 對應交易主檔，但 101／102 類差異代表一端沒有資料，因此為「零或一」。兩者皆無 FK 約束。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Codespan"/>
          <w:u w:val="single"/>
        </w:rPr>
        <w:t xml:space="preserve">MWP_CP_RECON_MONTHLY_SUMMARY</w:t>
      </w:r>
      <w:r>
        <w:t xml:space="preserve"> 與其他表在 SRS 中沒有關聯依據，獨立呈現。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SRS 6.1 未列明細表除 STATUS、CREATE_TIME、RECON_RESULT、RECON_MESSAGE 以外的型別，圖中型別取自 </w:t>
      </w:r>
      <w:r>
        <w:rPr>
          <w:rStyle w:val="MdCodespan"/>
          <w:u w:val="single"/>
        </w:rPr>
        <w:t xml:space="preserve">backend/src/main/resources/schema.sql</w:t>
      </w:r>
      <w:r>
        <w:t xml:space="preserve">（列入「SRS 可能缺漏」）。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ER-3 設定</w:t>
      </w:r>
    </w:p>
    <w:p>
      <w:pPr>
        <w:pStyle w:val="MdParagraph"/>
        <w:jc w:val="center"/>
      </w:pPr>
      <w:r>
        <w:drawing>
          <wp:inline distT="0" distB="0" distL="0" distR="0">
            <wp:extent cx="5734050" cy="1781175"/>
            <wp:effectExtent t="0" r="0" b="0" l="0"/>
            <wp:docPr id="17" name="diagram" descr="diagram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兩表皆無 PK、無唯一鍵；同商家同版次條款、相同銀行帳戶可重複寫入（SRS 7.3）。SRS 沒有商家主檔，</w:t>
      </w:r>
      <w:r>
        <w:rPr>
          <w:rStyle w:val="MdCodespan"/>
          <w:u w:val="single"/>
        </w:rPr>
        <w:t xml:space="preserve">MERCHANT_ID</w:t>
      </w:r>
      <w:r>
        <w:t xml:space="preserve"> 不畫關聯。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初始資料：</w:t>
      </w:r>
      <w:r>
        <w:rPr>
          <w:rStyle w:val="MdCodespan"/>
          <w:u w:val="single"/>
        </w:rPr>
        <w:t xml:space="preserve">MWP_OLS_TOS</w:t>
      </w:r>
      <w:r>
        <w:t xml:space="preserve"> 有 I00000000 v1、E000001 v1；</w:t>
      </w:r>
      <w:r>
        <w:rPr>
          <w:rStyle w:val="MdCodespan"/>
          <w:u w:val="single"/>
        </w:rPr>
        <w:t xml:space="preserve">MWP_MERCHANT_BANK_ACC</w:t>
      </w:r>
      <w:r>
        <w:t xml:space="preserve"> 有 E000001／007／1234567890123456／USD／N／A（P-TOS-18、P-BNK-12）。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資料表 ↔ 使用頁面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資料表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使用頁面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後端 API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存取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MWP_PAY_TRANS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交易報表、退款報表、CSR 查詢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/sa/report/trans、/sa/report/refund、/csr/trans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MWP_PAY_REFUND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退款報表、CSR 查詢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/sa/report/refund、/csr/trans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MWP_CP_RECON_DAILY_SUMMARY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對帳查詢（每日）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/sa/report/reconDaily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MWP_CP_RECON_MONTHLY_SUMMARY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對帳查詢（每月）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/sa/report/reconMonthly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MWP_CP_RECON_DAILY_DETAIL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對帳查詢（差異明細）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/sa/report/reconDailyDetail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MWP_OLS_TOS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服務條款設定、用戶端條款頁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/sa/tos/query、/sa/tos/save、/getToS.jsp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讀、新增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MWP_MERCHANT_BANK_ACC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商家銀行帳戶註冊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/cp/bankacc/list、/cp/bankacc/save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讀、新增</w:t>
            </w:r>
          </w:p>
        </w:tc>
      </w:tr>
    </w:tbl>
    <w:p>
      <w:pPr>
        <w:pStyle w:val="Heading2"/>
        <w:pStyle w:val="MdHeading2"/>
      </w:pPr>
      <w:r>
        <w:t xml:space="preserve">附錄 A 設計元素 ↔ SRS 條文 ↔ User Story 對照表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tcW w:type="dxa" w:w="3333"/>
            <w:shd w:fill="F2F2F2" w:val="clear"/>
            <w:vAlign w:val="center"/>
          </w:tcPr>
          <w:p>
            <w:pPr>
              <w:pStyle w:val="MdTableHeader"/>
            </w:pPr>
            <w:r>
              <w:t xml:space="preserve">設計元素</w:t>
            </w:r>
          </w:p>
        </w:tc>
        <w:tc>
          <w:tcPr>
            <w:tcW w:type="dxa" w:w="3333"/>
            <w:shd w:fill="F2F2F2" w:val="clear"/>
            <w:vAlign w:val="center"/>
          </w:tcPr>
          <w:p>
            <w:pPr>
              <w:pStyle w:val="MdTableHeader"/>
            </w:pPr>
            <w:r>
              <w:t xml:space="preserve">SRS 條文</w:t>
            </w:r>
          </w:p>
        </w:tc>
        <w:tc>
          <w:tcPr>
            <w:tcW w:type="dxa" w:w="3333"/>
            <w:shd w:fill="F2F2F2" w:val="clear"/>
            <w:vAlign w:val="center"/>
          </w:tcPr>
          <w:p>
            <w:pPr>
              <w:pStyle w:val="MdTableHeader"/>
            </w:pPr>
            <w:r>
              <w:t xml:space="preserve">User Story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1 系統架構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P-COM-13, P-COM-14, P-NFR-03, P-NFR-04, P-NFR-05, P-NFR-10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SD-01 登入與登出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P-LGN-01～P-LGN-09, P-COM-04, P-COM-05, P-COM-06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US-LGN-01, US-LGN-02, US-LGN-03, US-COM-01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SD-02 首頁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P-HOME-01～P-HOME-05, P-COM-07～P-COM-12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US-HOME-01, US-HOME-02, US-COM-02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SD-03 交易報表查詢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P-RPT-01～P-RPT-13, P-COM-15, P-COM-18, P-COM-19, P-COM-20～P-COM-26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US-RPT-01, US-RPT-02, US-RPT-03, US-COM-03, US-COM-04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SD-04 退款報表查詢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P-RFD-01～P-RFD-07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US-RFD-01, US-RFD-02, US-RFD-03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SD-05 對帳查詢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P-RCN-01～P-RCN-12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US-RCN-01, US-RCN-02, US-RCN-03, US-RCN-04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SD-06 服務條款設定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P-TOS-01～P-TOS-18, P-API-04, P-COM-31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US-TOS-01～US-TOS-05, US-COM-05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SD-07 商家銀行帳戶註冊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P-BNK-01～P-BNK-14, P-API-04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US-BNK-01～US-BNK-04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SD-08 CSR 交易查詢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P-CSR-01～P-CSR-10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US-CSR-01, US-CSR-02, US-CSR-03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AD-01 存取控制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P-COM-01, P-COM-02, P-COM-03, P-COM-05, P-COM-19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AD-02 報表查詢與結果呈現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P-COM-17, P-COM-22～P-COM-28, P-COM-30, P-COM-35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US-COM-03, US-COM-05, US-RPT-02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AD-03 轉呼叫與錯誤處理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P-COM-13, P-COM-15～P-COM-18, P-API-01, P-API-02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AD-04 服務條款狀態流程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P-TOS-03～P-TOS-12, P-TOS-14, P-TOS-15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US-TOS-01～US-TOS-04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AD-05 銀行帳戶新增與存檔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P-BNK-02, P-BNK-04, P-BNK-05, P-BNK-07, P-BNK-08, P-BNK-10, P-BNK-11, P-BNK-13, P-COM-32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US-BNK-02, US-BNK-04</w:t>
            </w:r>
          </w:p>
        </w:tc>
      </w:tr>
      <w:tr>
        <w:trPr>
          <w:cantSplit/>
        </w:trPr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4 ER Model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SRS 6.1～6.3, P-COM-34, P-COM-36</w:t>
            </w:r>
          </w:p>
        </w:tc>
        <w:tc>
          <w:tcPr>
            <w:tcW w:type="dxa" w:w="3333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"/>
      <w:lvlJc w:val="left"/>
    </w:lvl>
    <w:lvl w:ilvl="1" w:tentative="1">
      <w:start w:val="1"/>
      <w:numFmt w:val="decimal"/>
      <w:lvlText w:val="%1.%2"/>
      <w:lvlJc w:val="left"/>
    </w:lvl>
    <w:lvl w:ilvl="2" w:tentative="1">
      <w:start w:val="1"/>
      <w:numFmt w:val="decimal"/>
      <w:lvlText w:val="%1.%2.%3"/>
      <w:lvlJc w:val="left"/>
    </w:lvl>
    <w:lvl w:ilvl="3" w:tentative="1">
      <w:start w:val="1"/>
      <w:numFmt w:val="decimal"/>
      <w:lvlText w:val="%4)"/>
      <w:lvlJc w:val="left"/>
    </w:lvl>
    <w:lvl w:ilvl="4" w:tentative="1">
      <w:start w:val="1"/>
      <w:numFmt w:val="decimal"/>
      <w:lvlText w:val="%5)"/>
      <w:lvlJc w:val="left"/>
    </w:lvl>
    <w:lvl w:ilvl="5" w:tentative="1">
      <w:start w:val="1"/>
      <w:numFmt w:val="decimal"/>
      <w:lvlText w:val="%6)"/>
      <w:lvlJc w:val="left"/>
    </w:lvl>
    <w:lvl w:ilvl="6" w:tentative="1">
      <w:start w:val="1"/>
      <w:numFmt w:val="decimal"/>
      <w:lvlText w:val="%7)"/>
      <w:lvlJc w:val="left"/>
    </w:lvl>
    <w:lvl w:ilvl="7" w:tentative="1">
      <w:start w:val="1"/>
      <w:numFmt w:val="decimal"/>
      <w:lvlText w:val="%8)"/>
      <w:lvlJc w:val="left"/>
    </w:lvl>
    <w:lvl w:ilvl="8" w:tentative="1">
      <w:start w:val="1"/>
      <w:numFmt w:val="decimal"/>
      <w:lvlText w:val="%9)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  <w:lvl w:ilvl="1" w:tentative="1">
      <w:start w:val="1"/>
      <w:numFmt w:val="bullet"/>
      <w:lvlText w:val="■"/>
      <w:lvlJc w:val="left"/>
    </w:lvl>
    <w:lvl w:ilvl="2" w:tentative="1">
      <w:start w:val="1"/>
      <w:numFmt w:val="bullet"/>
      <w:lvlText w:val="▶"/>
      <w:lvlJc w:val="left"/>
    </w:lvl>
    <w:lvl w:ilvl="3" w:tentative="1">
      <w:start w:val="1"/>
      <w:numFmt w:val="bullet"/>
      <w:lvlText w:val="▲"/>
      <w:lvlJc w:val="left"/>
    </w:lvl>
    <w:lvl w:ilvl="4" w:tentative="1">
      <w:start w:val="1"/>
      <w:numFmt w:val="bullet"/>
      <w:lvlText w:val="◆"/>
      <w:lvlJc w:val="left"/>
    </w:lvl>
    <w:lvl w:ilvl="5" w:tentative="1">
      <w:start w:val="1"/>
      <w:numFmt w:val="bullet"/>
      <w:lvlText w:val="●"/>
      <w:lvlJc w:val="left"/>
    </w:lvl>
    <w:lvl w:ilvl="6" w:tentative="1">
      <w:start w:val="1"/>
      <w:numFmt w:val="bullet"/>
      <w:lvlText w:val="□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left w:val="single" w:color="A5A5A5" w:sz="1" w:space="8"/>
        <w:bottom w:val="single" w:color="A5A5A5" w:sz="1" w:space="8"/>
        <w:right w:val="single" w:color="A5A5A5" w:sz="1" w:space="8"/>
      </w:pBdr>
      <w:shd w:fill="f6f6f7" w:val="clear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 w:val="clear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29b1a32c7ca24e73acaffd7235b22f6b4b48bdf.png"/><Relationship Id="rId8" Type="http://schemas.openxmlformats.org/officeDocument/2006/relationships/image" Target="media/bc2f11c5c67c337e4fb3bbc8648a27e53658a6ff.png"/><Relationship Id="rId9" Type="http://schemas.openxmlformats.org/officeDocument/2006/relationships/image" Target="media/e96aed6263e51e4a606d39406181835d519cffac.png"/><Relationship Id="rId10" Type="http://schemas.openxmlformats.org/officeDocument/2006/relationships/image" Target="media/1a18f0e5eb1518ea09493f31b083f21cc0895a1a.png"/><Relationship Id="rId11" Type="http://schemas.openxmlformats.org/officeDocument/2006/relationships/image" Target="media/01ae467348511248e0e103ac1434c1b7b353ad07.png"/><Relationship Id="rId12" Type="http://schemas.openxmlformats.org/officeDocument/2006/relationships/image" Target="media/46ec8e3169fea6e2d28c7a8d01837820d678e3ee.png"/><Relationship Id="rId13" Type="http://schemas.openxmlformats.org/officeDocument/2006/relationships/image" Target="media/feb80e77fc876bf153d2fc262f7ac04b751d7833.png"/><Relationship Id="rId14" Type="http://schemas.openxmlformats.org/officeDocument/2006/relationships/image" Target="media/16dca85edcae119f3ce71bb8257af7c652278431.png"/><Relationship Id="rId15" Type="http://schemas.openxmlformats.org/officeDocument/2006/relationships/image" Target="media/5f17a99c3590c6d7c41aec1b123eed954d1dae9e.png"/><Relationship Id="rId16" Type="http://schemas.openxmlformats.org/officeDocument/2006/relationships/image" Target="media/1770a6978f87bdf210757d46dfd7a6f0e515b1c1.png"/><Relationship Id="rId17" Type="http://schemas.openxmlformats.org/officeDocument/2006/relationships/image" Target="media/548f1504c30f1ce469018ab8446db5ab94c26a6c.png"/><Relationship Id="rId18" Type="http://schemas.openxmlformats.org/officeDocument/2006/relationships/image" Target="media/531690355737202ddd9764e6b5bcd66022e0443f.png"/><Relationship Id="rId19" Type="http://schemas.openxmlformats.org/officeDocument/2006/relationships/image" Target="media/3b277440519e9bd45f2184b3a9dfabf1f6b45697.png"/><Relationship Id="rId20" Type="http://schemas.openxmlformats.org/officeDocument/2006/relationships/image" Target="media/5c19c81f1080d1820330acf5d306a4963c0c2d1a.png"/><Relationship Id="rId21" Type="http://schemas.openxmlformats.org/officeDocument/2006/relationships/image" Target="media/eb35a172670d244bd08cb0ddd7e31ad6183ea69f.png"/><Relationship Id="rId22" Type="http://schemas.openxmlformats.org/officeDocument/2006/relationships/image" Target="media/d05d54f7d90fcac7e86ba3dc4ac7dad17236cc51.png"/><Relationship Id="rId23" Type="http://schemas.openxmlformats.org/officeDocument/2006/relationships/image" Target="media/38fcf9497bdc58ae605788ff790a4fbacfdd61fc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2026-10-13T03:42:40.769Z</dcterms:created>
  <dcterms:modified xsi:type="dcterms:W3CDTF">2026-10-13T03:42:40.770Z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