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new-pay Portal 系統設計文件（SD）</w:t>
      </w:r>
    </w:p>
    <w:p>
      <w:pPr>
        <w:pStyle w:val="MdParagraph"/>
      </w:pPr>
      <w:r>
        <w:t xml:space="preserve">需求依據：</w:t>
      </w:r>
      <w:r>
        <w:rPr>
          <w:rStyle w:val="MdCodespan"/>
          <w:u w:val="single"/>
        </w:rPr>
        <w:t xml:space="preserve">new-pay_Portal_SRS.md</w:t>
      </w:r>
      <w:r>
        <w:t xml:space="preserve">。本文件記錄 Portal 的目前介接與資料流；User Story 與可觀察驗收條件見 </w:t>
      </w:r>
      <w:hyperlink w:history="1" r:id="rIdvrdjqsp5y0zxc9eb-gcma">
        <w:r>
          <w:rPr>
            <w:rStyle w:val="MdLink"/>
          </w:rPr>
          <w:t xml:space="preserve">user-stories.md</w:t>
        </w:r>
      </w:hyperlink>
      <w:r>
        <w:t xml:space="preserve">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1. 系統架構</w:t>
      </w:r>
    </w:p>
    <w:p>
      <w:pPr>
        <w:pStyle w:val="MdParagraph"/>
        <w:jc w:val="center"/>
      </w:pPr>
      <w:r>
        <w:drawing>
          <wp:inline distT="0" distB="0" distL="0" distR="0">
            <wp:extent cx="5734050" cy="63817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Paragraph"/>
      </w:pPr>
      <w:r>
        <w:t xml:space="preserve">瀏覽器透過 Portal 頁面與資料端點工作；Portal 以固定後端位址轉送查詢與存檔。Portal 不直接連線資料庫，登入狀態只保存在 Portal 的 HttpSession。</w:t>
      </w:r>
      <w:r>
        <w:br/>
        <w:t xml:space="preserve">後端未啟動時 Portal 頁面仍可登入與開啟，資料操作則回傳錯誤文字。對應 P-COM-13～P-COM-16、P-NFR-03～P-NFR-05、P-NFR-10。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2. 循序圖 Sequence Diagram</w:t>
      </w:r>
    </w:p>
    <w:p>
      <w:pPr>
        <w:pStyle w:val="Heading3"/>
        <w:pStyle w:val="MdHeading3"/>
      </w:pPr>
      <w:r>
        <w:t xml:space="preserve">SD-01 登入、存取控制與登出</w:t>
      </w:r>
    </w:p>
    <w:p>
      <w:pPr>
        <w:pStyle w:val="MdParagraph"/>
        <w:jc w:val="center"/>
      </w:pPr>
      <w:r>
        <w:drawing>
          <wp:inline distT="0" distB="0" distL="0" distR="0">
            <wp:extent cx="5381625" cy="8867775"/>
            <wp:effectExtent t="0" r="0" b="0" l="0"/>
            <wp:docPr id="2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886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Paragraph"/>
      </w:pPr>
      <w:r>
        <w:t xml:space="preserve">Portal 對三組固定帳密驗證；角色值等於帳號，所有登入者可使用相同功能。已登入時重新登入會覆寫同一 session 的帳號與角色，不更換 session id。未登入頁面請求導向登入頁；未登入資料端點則依端點回 </w:t>
      </w:r>
      <w:r>
        <w:rPr>
          <w:rStyle w:val="MdCodespan"/>
          <w:u w:val="single"/>
        </w:rPr>
        <w:t xml:space="preserve">please login</w:t>
      </w:r>
      <w:r>
        <w:t xml:space="preserve"> 或 </w:t>
      </w:r>
      <w:r>
        <w:rPr>
          <w:rStyle w:val="MdCodespan"/>
          <w:u w:val="single"/>
        </w:rPr>
        <w:t xml:space="preserve">[]</w:t>
      </w:r>
      <w:r>
        <w:t xml:space="preserve">，不導向頁面。對應 P-LGN-01～P-LGN-09、P-COM-01～P-COM-06、P-COM-02。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SD-02 首頁與共用導覽</w:t>
      </w:r>
    </w:p>
    <w:p>
      <w:pPr>
        <w:pStyle w:val="MdParagraph"/>
        <w:jc w:val="center"/>
      </w:pPr>
      <w:r>
        <w:drawing>
          <wp:inline distT="0" distB="0" distL="0" distR="0">
            <wp:extent cx="5734050" cy="4181475"/>
            <wp:effectExtent t="0" r="0" b="0" l="0"/>
            <wp:docPr id="3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Paragraph"/>
      </w:pPr>
      <w:r>
        <w:t xml:space="preserve">首頁的 SA、Merchant、CSR 區塊與導覽列均由 Portal template 提供；不依登入角色過濾連結。各功能頁共用導覽項目，登入頁除外。對應 P-HOME-01～P-HOME-05、P-COM-07～P-COM-12。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SD-03 交易報表查詢</w:t>
      </w:r>
    </w:p>
    <w:p>
      <w:pPr>
        <w:pStyle w:val="MdParagraph"/>
        <w:jc w:val="center"/>
      </w:pPr>
      <w:r>
        <w:drawing>
          <wp:inline distT="0" distB="0" distL="0" distR="0">
            <wp:extent cx="5734050" cy="4171950"/>
            <wp:effectExtent t="0" r="0" b="0" l="0"/>
            <wp:docPr id="4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Paragraph"/>
      </w:pPr>
      <w:r>
        <w:t xml:space="preserve">頁面以瀏覽器本機日期初始化條件；Portal 只依 </w:t>
      </w:r>
      <w:r>
        <w:rPr>
          <w:rStyle w:val="MdCodespan"/>
          <w:u w:val="single"/>
        </w:rPr>
        <w:t xml:space="preserve">type</w:t>
      </w:r>
      <w:r>
        <w:t xml:space="preserve"> 是否為 </w:t>
      </w:r>
      <w:r>
        <w:rPr>
          <w:rStyle w:val="MdCodespan"/>
          <w:u w:val="single"/>
        </w:rPr>
        <w:t xml:space="preserve">refund</w:t>
      </w:r>
      <w:r>
        <w:t xml:space="preserve"> 選擇報表 API，交易報表另轉送商家及時間類型。後端以 TX_DT 或 AUTH_DT 篩選、依 TX_DT 升冪，最多輸出 10 列。對應 P-RPT-01～P-RPT-13、P-COM-15、P-COM-17～P-COM-29、P-COM-33～P-COM-35、P-API-01、P-API-02。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SD-04 退款報表查詢</w:t>
      </w:r>
    </w:p>
    <w:p>
      <w:pPr>
        <w:pStyle w:val="MdParagraph"/>
        <w:jc w:val="center"/>
      </w:pPr>
      <w:r>
        <w:drawing>
          <wp:inline distT="0" distB="0" distL="0" distR="0">
            <wp:extent cx="5734050" cy="2514600"/>
            <wp:effectExtent t="0" r="0" b="0" l="0"/>
            <wp:docPr id="5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Paragraph"/>
      </w:pPr>
      <w:r>
        <w:t xml:space="preserve">退款頁與交易報表共用 template，但隱藏商家與時間類型欄位。後端依 REFUND_DATE 篩選並排序，只輸出可對應原交易的退款。對應 P-RFD-01～P-RFD-07、P-COM-20～P-COM-29、P-API-01、P-API-02。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SD-05 每日／每月對帳與差異明細</w:t>
      </w:r>
    </w:p>
    <w:p>
      <w:pPr>
        <w:pStyle w:val="MdParagraph"/>
        <w:jc w:val="center"/>
      </w:pPr>
      <w:r>
        <w:drawing>
          <wp:inline distT="0" distB="0" distL="0" distR="0">
            <wp:extent cx="5734050" cy="3971925"/>
            <wp:effectExtent t="0" r="0" b="0" l="0"/>
            <wp:docPr id="6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Paragraph"/>
      </w:pPr>
      <w:r>
        <w:t xml:space="preserve">彙總查詢與差異明細由兩個獨立結果區呈現。每月識別碼送至每日差異明細查詢時不會得到資料；空白識別碼仍會送出查詢。對應 P-RCN-01～P-RCN-12、P-COM-20～P-COM-29、P-API-01、P-API-02。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SD-06 服務條款查詢、新版次與讀取</w:t>
      </w:r>
    </w:p>
    <w:p>
      <w:pPr>
        <w:pStyle w:val="MdParagraph"/>
        <w:jc w:val="center"/>
      </w:pPr>
      <w:r>
        <w:drawing>
          <wp:inline distT="0" distB="0" distL="0" distR="0">
            <wp:extent cx="5734050" cy="4629150"/>
            <wp:effectExtent t="0" r="0" b="0" l="0"/>
            <wp:docPr id="7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Paragraph"/>
      </w:pPr>
      <w:r>
        <w:t xml:space="preserve">Portal 顯示最新版本並以新增方式建立後續版本；既有版本不提供修改。存檔後自動重查，存檔訊息會在重查完成時清除。對外讀取條款的 </w:t>
      </w:r>
      <w:r>
        <w:rPr>
          <w:rStyle w:val="MdCodespan"/>
          <w:u w:val="single"/>
        </w:rPr>
        <w:t xml:space="preserve">/getToS.jsp</w:t>
      </w:r>
      <w:r>
        <w:t xml:space="preserve"> 由後端直接提供，不經 Portal。對應 P-TOS-01～P-TOS-18、P-COM-16、P-COM-30～P-COM-32、P-API-01、P-API-02、P-API-04。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SD-07 商家銀行帳戶註冊與清單</w:t>
      </w:r>
    </w:p>
    <w:p>
      <w:pPr>
        <w:pStyle w:val="MdParagraph"/>
        <w:jc w:val="center"/>
      </w:pPr>
      <w:r>
        <w:drawing>
          <wp:inline distT="0" distB="0" distL="0" distR="0">
            <wp:extent cx="5734050" cy="3486150"/>
            <wp:effectExtent t="0" r="0" b="0" l="0"/>
            <wp:docPr id="8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Paragraph"/>
      </w:pPr>
      <w:r>
        <w:t xml:space="preserve">註冊回應顯示於訊息區，隨後自動重查清單；清單依商家代碼完全相符查詢，不限制列數或排序。帳戶表沒有主鍵，重複資料可存在。對應 P-BNK-01～P-BNK-14、P-COM-16、P-COM-30～P-COM-32、P-API-01、P-API-02、P-API-04。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SD-08 CSR 交易與退款查詢</w:t>
      </w:r>
    </w:p>
    <w:p>
      <w:pPr>
        <w:pStyle w:val="MdParagraph"/>
        <w:jc w:val="center"/>
      </w:pPr>
      <w:r>
        <w:drawing>
          <wp:inline distT="0" distB="0" distL="0" distR="0">
            <wp:extent cx="5734050" cy="2581275"/>
            <wp:effectExtent t="0" r="0" b="0" l="0"/>
            <wp:docPr id="9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Paragraph"/>
      </w:pPr>
      <w:r>
        <w:t xml:space="preserve">CSR 查詢一次回傳交易及退款兩個表格，各自計算總筆數並最多列出 10 筆。兩段查詢可個別回傳查詢錯誤。對應 P-CSR-01～P-CSR-10、P-COM-15、P-COM-20～P-COM-29、P-API-01、P-API-02。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3. 活動圖 Activity Diagram</w:t>
      </w:r>
    </w:p>
    <w:p>
      <w:pPr>
        <w:pStyle w:val="Heading3"/>
        <w:pStyle w:val="MdHeading3"/>
      </w:pPr>
      <w:r>
        <w:t xml:space="preserve">AD-01 存取控制</w:t>
      </w:r>
    </w:p>
    <w:p>
      <w:pPr>
        <w:pStyle w:val="MdParagraph"/>
        <w:jc w:val="center"/>
      </w:pPr>
      <w:r>
        <w:drawing>
          <wp:inline distT="0" distB="0" distL="0" distR="0">
            <wp:extent cx="5734050" cy="4371975"/>
            <wp:effectExtent t="0" r="0" b="0" l="0"/>
            <wp:docPr id="10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Paragraph"/>
      </w:pPr>
      <w:r>
        <w:t xml:space="preserve">頁面請求與資料請求的未登入處理不同；登入後不再依角色授權。對應 P-COM-01～P-COM-06。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AD-02 報表查詢與結果呈現</w:t>
      </w:r>
    </w:p>
    <w:p>
      <w:pPr>
        <w:pStyle w:val="MdParagraph"/>
        <w:jc w:val="center"/>
      </w:pPr>
      <w:r>
        <w:drawing>
          <wp:inline distT="0" distB="0" distL="0" distR="0">
            <wp:extent cx="5734050" cy="6105525"/>
            <wp:effectExtent t="0" r="0" b="0" l="0"/>
            <wp:docPr id="1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Paragraph"/>
      </w:pPr>
      <w:r>
        <w:t xml:space="preserve">結果區在請求期間顯示等待文字，收到回應後整區取代。查詢可重複送出；回應以最後到達者為準。對應 P-COM-15、P-COM-17、P-COM-19～P-COM-28。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AD-03 Portal 轉呼叫與錯誤處理</w:t>
      </w:r>
    </w:p>
    <w:p>
      <w:pPr>
        <w:pStyle w:val="MdParagraph"/>
        <w:jc w:val="center"/>
      </w:pPr>
      <w:r>
        <w:drawing>
          <wp:inline distT="0" distB="0" distL="0" distR="0">
            <wp:extent cx="5734050" cy="5591175"/>
            <wp:effectExtent t="0" r="0" b="0" l="0"/>
            <wp:docPr id="12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Paragraph"/>
      </w:pPr>
      <w:r>
        <w:t xml:space="preserve">GET 查詢回應由 Portal 原樣轉送；GET 連線失敗回 </w:t>
      </w:r>
      <w:r>
        <w:rPr>
          <w:rStyle w:val="MdCodespan"/>
          <w:u w:val="single"/>
        </w:rPr>
        <w:t xml:space="preserve">backend error:</w:t>
      </w:r>
      <w:r>
        <w:t xml:space="preserve">，POST 連線失敗回 </w:t>
      </w:r>
      <w:r>
        <w:rPr>
          <w:rStyle w:val="MdCodespan"/>
          <w:u w:val="single"/>
        </w:rPr>
        <w:t xml:space="preserve">FAIL</w:t>
      </w:r>
      <w:r>
        <w:t xml:space="preserve">。呼叫未設定逾時。對應 P-COM-13～P-COM-19、P-API-01、P-API-02。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AD-04 服務條款狀態流程</w:t>
      </w:r>
    </w:p>
    <w:p>
      <w:pPr>
        <w:pStyle w:val="MdParagraph"/>
        <w:jc w:val="center"/>
      </w:pPr>
      <w:r>
        <w:drawing>
          <wp:inline distT="0" distB="0" distL="0" distR="0">
            <wp:extent cx="4981575" cy="8867775"/>
            <wp:effectExtent t="0" r="0" b="0" l="0"/>
            <wp:docPr id="13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886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Paragraph"/>
      </w:pPr>
      <w:r>
        <w:t xml:space="preserve">既有版本只讀；存檔後重查，重查結果決定檢視或新增狀態，並清除短暫訊息。對應 P-TOS-01～P-TOS-16。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AD-05 銀行帳戶新增與查詢</w:t>
      </w:r>
    </w:p>
    <w:p>
      <w:pPr>
        <w:pStyle w:val="MdParagraph"/>
        <w:jc w:val="center"/>
      </w:pPr>
      <w:r>
        <w:drawing>
          <wp:inline distT="0" distB="0" distL="0" distR="0">
            <wp:extent cx="4162425" cy="8867775"/>
            <wp:effectExtent t="0" r="0" b="0" l="0"/>
            <wp:docPr id="14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886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Paragraph"/>
      </w:pPr>
      <w:r>
        <w:t xml:space="preserve">註冊成功或失敗都會觸發清單查詢；註冊訊息不會被清單刷新清除。對應 P-BNK-01～P-BNK-14。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4. 資料模型 ER Model</w:t>
      </w:r>
    </w:p>
    <w:p>
      <w:pPr>
        <w:pStyle w:val="MdParagraph"/>
        <w:jc w:val="center"/>
      </w:pPr>
      <w:r>
        <w:drawing>
          <wp:inline distT="0" distB="0" distL="0" distR="0">
            <wp:extent cx="5734050" cy="1552575"/>
            <wp:effectExtent t="0" r="0" b="0" l="0"/>
            <wp:docPr id="15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</w:pPr>
    </w:p>
    <w:p>
      <w:pPr>
        <w:pStyle w:val="MdParagraph"/>
      </w:pPr>
      <w:r>
        <w:t xml:space="preserve">實體與欄位依 SRS 第 6.1 節；圖中 TXID 與 RECON_ID 關係用於說明查詢語意，並非所有資料表都有資料庫 FK 約束。MWP_OLS_TOS 與 MWP_MERCHANT_BANK_ACC 無主鍵；退款檔允許同一 TXID 多筆。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資料表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使用頁面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MWP_PAY_TRANS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交易報表、退款報表關聯、CSR 查詢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MWP_PAY_REFUND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退款報表、CSR 查詢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MWP_CP_RECON_DAILY_SUMMARY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對帳每日彙總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MWP_CP_RECON_MONTHLY_SUMMARY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對帳每月彙總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MWP_CP_RECON_DAILY_DETAIL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對帳差異明細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MWP_OLS_TOS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服務條款設定、用戶端條款讀取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MWP_MERCHANT_BANK_ACC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商家銀行帳戶註冊與清單</w:t>
            </w:r>
          </w:p>
        </w:tc>
      </w:tr>
    </w:tbl>
    <w:p>
      <w:pPr>
        <w:pStyle w:val="Heading2"/>
        <w:pStyle w:val="MdHeading2"/>
      </w:pPr>
      <w:r>
        <w:t xml:space="preserve">附錄 A 設計元素 ↔ SRS 條文 ↔ User Story 對照表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設計元素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SRS 條文</w:t>
            </w:r>
          </w:p>
        </w:tc>
        <w:tc>
          <w:tcPr>
            <w:tcW w:type="dxa" w:w="3333"/>
            <w:shd w:fill="F2F2F2" w:val="clear"/>
            <w:vAlign w:val="center"/>
          </w:tcPr>
          <w:p>
            <w:pPr>
              <w:pStyle w:val="MdTableHeader"/>
            </w:pPr>
            <w:r>
              <w:t xml:space="preserve">User Story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SD-01、AD-01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P-COM-01～P-COM-06、P-LGN-01～P-LGN-09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US-COM-01、US-LGN-01、US-LGN-02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SD-02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P-COM-07～P-COM-12、P-HOME-01～P-HOME-05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US-COM-02、US-HOME-01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SD-03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P-RPT-01～P-RPT-13、P-COM-15～P-COM-29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US-RPT-01～US-RPT-03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SD-04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P-RFD-01～P-RFD-07、P-COM-20～P-COM-29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US-RFD-01、US-RFD-02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SD-05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P-RCN-01～P-RCN-12、P-COM-20～P-COM-29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US-RCN-01～US-RCN-03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SD-06、AD-04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P-TOS-01～P-TOS-18、P-COM-30～P-COM-32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US-TOS-01～US-TOS-03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SD-07、AD-05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P-BNK-01～P-BNK-14、P-COM-30～P-COM-32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US-BNK-01、US-BNK-02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SD-08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P-CSR-01～P-CSR-10、P-COM-20～P-COM-29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US-CSR-01、US-CSR-02</w:t>
            </w:r>
          </w:p>
        </w:tc>
      </w:tr>
      <w:tr>
        <w:trPr>
          <w:cantSplit/>
        </w:trPr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ER Model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SRS 6.1～6.3</w:t>
            </w:r>
          </w:p>
        </w:tc>
        <w:tc>
          <w:tcPr>
            <w:tcW w:type="dxa" w:w="3333"/>
            <w:vAlign w:val="center"/>
          </w:tcPr>
          <w:p>
            <w:pPr>
              <w:pStyle w:val="MdTableCell"/>
            </w:pPr>
            <w:r>
              <w:t xml:space="preserve">US-RPT-02、US-RFD-02、US-RCN-01～US-RCN-03、US-TOS-01～US-TOS-03、US-BNK-01～US-BNK-02、US-CSR-01～US-CSR-02</w:t>
            </w:r>
          </w:p>
        </w:tc>
      </w:tr>
    </w:tbl>
    <w:p>
      <w:pPr>
        <w:pStyle w:val="Heading2"/>
        <w:pStyle w:val="MdHeading2"/>
      </w:pPr>
      <w:r>
        <w:t xml:space="preserve">附錄 B SRS 條文與系統設計對照</w:t>
      </w:r>
    </w:p>
    <w:p>
      <w:pPr>
        <w:pStyle w:val="MdParagraph"/>
      </w:pPr>
      <w:r>
        <w:t xml:space="preserve">SRS 的 API 技術條文使用既有編號 P-API-01、P-API-02、P-API-04；原文件 API 條文編號有缺號。非功能需求 P-NFR-01～P-NFR-11 由部署、執行與測試環境承接，不另建立使用者流程圖。服務條款與銀行帳戶初始資料依 SRS 6.3，作為驗收環境資料，不另外建立系統實體。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條文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pStyle w:val="MdTableHeader"/>
            </w:pPr>
            <w:r>
              <w:t xml:space="preserve">設計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P-API-01、P-API-02、P-API-04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SD-03～SD-08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P-NFR-01～P-NFR-11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SD-01、SD-02；測試條件見 user-stories.md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P-TOS-18、P-BNK-12</w:t>
            </w:r>
          </w:p>
        </w:tc>
        <w:tc>
          <w:tcPr>
            <w:tcW w:type="dxa" w:w="5000"/>
            <w:vAlign w:val="center"/>
          </w:tcPr>
          <w:p>
            <w:pPr>
              <w:pStyle w:val="MdTableCell"/>
            </w:pPr>
            <w:r>
              <w:t xml:space="preserve">SD-06、SD-07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"/>
      <w:lvlJc w:val="left"/>
    </w:lvl>
    <w:lvl w:ilvl="1" w:tentative="1">
      <w:start w:val="1"/>
      <w:numFmt w:val="decimal"/>
      <w:lvlText w:val="%1.%2"/>
      <w:lvlJc w:val="left"/>
    </w:lvl>
    <w:lvl w:ilvl="2" w:tentative="1">
      <w:start w:val="1"/>
      <w:numFmt w:val="decimal"/>
      <w:lvlText w:val="%1.%2.%3"/>
      <w:lvlJc w:val="left"/>
    </w:lvl>
    <w:lvl w:ilvl="3" w:tentative="1">
      <w:start w:val="1"/>
      <w:numFmt w:val="decimal"/>
      <w:lvlText w:val="%4)"/>
      <w:lvlJc w:val="left"/>
    </w:lvl>
    <w:lvl w:ilvl="4" w:tentative="1">
      <w:start w:val="1"/>
      <w:numFmt w:val="decimal"/>
      <w:lvlText w:val="%5)"/>
      <w:lvlJc w:val="left"/>
    </w:lvl>
    <w:lvl w:ilvl="5" w:tentative="1">
      <w:start w:val="1"/>
      <w:numFmt w:val="decimal"/>
      <w:lvlText w:val="%6)"/>
      <w:lvlJc w:val="left"/>
    </w:lvl>
    <w:lvl w:ilvl="6" w:tentative="1">
      <w:start w:val="1"/>
      <w:numFmt w:val="decimal"/>
      <w:lvlText w:val="%7)"/>
      <w:lvlJc w:val="left"/>
    </w:lvl>
    <w:lvl w:ilvl="7" w:tentative="1">
      <w:start w:val="1"/>
      <w:numFmt w:val="decimal"/>
      <w:lvlText w:val="%8)"/>
      <w:lvlJc w:val="left"/>
    </w:lvl>
    <w:lvl w:ilvl="8" w:tentative="1">
      <w:start w:val="1"/>
      <w:numFmt w:val="decimal"/>
      <w:lvlText w:val="%9)"/>
      <w:lvlJc w:val="left"/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</w:lvl>
    <w:lvl w:ilvl="1" w:tentative="1">
      <w:start w:val="1"/>
      <w:numFmt w:val="bullet"/>
      <w:lvlText w:val="■"/>
      <w:lvlJc w:val="left"/>
    </w:lvl>
    <w:lvl w:ilvl="2" w:tentative="1">
      <w:start w:val="1"/>
      <w:numFmt w:val="bullet"/>
      <w:lvlText w:val="▶"/>
      <w:lvlJc w:val="left"/>
    </w:lvl>
    <w:lvl w:ilvl="3" w:tentative="1">
      <w:start w:val="1"/>
      <w:numFmt w:val="bullet"/>
      <w:lvlText w:val="▲"/>
      <w:lvlJc w:val="left"/>
    </w:lvl>
    <w:lvl w:ilvl="4" w:tentative="1">
      <w:start w:val="1"/>
      <w:numFmt w:val="bullet"/>
      <w:lvlText w:val="◆"/>
      <w:lvlJc w:val="left"/>
    </w:lvl>
    <w:lvl w:ilvl="5" w:tentative="1">
      <w:start w:val="1"/>
      <w:numFmt w:val="bullet"/>
      <w:lvlText w:val="●"/>
      <w:lvlJc w:val="left"/>
    </w:lvl>
    <w:lvl w:ilvl="6" w:tentative="1">
      <w:start w:val="1"/>
      <w:numFmt w:val="bullet"/>
      <w:lvlText w:val="□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left w:val="single" w:color="A5A5A5" w:sz="1" w:space="8"/>
        <w:bottom w:val="single" w:color="A5A5A5" w:sz="1" w:space="8"/>
        <w:right w:val="single" w:color="A5A5A5" w:sz="1" w:space="8"/>
      </w:pBdr>
      <w:shd w:fill="f6f6f7" w:val="clear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 w:val="clear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vrdjqsp5y0zxc9eb-gcma" Type="http://schemas.openxmlformats.org/officeDocument/2006/relationships/hyperlink" Target="user-stories.md" TargetMode="External"/><Relationship Id="rId8" Type="http://schemas.openxmlformats.org/officeDocument/2006/relationships/image" Target="media/b493d55b902aff064e95a78bdf44036d3fb1ca37.png"/><Relationship Id="rId9" Type="http://schemas.openxmlformats.org/officeDocument/2006/relationships/image" Target="media/4d370cf94ff7264cc401fbd926b8a1dcf680cbb5.png"/><Relationship Id="rId10" Type="http://schemas.openxmlformats.org/officeDocument/2006/relationships/image" Target="media/44316846b169a62ba28f3d787e65a19e1285ad4c.png"/><Relationship Id="rId11" Type="http://schemas.openxmlformats.org/officeDocument/2006/relationships/image" Target="media/5e2cac2c9abd55c6e31cccae7a8f4a267c9852bb.png"/><Relationship Id="rId12" Type="http://schemas.openxmlformats.org/officeDocument/2006/relationships/image" Target="media/d77bbb892e3578ab250036ca28854c6c20f84d76.png"/><Relationship Id="rId13" Type="http://schemas.openxmlformats.org/officeDocument/2006/relationships/image" Target="media/49784cbde54854ce276cf8b715f28fc81d2d28fd.png"/><Relationship Id="rId14" Type="http://schemas.openxmlformats.org/officeDocument/2006/relationships/image" Target="media/c1071b82b0b76b0a55afabac6ef77bc4ae71be51.png"/><Relationship Id="rId15" Type="http://schemas.openxmlformats.org/officeDocument/2006/relationships/image" Target="media/4a39d1d1fa4494024a5f492d628e7b91bd4f3d7b.png"/><Relationship Id="rId16" Type="http://schemas.openxmlformats.org/officeDocument/2006/relationships/image" Target="media/a8573f28da3dca7219e7922f7a21e5a7286269f1.png"/><Relationship Id="rId17" Type="http://schemas.openxmlformats.org/officeDocument/2006/relationships/image" Target="media/66dafb1cd34a944f69ee2e6cd8384e1799cadf47.png"/><Relationship Id="rId18" Type="http://schemas.openxmlformats.org/officeDocument/2006/relationships/image" Target="media/06bc7bd02fce92b6306b007472d87c6d8d63bde1.png"/><Relationship Id="rId19" Type="http://schemas.openxmlformats.org/officeDocument/2006/relationships/image" Target="media/f10d591f95a2749e9c78e66c16c1b12a26ed6fa4.png"/><Relationship Id="rId20" Type="http://schemas.openxmlformats.org/officeDocument/2006/relationships/image" Target="media/6fe043f93857c504a635b673fde7de549cdb2faa.png"/><Relationship Id="rId21" Type="http://schemas.openxmlformats.org/officeDocument/2006/relationships/image" Target="media/b34814646628ca1f76a3d1d125e002f58cec45f9.png"/><Relationship Id="rId22" Type="http://schemas.openxmlformats.org/officeDocument/2006/relationships/image" Target="media/76738b8567b7df7f252daedc78dfbf02525f46ec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2026-10-15T02:28:31.692Z</dcterms:created>
  <dcterms:modified xsi:type="dcterms:W3CDTF">2026-10-15T02:28:31.692Z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