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1"/>
          <w:numId w:val="1"/>
        </w:numPr>
        <w:spacing w:after="160" w:line="240" w:lineRule="auto"/>
        <w:ind w:left="450" w:hanging="360"/>
        <w:rPr>
          <w:b w:val="1"/>
        </w:rPr>
      </w:pPr>
      <w:r w:rsidDel="00000000" w:rsidR="00000000" w:rsidRPr="00000000">
        <w:rPr>
          <w:rFonts w:ascii="Roboto" w:cs="Roboto" w:eastAsia="Roboto" w:hAnsi="Roboto"/>
          <w:b w:val="1"/>
          <w:color w:val="333333"/>
          <w:sz w:val="24"/>
          <w:szCs w:val="24"/>
          <w:rtl w:val="0"/>
        </w:rPr>
        <w:t xml:space="preserve">Problem statement: </w:t>
      </w:r>
    </w:p>
    <w:p w:rsidR="00000000" w:rsidDel="00000000" w:rsidP="00000000" w:rsidRDefault="00000000" w:rsidRPr="00000000" w14:paraId="00000002">
      <w:pPr>
        <w:spacing w:after="320" w:lineRule="auto"/>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My idea is to count how many people in a picture or a video by a simple convolutional neural network. It is inspired when I watched some political events on the television. Those different channels would show you some videos or pictures with different numbers of people although it is from the same event. TV channels might want to be my clients and provide a more accurate number of people in their stories. They should be willing to show a really confident number especially when they are reporting particular events like the presidential election campaign. It is not only good in convincing their audience, but also in building up their reputation. </w:t>
      </w:r>
    </w:p>
    <w:p w:rsidR="00000000" w:rsidDel="00000000" w:rsidP="00000000" w:rsidRDefault="00000000" w:rsidRPr="00000000" w14:paraId="00000003">
      <w:pPr>
        <w:spacing w:after="320" w:lineRule="auto"/>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450" w:right="0" w:hanging="360"/>
        <w:jc w:val="left"/>
        <w:rPr>
          <w:rFonts w:ascii="Roboto" w:cs="Roboto" w:eastAsia="Roboto" w:hAnsi="Roboto"/>
          <w:b w:val="0"/>
          <w:i w:val="0"/>
          <w:smallCaps w:val="0"/>
          <w:strike w:val="0"/>
          <w:color w:val="333333"/>
          <w:sz w:val="24"/>
          <w:szCs w:val="24"/>
          <w:u w:val="none"/>
          <w:shd w:fill="auto" w:val="clear"/>
          <w:vertAlign w:val="baseline"/>
        </w:rPr>
      </w:pPr>
      <w:r w:rsidDel="00000000" w:rsidR="00000000" w:rsidRPr="00000000">
        <w:rPr>
          <w:b w:val="1"/>
          <w:rtl w:val="0"/>
        </w:rPr>
        <w:t xml:space="preserve">Dataset:</w:t>
      </w:r>
      <w:r w:rsidDel="00000000" w:rsidR="00000000" w:rsidRPr="00000000">
        <w:rPr>
          <w:rtl w:val="0"/>
        </w:rPr>
        <w:t xml:space="preserve"> </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pPr>
      <w:r w:rsidDel="00000000" w:rsidR="00000000" w:rsidRPr="00000000">
        <w:rPr>
          <w:rtl w:val="0"/>
        </w:rPr>
        <w:t xml:space="preserve">Non-facial images: </w:t>
      </w:r>
    </w:p>
    <w:p w:rsidR="00000000" w:rsidDel="00000000" w:rsidP="00000000" w:rsidRDefault="00000000" w:rsidRPr="00000000" w14:paraId="0000000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CIFAR10 (C10) </w:t>
      </w:r>
    </w:p>
    <w:p w:rsidR="00000000" w:rsidDel="00000000" w:rsidP="00000000" w:rsidRDefault="00000000" w:rsidRPr="00000000" w14:paraId="0000000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CalTech Cars Rear background  (bg)</w:t>
      </w:r>
    </w:p>
    <w:p w:rsidR="00000000" w:rsidDel="00000000" w:rsidP="00000000" w:rsidRDefault="00000000" w:rsidRPr="00000000" w14:paraId="00000008">
      <w:pPr>
        <w:numPr>
          <w:ilvl w:val="1"/>
          <w:numId w:val="5"/>
        </w:numPr>
        <w:spacing w:after="0" w:afterAutospacing="0" w:lineRule="auto"/>
        <w:ind w:left="2160" w:hanging="360"/>
      </w:pPr>
      <w:hyperlink r:id="rId6">
        <w:r w:rsidDel="00000000" w:rsidR="00000000" w:rsidRPr="00000000">
          <w:rPr>
            <w:color w:val="1155cc"/>
            <w:u w:val="single"/>
            <w:rtl w:val="0"/>
          </w:rPr>
          <w:t xml:space="preserve">http://www.robots.ox.ac.uk/~vgg/data3.html</w:t>
        </w:r>
      </w:hyperlink>
      <w:r w:rsidDel="00000000" w:rsidR="00000000" w:rsidRPr="00000000">
        <w:rPr>
          <w:rtl w:val="0"/>
        </w:rPr>
      </w:r>
    </w:p>
    <w:p w:rsidR="00000000" w:rsidDel="00000000" w:rsidP="00000000" w:rsidRDefault="00000000" w:rsidRPr="00000000" w14:paraId="00000009">
      <w:pPr>
        <w:numPr>
          <w:ilvl w:val="0"/>
          <w:numId w:val="5"/>
        </w:numPr>
        <w:spacing w:after="0" w:afterAutospacing="0" w:lineRule="auto"/>
        <w:ind w:left="1440" w:hanging="360"/>
      </w:pPr>
      <w:r w:rsidDel="00000000" w:rsidR="00000000" w:rsidRPr="00000000">
        <w:rPr>
          <w:rtl w:val="0"/>
        </w:rPr>
        <w:t xml:space="preserve">CalTech Cars Rear </w:t>
      </w:r>
      <w:r w:rsidDel="00000000" w:rsidR="00000000" w:rsidRPr="00000000">
        <w:rPr>
          <w:rtl w:val="0"/>
        </w:rPr>
        <w:t xml:space="preserve">(car)</w:t>
      </w:r>
    </w:p>
    <w:p w:rsidR="00000000" w:rsidDel="00000000" w:rsidP="00000000" w:rsidRDefault="00000000" w:rsidRPr="00000000" w14:paraId="0000000A">
      <w:pPr>
        <w:numPr>
          <w:ilvl w:val="1"/>
          <w:numId w:val="5"/>
        </w:numPr>
        <w:spacing w:after="0" w:afterAutospacing="0" w:lineRule="auto"/>
        <w:ind w:left="2160" w:hanging="360"/>
      </w:pPr>
      <w:hyperlink r:id="rId7">
        <w:r w:rsidDel="00000000" w:rsidR="00000000" w:rsidRPr="00000000">
          <w:rPr>
            <w:color w:val="1155cc"/>
            <w:u w:val="single"/>
            <w:rtl w:val="0"/>
          </w:rPr>
          <w:t xml:space="preserve">http://www.robots.ox.ac.uk/~vgg/data3.html</w:t>
        </w:r>
      </w:hyperlink>
      <w:r w:rsidDel="00000000" w:rsidR="00000000" w:rsidRPr="00000000">
        <w:rPr>
          <w:rtl w:val="0"/>
        </w:rPr>
        <w:t xml:space="preserve"> </w:t>
      </w:r>
    </w:p>
    <w:p w:rsidR="00000000" w:rsidDel="00000000" w:rsidP="00000000" w:rsidRDefault="00000000" w:rsidRPr="00000000" w14:paraId="0000000B">
      <w:pPr>
        <w:numPr>
          <w:ilvl w:val="0"/>
          <w:numId w:val="5"/>
        </w:numPr>
        <w:spacing w:after="0" w:afterAutospacing="0" w:lineRule="auto"/>
        <w:ind w:left="1440" w:hanging="360"/>
        <w:rPr>
          <w:u w:val="none"/>
        </w:rPr>
      </w:pPr>
      <w:r w:rsidDel="00000000" w:rsidR="00000000" w:rsidRPr="00000000">
        <w:rPr>
          <w:rtl w:val="0"/>
        </w:rPr>
        <w:t xml:space="preserve">Place365 CNNs (ls)</w:t>
      </w:r>
    </w:p>
    <w:p w:rsidR="00000000" w:rsidDel="00000000" w:rsidP="00000000" w:rsidRDefault="00000000" w:rsidRPr="00000000" w14:paraId="0000000C">
      <w:pPr>
        <w:numPr>
          <w:ilvl w:val="1"/>
          <w:numId w:val="5"/>
        </w:numPr>
        <w:spacing w:after="160" w:lineRule="auto"/>
        <w:ind w:left="2160" w:hanging="360"/>
        <w:rPr>
          <w:u w:val="none"/>
        </w:rPr>
      </w:pPr>
      <w:hyperlink r:id="rId8">
        <w:r w:rsidDel="00000000" w:rsidR="00000000" w:rsidRPr="00000000">
          <w:rPr>
            <w:color w:val="1155cc"/>
            <w:u w:val="single"/>
            <w:rtl w:val="0"/>
          </w:rPr>
          <w:t xml:space="preserve">http://places2.csail.mit.edu/download.html</w:t>
        </w:r>
      </w:hyperlink>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pPr>
      <w:r w:rsidDel="00000000" w:rsidR="00000000" w:rsidRPr="00000000">
        <w:rPr>
          <w:rtl w:val="0"/>
        </w:rPr>
        <w:t xml:space="preserve">Facial images: </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MS-Celeb-1M (</w:t>
      </w:r>
      <w:hyperlink r:id="rId9">
        <w:r w:rsidDel="00000000" w:rsidR="00000000" w:rsidRPr="00000000">
          <w:rPr>
            <w:color w:val="1155cc"/>
            <w:u w:val="single"/>
            <w:rtl w:val="0"/>
          </w:rPr>
          <w:t xml:space="preserve">https://www.msceleb.org/</w:t>
        </w:r>
      </w:hyperlink>
      <w:r w:rsidDel="00000000" w:rsidR="00000000" w:rsidRPr="00000000">
        <w:rPr>
          <w:rtl w:val="0"/>
        </w:rPr>
        <w:t xml:space="preserve">)</w:t>
      </w:r>
    </w:p>
    <w:p w:rsidR="00000000" w:rsidDel="00000000" w:rsidP="00000000" w:rsidRDefault="00000000" w:rsidRPr="00000000" w14:paraId="0000000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Sample ImageThumbnails Data (full)</w:t>
      </w:r>
    </w:p>
    <w:p w:rsidR="00000000" w:rsidDel="00000000" w:rsidP="00000000" w:rsidRDefault="00000000" w:rsidRPr="00000000" w14:paraId="0000001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Sample FaceCropped Data (crop)</w:t>
      </w:r>
    </w:p>
    <w:p w:rsidR="00000000" w:rsidDel="00000000" w:rsidP="00000000" w:rsidRDefault="00000000" w:rsidRPr="00000000" w14:paraId="0000001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color w:val="333333"/>
          <w:sz w:val="21"/>
          <w:szCs w:val="21"/>
          <w:highlight w:val="white"/>
          <w:rtl w:val="0"/>
        </w:rPr>
        <w:t xml:space="preserve">Sample FaceAligned Data (align)</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Labeled faces in the wild (lfw)</w:t>
      </w:r>
    </w:p>
    <w:p w:rsidR="00000000" w:rsidDel="00000000" w:rsidP="00000000" w:rsidRDefault="00000000" w:rsidRPr="00000000" w14:paraId="0000001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hyperlink r:id="rId10">
        <w:r w:rsidDel="00000000" w:rsidR="00000000" w:rsidRPr="00000000">
          <w:rPr>
            <w:color w:val="1155cc"/>
            <w:u w:val="single"/>
            <w:rtl w:val="0"/>
          </w:rPr>
          <w:t xml:space="preserve">http://vis-www.cs.umass.edu/lfw/</w:t>
        </w:r>
      </w:hyperlink>
      <w:r w:rsidDel="00000000" w:rsidR="00000000" w:rsidRPr="00000000">
        <w:rPr>
          <w:rtl w:val="0"/>
        </w:rPr>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CalTech Human Face Front (face)</w:t>
      </w:r>
    </w:p>
    <w:p w:rsidR="00000000" w:rsidDel="00000000" w:rsidP="00000000" w:rsidRDefault="00000000" w:rsidRPr="00000000" w14:paraId="0000001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76" w:lineRule="auto"/>
        <w:ind w:left="2160" w:right="0" w:hanging="360"/>
        <w:jc w:val="left"/>
        <w:rPr>
          <w:u w:val="none"/>
        </w:rPr>
      </w:pPr>
      <w:hyperlink r:id="rId11">
        <w:r w:rsidDel="00000000" w:rsidR="00000000" w:rsidRPr="00000000">
          <w:rPr>
            <w:color w:val="1155cc"/>
            <w:u w:val="single"/>
            <w:rtl w:val="0"/>
          </w:rPr>
          <w:t xml:space="preserve">http://www.robots.ox.ac.uk/~vgg/data3.html</w:t>
        </w:r>
      </w:hyperlink>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jc w:val="left"/>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pPr>
      <w:r w:rsidDel="00000000" w:rsidR="00000000" w:rsidRPr="00000000">
        <w:rPr>
          <w:rtl w:val="0"/>
        </w:rPr>
      </w:r>
    </w:p>
    <w:p w:rsidR="00000000" w:rsidDel="00000000" w:rsidP="00000000" w:rsidRDefault="00000000" w:rsidRPr="00000000" w14:paraId="0000001B">
      <w:pPr>
        <w:numPr>
          <w:ilvl w:val="1"/>
          <w:numId w:val="1"/>
        </w:numPr>
        <w:spacing w:after="160" w:lineRule="auto"/>
        <w:ind w:left="450" w:hanging="360"/>
      </w:pPr>
      <w:r w:rsidDel="00000000" w:rsidR="00000000" w:rsidRPr="00000000">
        <w:rPr>
          <w:rFonts w:ascii="Roboto" w:cs="Roboto" w:eastAsia="Roboto" w:hAnsi="Roboto"/>
          <w:color w:val="333333"/>
          <w:sz w:val="24"/>
          <w:szCs w:val="24"/>
          <w:rtl w:val="0"/>
        </w:rPr>
        <w:t xml:space="preserve">Summary of findings </w:t>
      </w:r>
    </w:p>
    <w:p w:rsidR="00000000" w:rsidDel="00000000" w:rsidP="00000000" w:rsidRDefault="00000000" w:rsidRPr="00000000" w14:paraId="0000001C">
      <w:pPr>
        <w:spacing w:after="160" w:lineRule="auto"/>
        <w:ind w:left="0" w:firstLine="0"/>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 trained CNNs with different combinations of facial images and non-facial images. Then, I tested the trained model with completely unrelated datasets. The results show that model 5 and 8 have greater scores than the rest and the difference of them is that model 5 has more capability to recognize the face with the body because it has higher accuracy scores in “full” and “face” testing datasets. In order to get a better classifier, I also tried Keras’s augmentation preprocessing in </w:t>
      </w:r>
      <w:r w:rsidDel="00000000" w:rsidR="00000000" w:rsidRPr="00000000">
        <w:rPr>
          <w:rtl w:val="0"/>
        </w:rPr>
        <w:t xml:space="preserve">model4_aug (32x32) and model5_aug (32x32). Unfortunately, both of them did not give me a better accuracy score. </w:t>
      </w:r>
      <w:r w:rsidDel="00000000" w:rsidR="00000000" w:rsidRPr="00000000">
        <w:rPr>
          <w:rtl w:val="0"/>
        </w:rPr>
      </w:r>
    </w:p>
    <w:p w:rsidR="00000000" w:rsidDel="00000000" w:rsidP="00000000" w:rsidRDefault="00000000" w:rsidRPr="00000000" w14:paraId="0000001D">
      <w:pPr>
        <w:spacing w:after="160" w:lineRule="auto"/>
        <w:ind w:left="0" w:firstLine="0"/>
        <w:rPr/>
      </w:pPr>
      <w:r w:rsidDel="00000000" w:rsidR="00000000" w:rsidRPr="00000000">
        <w:rPr>
          <w:rtl w:val="0"/>
        </w:rPr>
      </w:r>
    </w:p>
    <w:p w:rsidR="00000000" w:rsidDel="00000000" w:rsidP="00000000" w:rsidRDefault="00000000" w:rsidRPr="00000000" w14:paraId="0000001E">
      <w:pPr>
        <w:spacing w:after="160" w:lineRule="auto"/>
        <w:ind w:left="0" w:firstLine="0"/>
        <w:rPr/>
      </w:pPr>
      <w:r w:rsidDel="00000000" w:rsidR="00000000" w:rsidRPr="00000000">
        <w:rPr>
          <w:rtl w:val="0"/>
        </w:rPr>
        <w:t xml:space="preserve">Model training: </w:t>
      </w:r>
    </w:p>
    <w:p w:rsidR="00000000" w:rsidDel="00000000" w:rsidP="00000000" w:rsidRDefault="00000000" w:rsidRPr="00000000" w14:paraId="0000001F">
      <w:pPr>
        <w:numPr>
          <w:ilvl w:val="0"/>
          <w:numId w:val="3"/>
        </w:numPr>
        <w:spacing w:after="160" w:lineRule="auto"/>
        <w:ind w:left="1440" w:hanging="360"/>
        <w:rPr>
          <w:u w:val="none"/>
        </w:rPr>
      </w:pPr>
      <w:r w:rsidDel="00000000" w:rsidR="00000000" w:rsidRPr="00000000">
        <w:rPr>
          <w:rtl w:val="0"/>
        </w:rPr>
        <w:t xml:space="preserve">BGR images (32 x 32) if not specifically indicated.</w:t>
      </w:r>
    </w:p>
    <w:p w:rsidR="00000000" w:rsidDel="00000000" w:rsidP="00000000" w:rsidRDefault="00000000" w:rsidRPr="00000000" w14:paraId="00000020">
      <w:pPr>
        <w:spacing w:after="160" w:lineRule="auto"/>
        <w:ind w:left="0" w:firstLine="0"/>
        <w:rPr/>
      </w:pPr>
      <w:r w:rsidDel="00000000" w:rsidR="00000000" w:rsidRPr="00000000">
        <w:rPr>
          <w:rtl w:val="0"/>
        </w:rPr>
      </w:r>
    </w:p>
    <w:p w:rsidR="00000000" w:rsidDel="00000000" w:rsidP="00000000" w:rsidRDefault="00000000" w:rsidRPr="00000000" w14:paraId="00000021">
      <w:pPr>
        <w:spacing w:after="160" w:lineRule="auto"/>
        <w:ind w:left="0" w:firstLine="0"/>
        <w:rPr/>
      </w:pPr>
      <w:r w:rsidDel="00000000" w:rsidR="00000000" w:rsidRPr="00000000">
        <w:rPr>
          <w:rtl w:val="0"/>
        </w:rPr>
        <w:t xml:space="preserve">Model structure</w:t>
      </w:r>
    </w:p>
    <w:p w:rsidR="00000000" w:rsidDel="00000000" w:rsidP="00000000" w:rsidRDefault="00000000" w:rsidRPr="00000000" w14:paraId="00000022">
      <w:pPr>
        <w:spacing w:after="160" w:lineRule="auto"/>
        <w:ind w:left="0" w:firstLine="0"/>
        <w:rPr/>
      </w:pPr>
      <w:r w:rsidDel="00000000" w:rsidR="00000000" w:rsidRPr="00000000">
        <w:rPr/>
        <w:drawing>
          <wp:inline distB="114300" distT="114300" distL="114300" distR="114300">
            <wp:extent cx="6294664" cy="3671888"/>
            <wp:effectExtent b="0" l="0" r="0" t="0"/>
            <wp:docPr id="1" name="image1.png"/>
            <a:graphic>
              <a:graphicData uri="http://schemas.openxmlformats.org/drawingml/2006/picture">
                <pic:pic>
                  <pic:nvPicPr>
                    <pic:cNvPr id="0" name="image1.png"/>
                    <pic:cNvPicPr preferRelativeResize="0"/>
                  </pic:nvPicPr>
                  <pic:blipFill>
                    <a:blip r:embed="rId12"/>
                    <a:srcRect b="0" l="0" r="32532" t="2766"/>
                    <a:stretch>
                      <a:fillRect/>
                    </a:stretch>
                  </pic:blipFill>
                  <pic:spPr>
                    <a:xfrm>
                      <a:off x="0" y="0"/>
                      <a:ext cx="6294664" cy="36718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Model testing:</w:t>
      </w:r>
    </w:p>
    <w:p w:rsidR="00000000" w:rsidDel="00000000" w:rsidP="00000000" w:rsidRDefault="00000000" w:rsidRPr="00000000" w14:paraId="0000002B">
      <w:pPr>
        <w:numPr>
          <w:ilvl w:val="0"/>
          <w:numId w:val="4"/>
        </w:numPr>
        <w:ind w:left="720" w:hanging="360"/>
      </w:pPr>
      <w:r w:rsidDel="00000000" w:rsidR="00000000" w:rsidRPr="00000000">
        <w:rPr>
          <w:rtl w:val="0"/>
        </w:rPr>
        <w:t xml:space="preserve">aug: augmentation</w:t>
      </w:r>
    </w:p>
    <w:p w:rsidR="00000000" w:rsidDel="00000000" w:rsidP="00000000" w:rsidRDefault="00000000" w:rsidRPr="00000000" w14:paraId="0000002C">
      <w:pPr>
        <w:numPr>
          <w:ilvl w:val="0"/>
          <w:numId w:val="4"/>
        </w:numPr>
        <w:ind w:left="720" w:hanging="360"/>
      </w:pPr>
      <w:r w:rsidDel="00000000" w:rsidR="00000000" w:rsidRPr="00000000">
        <w:rPr>
          <w:rFonts w:ascii="Arial Unicode MS" w:cs="Arial Unicode MS" w:eastAsia="Arial Unicode MS" w:hAnsi="Arial Unicode MS"/>
          <w:rtl w:val="0"/>
        </w:rPr>
        <w:t xml:space="preserve">∆: different model structures compared to the rest of models</w:t>
      </w:r>
    </w:p>
    <w:tbl>
      <w:tblPr>
        <w:tblStyle w:val="Table1"/>
        <w:tblW w:w="99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750"/>
        <w:gridCol w:w="945"/>
        <w:gridCol w:w="720"/>
        <w:gridCol w:w="900"/>
        <w:gridCol w:w="705"/>
        <w:gridCol w:w="720"/>
        <w:gridCol w:w="690"/>
        <w:gridCol w:w="660"/>
        <w:gridCol w:w="675"/>
        <w:tblGridChange w:id="0">
          <w:tblGrid>
            <w:gridCol w:w="3150"/>
            <w:gridCol w:w="750"/>
            <w:gridCol w:w="945"/>
            <w:gridCol w:w="720"/>
            <w:gridCol w:w="900"/>
            <w:gridCol w:w="705"/>
            <w:gridCol w:w="720"/>
            <w:gridCol w:w="690"/>
            <w:gridCol w:w="660"/>
            <w:gridCol w:w="67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Training dataset</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32">
            <w:pPr>
              <w:jc w:val="center"/>
              <w:rPr/>
            </w:pPr>
            <w:r w:rsidDel="00000000" w:rsidR="00000000" w:rsidRPr="00000000">
              <w:rPr>
                <w:rtl w:val="0"/>
              </w:rPr>
              <w:t xml:space="preserve">Accuracy from other facial images</w:t>
            </w:r>
          </w:p>
          <w:p w:rsidR="00000000" w:rsidDel="00000000" w:rsidP="00000000" w:rsidRDefault="00000000" w:rsidRPr="00000000" w14:paraId="00000033">
            <w:pPr>
              <w:ind w:left="0" w:firstLine="0"/>
              <w:jc w:val="center"/>
              <w:rPr>
                <w:color w:val="ff0000"/>
              </w:rPr>
            </w:pPr>
            <w:r w:rsidDel="00000000" w:rsidR="00000000" w:rsidRPr="00000000">
              <w:rPr>
                <w:color w:val="ff0000"/>
                <w:rtl w:val="0"/>
              </w:rPr>
              <w:t xml:space="preserve">Red: not included in the training</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Non-facial images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Facial </w:t>
            </w:r>
          </w:p>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lfw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0.01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model_slice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t xml:space="preserve">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ff0000"/>
              </w:rPr>
            </w:pPr>
            <w:r w:rsidDel="00000000" w:rsidR="00000000" w:rsidRPr="00000000">
              <w:rPr>
                <w:color w:val="ff0000"/>
                <w:rtl w:val="0"/>
              </w:rPr>
              <w:t xml:space="preserve">0.38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color w:val="ff0000"/>
              </w:rPr>
            </w:pPr>
            <w:r w:rsidDel="00000000" w:rsidR="00000000" w:rsidRPr="00000000">
              <w:rPr>
                <w:color w:val="ff0000"/>
                <w:rtl w:val="0"/>
              </w:rPr>
              <w:t xml:space="preserve">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color w:val="ff0000"/>
              </w:rPr>
            </w:pPr>
            <w:r w:rsidDel="00000000" w:rsidR="00000000" w:rsidRPr="00000000">
              <w:rPr>
                <w:color w:val="ff0000"/>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ff0000"/>
              </w:rPr>
            </w:pPr>
            <w:r w:rsidDel="00000000" w:rsidR="00000000" w:rsidRPr="00000000">
              <w:rPr>
                <w:color w:val="ff0000"/>
                <w:rtl w:val="0"/>
              </w:rPr>
              <w:t xml:space="preserve">0.57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model3 (gray scale)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0.36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ff0000"/>
              </w:rPr>
            </w:pPr>
            <w:r w:rsidDel="00000000" w:rsidR="00000000" w:rsidRPr="00000000">
              <w:rPr>
                <w:color w:val="ff0000"/>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ff0000"/>
              </w:rPr>
            </w:pPr>
            <w:r w:rsidDel="00000000" w:rsidR="00000000" w:rsidRPr="00000000">
              <w:rPr>
                <w:color w:val="ff0000"/>
                <w:rtl w:val="0"/>
              </w:rPr>
              <w:t xml:space="preserve">0.06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ff0000"/>
              </w:rPr>
            </w:pPr>
            <w:r w:rsidDel="00000000" w:rsidR="00000000" w:rsidRPr="00000000">
              <w:rPr>
                <w:color w:val="ff0000"/>
                <w:rtl w:val="0"/>
              </w:rPr>
              <w:t xml:space="preserve">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color w:val="ff0000"/>
              </w:rPr>
            </w:pPr>
            <w:r w:rsidDel="00000000" w:rsidR="00000000" w:rsidRPr="00000000">
              <w:rPr>
                <w:color w:val="ff0000"/>
                <w:rtl w:val="0"/>
              </w:rPr>
              <w:t xml:space="preserve">0.23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4,256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t xml:space="preserve">align</w:t>
            </w:r>
          </w:p>
          <w:p w:rsidR="00000000" w:rsidDel="00000000" w:rsidP="00000000" w:rsidRDefault="00000000" w:rsidRPr="00000000" w14:paraId="0000006F">
            <w:pPr>
              <w:rPr/>
            </w:pPr>
            <w:r w:rsidDel="00000000" w:rsidR="00000000" w:rsidRPr="00000000">
              <w:rPr>
                <w:rtl w:val="0"/>
              </w:rPr>
              <w:t xml:space="preserve">full</w:t>
            </w:r>
          </w:p>
          <w:p w:rsidR="00000000" w:rsidDel="00000000" w:rsidP="00000000" w:rsidRDefault="00000000" w:rsidRPr="00000000" w14:paraId="00000070">
            <w:pPr>
              <w:rPr/>
            </w:pPr>
            <w:r w:rsidDel="00000000" w:rsidR="00000000" w:rsidRPr="00000000">
              <w:rPr>
                <w:rtl w:val="0"/>
              </w:rPr>
              <w:t xml:space="preserve">crop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4,256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0.86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13,233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lfw</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13,233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model7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lfw</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model8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align</w:t>
            </w:r>
          </w:p>
          <w:p w:rsidR="00000000" w:rsidDel="00000000" w:rsidP="00000000" w:rsidRDefault="00000000" w:rsidRPr="00000000" w14:paraId="0000008F">
            <w:pPr>
              <w:rPr/>
            </w:pPr>
            <w:r w:rsidDel="00000000" w:rsidR="00000000" w:rsidRPr="00000000">
              <w:rPr>
                <w:rtl w:val="0"/>
              </w:rPr>
              <w:t xml:space="preserve">crop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0.91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Model1_aug (150 x 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1,370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0.85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Fonts w:ascii="Arial Unicode MS" w:cs="Arial Unicode MS" w:eastAsia="Arial Unicode MS" w:hAnsi="Arial Unicode MS"/>
                <w:rtl w:val="0"/>
              </w:rPr>
              <w:t xml:space="preserve">Model2_aug (64x64)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1,370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0.83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Fonts w:ascii="Arial Unicode MS" w:cs="Arial Unicode MS" w:eastAsia="Arial Unicode MS" w:hAnsi="Arial Unicode MS"/>
                <w:rtl w:val="0"/>
              </w:rPr>
              <w:t xml:space="preserve">Model3_aug (32x32)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bg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1,370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align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1,375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0.76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Model4_aug (32x32) </w:t>
            </w:r>
          </w:p>
          <w:p w:rsidR="00000000" w:rsidDel="00000000" w:rsidP="00000000" w:rsidRDefault="00000000" w:rsidRPr="00000000" w14:paraId="000000B5">
            <w:pPr>
              <w:widowControl w:val="0"/>
              <w:spacing w:line="240" w:lineRule="auto"/>
              <w:rPr/>
            </w:pPr>
            <w:r w:rsidDel="00000000" w:rsidR="00000000" w:rsidRPr="00000000">
              <w:rPr>
                <w:rtl w:val="0"/>
              </w:rPr>
              <w:t xml:space="preserve">* based on model8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t xml:space="preserve">align</w:t>
            </w:r>
          </w:p>
          <w:p w:rsidR="00000000" w:rsidDel="00000000" w:rsidP="00000000" w:rsidRDefault="00000000" w:rsidRPr="00000000" w14:paraId="000000B9">
            <w:pPr>
              <w:rPr/>
            </w:pPr>
            <w:r w:rsidDel="00000000" w:rsidR="00000000" w:rsidRPr="00000000">
              <w:rPr>
                <w:rtl w:val="0"/>
              </w:rPr>
              <w:t xml:space="preserve">crop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0.61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0.95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Model5_aug (32x32)</w:t>
            </w:r>
          </w:p>
          <w:p w:rsidR="00000000" w:rsidDel="00000000" w:rsidP="00000000" w:rsidRDefault="00000000" w:rsidRPr="00000000" w14:paraId="000000C1">
            <w:pPr>
              <w:widowControl w:val="0"/>
              <w:spacing w:line="240" w:lineRule="auto"/>
              <w:rPr/>
            </w:pPr>
            <w:r w:rsidDel="00000000" w:rsidR="00000000" w:rsidRPr="00000000">
              <w:rPr>
                <w:rtl w:val="0"/>
              </w:rPr>
              <w:t xml:space="preserve">*more augmentations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t xml:space="preserve">align</w:t>
            </w:r>
          </w:p>
          <w:p w:rsidR="00000000" w:rsidDel="00000000" w:rsidP="00000000" w:rsidRDefault="00000000" w:rsidRPr="00000000" w14:paraId="000000C5">
            <w:pPr>
              <w:rPr/>
            </w:pPr>
            <w:r w:rsidDel="00000000" w:rsidR="00000000" w:rsidRPr="00000000">
              <w:rPr>
                <w:rtl w:val="0"/>
              </w:rPr>
              <w:t xml:space="preserve">crop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2750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0.56</w:t>
            </w:r>
          </w:p>
        </w:tc>
      </w:tr>
    </w:tbl>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decimal"/>
      <w:lvlText w:val="%2."/>
      <w:lvlJc w:val="left"/>
      <w:pPr>
        <w:ind w:left="1440" w:hanging="360"/>
      </w:pPr>
      <w:rPr>
        <w:rFonts w:ascii="Roboto" w:cs="Roboto" w:eastAsia="Roboto" w:hAnsi="Roboto"/>
        <w:color w:val="333333"/>
        <w:sz w:val="24"/>
        <w:szCs w:val="24"/>
        <w:u w:val="none"/>
      </w:rPr>
    </w:lvl>
    <w:lvl w:ilvl="2">
      <w:start w:val="1"/>
      <w:numFmt w:val="bullet"/>
      <w:lvlText w:val="■"/>
      <w:lvlJc w:val="left"/>
      <w:pPr>
        <w:ind w:left="2160" w:hanging="360"/>
      </w:pPr>
      <w:rPr>
        <w:rFonts w:ascii="Roboto" w:cs="Roboto" w:eastAsia="Roboto" w:hAnsi="Roboto"/>
        <w:color w:val="333333"/>
        <w:sz w:val="24"/>
        <w:szCs w:val="24"/>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robots.ox.ac.uk/~vgg/data3.html" TargetMode="External"/><Relationship Id="rId10" Type="http://schemas.openxmlformats.org/officeDocument/2006/relationships/hyperlink" Target="http://vis-www.cs.umass.edu/lfw/" TargetMode="External"/><Relationship Id="rId12" Type="http://schemas.openxmlformats.org/officeDocument/2006/relationships/image" Target="media/image1.png"/><Relationship Id="rId9" Type="http://schemas.openxmlformats.org/officeDocument/2006/relationships/hyperlink" Target="https://www.msceleb.org/" TargetMode="External"/><Relationship Id="rId5" Type="http://schemas.openxmlformats.org/officeDocument/2006/relationships/styles" Target="styles.xml"/><Relationship Id="rId6" Type="http://schemas.openxmlformats.org/officeDocument/2006/relationships/hyperlink" Target="http://www.robots.ox.ac.uk/~vgg/data3.html" TargetMode="External"/><Relationship Id="rId7" Type="http://schemas.openxmlformats.org/officeDocument/2006/relationships/hyperlink" Target="http://www.robots.ox.ac.uk/~vgg/data3.html" TargetMode="External"/><Relationship Id="rId8" Type="http://schemas.openxmlformats.org/officeDocument/2006/relationships/hyperlink" Target="http://places2.csail.mit.edu/download.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