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Times New Roman" w:cs="Times New Roman" w:eastAsia="標楷體" w:hAnsi="Times New Roman"/>
          <w:b/>
          <w:bCs/>
          <w:color w:val="1F3864"/>
          <w:sz w:val="32"/>
          <w:szCs w:val="32"/>
        </w:rPr>
        <w:t xml:space="preserve">第一章　研究背景與動機</w:t>
      </w:r>
    </w:p>
    <w:p>
      <w:pPr>
        <w:pStyle w:val="Heading2"/>
        <w:spacing w:before="280" w:after="140"/>
      </w:pPr>
      <w:r>
        <w:rPr>
          <w:rFonts w:ascii="Times New Roman" w:cs="Times New Roman" w:eastAsia="標楷體" w:hAnsi="Times New Roman"/>
          <w:b/>
          <w:bCs/>
          <w:color w:val="2E75B6"/>
          <w:sz w:val="28"/>
          <w:szCs w:val="28"/>
        </w:rPr>
        <w:t xml:space="preserve">1.1　本計畫之核心價值</w:t>
      </w:r>
    </w:p>
    <w:p>
      <w:pPr>
        <w:spacing w:before="60" w:after="80"/>
        <w:jc w:val="both"/>
      </w:pPr>
      <w:r>
        <w:rPr>
          <w:rFonts w:ascii="Times New Roman" w:cs="Times New Roman" w:eastAsia="標楷體" w:hAnsi="Times New Roman"/>
          <w:color w:val="000000"/>
          <w:sz w:val="24"/>
          <w:szCs w:val="24"/>
        </w:rPr>
        <w:t xml:space="preserve">甘藍（高麗菜）為臺灣產量最大之蔬菜，2020 年全年產量達 40.9 萬公噸，為第二名花椰菜之 5 倍；2023 年甘藍產量仍佔全部蔬菜品項之 17%，素有「菜王」之稱（焦鈞，2024）。然而，甘藍亦為臺灣「菜金菜土」問題最為嚴重之品項——價格走揚時農民競相搶種，採收期集中上市後價格崩跌，產地價格曾低至每公斤不足 1 元；颱風過後消費者恐慌搶購，價格又於短短數日內翻倍。上述循環年復一年，農民蒙受損失、消費者負擔加重、政府疲於善後，各方利害關係人均承受顯著之經濟與社會成本。</w:t>
      </w:r>
    </w:p>
    <w:p>
      <w:pPr>
        <w:spacing w:before="60" w:after="80"/>
        <w:jc w:val="both"/>
      </w:pPr>
      <w:r>
        <w:rPr>
          <w:rFonts w:ascii="Times New Roman" w:cs="Times New Roman" w:eastAsia="標楷體" w:hAnsi="Times New Roman"/>
          <w:b w:val="false"/>
          <w:bCs w:val="false"/>
          <w:color w:val="1F497D"/>
          <w:sz w:val="24"/>
          <w:szCs w:val="24"/>
        </w:rPr>
        <w:t xml:space="preserve">蔬菜產銷失衡之影響並非僅限於農民，以甘藍為典型，</w:t>
      </w:r>
      <w:r>
        <w:rPr>
          <w:rFonts w:ascii="Times New Roman" w:cs="Times New Roman" w:eastAsia="標楷體" w:hAnsi="Times New Roman"/>
          <w:b w:val="false"/>
          <w:bCs w:val="false"/>
          <w:color w:val="000000"/>
          <w:sz w:val="24"/>
          <w:szCs w:val="24"/>
        </w:rPr>
        <w:t xml:space="preserve">其衝擊同時波及消費者、政府、農民與產銷通路四大面向。對消費者而言，蔬菜為日常必需品，價格急漲將直接推升生活成本；對政府而言，蔬菜屬「價格敏感性作物」，攸關物價穩定與行政院施政；對農民而言，「量增價跌、量減價飆」之風險始終存在，跟風種植與預期錯誤為最大收入威脅；對產銷通路而言，批發市場到貨量與價格高度同步震盪，難以預判未來 2 至 4 週之供給走勢。四方均深受資訊不對稱之苦，共同缺乏前瞻性決策依據（本研究整理）。</w:t>
      </w:r>
    </w:p>
    <w:p>
      <w:pPr>
        <w:spacing w:before="60" w:after="80"/>
        <w:jc w:val="both"/>
      </w:pPr>
      <w:r>
        <w:rPr>
          <w:rFonts w:ascii="Times New Roman" w:cs="Times New Roman" w:eastAsia="標楷體" w:hAnsi="Times New Roman"/>
          <w:color w:val="000000"/>
          <w:sz w:val="24"/>
          <w:szCs w:val="24"/>
        </w:rPr>
        <w:t xml:space="preserve">現行針對上述四方之政策工具各有其侷限：消費者端僅能透過平價專區被動因應；政府端之預警燈號、滾動倉儲與災害救助多屬「事後或半即時」性質；農民端一旦完成種植即難以回頭調整，種植建議與補助無法改變已執行之決策；產銷通路端之冷鏈與庫存調節成本高昂，反應速度有限。四方之共同瓶頸在於缺乏「事前預知」之能力。本計畫之核心目標，即透過 AI 預測系統補強此一關鍵缺口——使農糧署得以在產銷異常發生之前啟動政策工具、使農民於種植決策前掌握價格趨勢、使通路得以提前調配物流與庫存。</w:t>
      </w:r>
    </w:p>
    <w:p>
      <w:pPr>
        <w:spacing w:before="60" w:after="80"/>
        <w:jc w:val="both"/>
      </w:pPr>
      <w:r>
        <w:rPr>
          <w:rFonts w:ascii="Times New Roman" w:cs="Times New Roman" w:eastAsia="標楷體" w:hAnsi="Times New Roman"/>
          <w:color w:val="000000"/>
          <w:sz w:val="24"/>
          <w:szCs w:val="24"/>
        </w:rPr>
        <w:t xml:space="preserve">具體而言，本系統預期為農糧署帶來三項直接效益：第一，協助提前研判是否需啟動釋出冷藏庫存、調節進口等措施，將政策介入時點從「事後補貼」推進至「事前預警」，系統內建紅黃綠燈號警示功能，將預測結果直接對應至可執行之政策行動；第二，為現行供苗預警機制提供量化輔助，以市場端實際交易數據補強育苗場自主回報之不足；第三，透過模型特徵重要性分析，使農政人員清楚辨識影響價格之關鍵因子，確保政策決策具備數據支撐。</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1.2　甘藍產銷失衡之現實問題與政策困境</w:t>
      </w:r>
    </w:p>
    <w:p>
      <w:pPr>
        <w:spacing w:before="60" w:after="80"/>
        <w:jc w:val="both"/>
      </w:pPr>
      <w:r>
        <w:rPr>
          <w:rFonts w:ascii="Times New Roman" w:cs="Times New Roman" w:eastAsia="標楷體" w:hAnsi="Times New Roman"/>
          <w:color w:val="000000"/>
          <w:sz w:val="24"/>
          <w:szCs w:val="24"/>
        </w:rPr>
        <w:t xml:space="preserve">甘藍之產銷失衡屬結構性問題。臺灣農業以小農經營為主體，個別農民難以掌握全國之種植總量與供需動態。甘藍種植技術門檻低、生長期僅約 70 天，恰可填補中南部二期稻作收成後至隔年一期稻作間之空檔，眾多農民將冬季種植甘藍視為增加收入之機會（報導者，2021）。加以冬季氣候冷涼，單位面積產量可較夏季增產 40% 至 60%（臺中區農業改良場），當種植面積擴大又逢良好天候，供給量即集中湧入市場，價格隨之急速下滑。</w:t>
      </w:r>
    </w:p>
    <w:p>
      <w:pPr>
        <w:spacing w:before="60" w:after="80"/>
        <w:jc w:val="both"/>
      </w:pPr>
      <w:r>
        <w:rPr>
          <w:rFonts w:ascii="Times New Roman" w:cs="Times New Roman" w:eastAsia="標楷體" w:hAnsi="Times New Roman"/>
          <w:color w:val="000000"/>
          <w:sz w:val="24"/>
          <w:szCs w:val="24"/>
        </w:rPr>
        <w:t xml:space="preserve">Su, Y.-J., Liao, P.-A., &amp; Chang, H.-H.（2025）以臺北果菜市場 2011 至 2015 年之逐日交易資料進行實證分析，發現颱風警報期間甘藍價格飆升之主因並非供給端真正短缺，而是消費者恐慌搶購所驅動之需求面衝擊；多次颱風年度中，後續颱風之市場反應顯著強於第一次，呈現可得性偏誤（availability bias）效應；政府若及時釋出冷藏進口甘藍，則可有效穩定市場交易量。此研究指出，甘藍價格波動不僅受供需驅動，消費者心理預期同樣關鍵，且政策介入之「時機」較「手段」更具決定性。據此，本系統將颱風強度、路徑分類及警報後影響期間等特徵納入預測模型。</w:t>
      </w:r>
    </w:p>
    <w:p>
      <w:pPr>
        <w:spacing w:before="60" w:after="80"/>
        <w:jc w:val="both"/>
      </w:pPr>
      <w:r>
        <w:rPr>
          <w:rFonts w:ascii="Times New Roman" w:cs="Times New Roman" w:eastAsia="標楷體" w:hAnsi="Times New Roman"/>
          <w:color w:val="000000"/>
          <w:sz w:val="24"/>
          <w:szCs w:val="24"/>
        </w:rPr>
        <w:t xml:space="preserve">現行農糧署對甘藍之主要調控工具，係 2009 年建立之「大宗蔬菜供苗預警」機制：由育苗場每旬回報出貨量，每旬若超過 600 萬株即發布「紫爆」超種警示（報導者，2021）。惟實務運作面臨結構性困難：育苗場視銷售量為商業機密，回報數據長期遭質疑有低報之虞；農民取得種苗管道多元，供苗量無法完整反映實際種植面積；即便農糧署已發布預警，農民亦未必據此調整行為，部分農民甚至將預警視為「反指標」（今周刊，2018；農傳媒，2021）。現行預警機制之癥結並非「警示意願」，而在於「預測精準度」與「提前量」——唯有在農民做出種植決策之前提供可靠的價格趨勢預測，政策方具備實質引導空間。</w:t>
      </w:r>
    </w:p>
    <w:p>
      <w:pPr>
        <w:spacing w:before="60" w:after="80"/>
        <w:jc w:val="both"/>
      </w:pPr>
      <w:r>
        <w:rPr>
          <w:rFonts w:ascii="Times New Roman" w:cs="Times New Roman" w:eastAsia="標楷體" w:hAnsi="Times New Roman"/>
          <w:color w:val="1F497D"/>
          <w:sz w:val="24"/>
          <w:szCs w:val="24"/>
        </w:rPr>
        <w:t xml:space="preserve">甘藍所呈現之產銷失衡困境，在本計畫另外四種研究蔬菜中同樣存在，惟問題機制各有差異。萵苣與小白菜之生長週期更短（約 25 至 30 天），對氣候變化之價格反應較甘藍更為即時；花椰菜淡季長達四個月，為五種蔬菜中供需落差最顯著之品項；青蔥颱風後價格暴漲幅度最劇（歷史紀錄曾達 5 至 10 倍），為驗證颱風特徵預測效果之理想標的。五種蔬菜各具不同問題機制，卻共享「資訊不對稱導致產銷失衡」之核心困境，此為本計畫以此五種作物為驗證對象之主要依據。</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1.3　本計畫使用之開放資料來源與整合困境</w:t>
      </w:r>
    </w:p>
    <w:p>
      <w:pPr>
        <w:spacing w:before="60" w:after="80"/>
        <w:jc w:val="both"/>
      </w:pPr>
      <w:r>
        <w:rPr>
          <w:rFonts w:ascii="Times New Roman" w:cs="Times New Roman" w:eastAsia="標楷體" w:hAnsi="Times New Roman"/>
          <w:b w:val="false"/>
          <w:bCs w:val="false"/>
          <w:color w:val="000000"/>
          <w:sz w:val="24"/>
          <w:szCs w:val="24"/>
        </w:rPr>
        <w:t xml:space="preserve">本計畫之預測模型建立於多源政府開放資料（Open Data）之整合基礎上，目前已完成五類資料之串接與入庫，合計資料規模逾 1,310 萬筆，涵蓋 </w:t>
      </w:r>
      <w:r>
        <w:rPr>
          <w:rFonts w:ascii="Times New Roman" w:cs="Times New Roman" w:eastAsia="標楷體" w:hAnsi="Times New Roman"/>
          <w:b w:val="false"/>
          <w:bCs w:val="false"/>
          <w:color w:val="1F497D"/>
          <w:sz w:val="24"/>
          <w:szCs w:val="24"/>
        </w:rPr>
        <w:t xml:space="preserve">22</w:t>
      </w:r>
      <w:r>
        <w:rPr>
          <w:rFonts w:ascii="Times New Roman" w:cs="Times New Roman" w:eastAsia="標楷體" w:hAnsi="Times New Roman"/>
          <w:b w:val="false"/>
          <w:bCs w:val="false"/>
          <w:color w:val="000000"/>
          <w:sz w:val="24"/>
          <w:szCs w:val="24"/>
        </w:rPr>
        <w:t xml:space="preserve"> 種作物、20 個批發市場及 22 個縣市。以下為本研究實際使用之資料來源：</w:t>
      </w:r>
    </w:p>
    <w:p>
      <w:pPr>
        <w:spacing w:before="60" w:after="80"/>
        <w:jc w:val="both"/>
      </w:pPr>
      <w:r>
        <w:rPr>
          <w:rFonts w:ascii="Times New Roman" w:cs="Times New Roman" w:eastAsia="標楷體" w:hAnsi="Times New Roman"/>
          <w:color w:val="000000"/>
          <w:sz w:val="24"/>
          <w:szCs w:val="24"/>
        </w:rPr>
        <w:t xml:space="preserve">五類資料涵蓋：農糧署批發市場交易行情（約 1,298 萬筆，2012–2026 年）、中央氣象署氣象觀測（約 11.9 萬筆，2005–2026 年）、農情產量統計（約 5,951 筆，2008–2024 年）、農糧產銷整合查詢平臺（輔助交叉驗證），以及中央氣象署颱風資料庫（145 筆，2000–2025 年）；詳細來源網址見表 1-2。其中颱風資料根據 Su et al.（2025）之實證結果，設計颱風後 1 至 2 個月影響標記、颱風強度分級與極端降雨指標等特徵，並提供颱風情境模擬功能。</w:t>
      </w:r>
    </w:p>
    <w:p>
      <w:pPr>
        <w:spacing w:before="60" w:after="80"/>
        <w:jc w:val="both"/>
      </w:pPr>
      <w:r>
        <w:rPr>
          <w:rFonts w:ascii="Times New Roman" w:cs="Times New Roman" w:eastAsia="標楷體" w:hAnsi="Times New Roman"/>
          <w:color w:val="000000"/>
          <w:sz w:val="24"/>
          <w:szCs w:val="24"/>
        </w:rPr>
        <w:t xml:space="preserve">上述五類資料分別由農糧署與中央氣象署管理發布，實際整合過程面臨三項主要困境：其一，各資料集更新頻率不一（交易資料逐日、產量資料年度），跨源時間對齊須額外清洗與格式統一；其二，部分年度歷史資料尚未完整數位化，壓縮機器學習模型可用之訓練年限；其三，氣象與農業資料分屬不同主管機關，缺乏標準化串接機制。對此，本計畫設計 10 張正規化資料表之結構化資料庫（SQLite，約 2.1 GB），統一日期格式與時間粒度；並透過農糧署 AMIS API（回溯至 2012 年）與中央氣象署 CWA API（回溯至 2005 年）自動化擷取資料，搭配每週排程同步，確保預測系統持續取得最新資料。</w:t>
      </w:r>
    </w:p>
    <w:p>
      <w:pPr>
        <w:spacing w:before="60" w:after="80"/>
        <w:jc w:val="both"/>
      </w:pPr>
      <w:r>
        <w:rPr>
          <w:rFonts w:ascii="Times New Roman" w:cs="Times New Roman" w:eastAsia="標楷體" w:hAnsi="Times New Roman"/>
          <w:color w:val="000000"/>
          <w:sz w:val="24"/>
          <w:szCs w:val="24"/>
        </w:rPr>
        <w:t xml:space="preserve">在地方政府方面，目前已有數個縣市自行建置農業資訊平臺，惟各平臺間資料無法互通，且功能定位與本計畫存在本質差異。表 1-1 彙整主要平臺之功能現況：</w:t>
      </w:r>
    </w:p>
    <w:p>
      <w:pPr>
        <w:spacing w:before="40" w:after="40"/>
      </w:pPr>
      <w:r>
        <w:rPr>
          <w:sz w:val="22"/>
          <w:szCs w:val="22"/>
        </w:rPr>
        <w:t xml:space="preserve"/>
      </w:r>
    </w:p>
    <w:p>
      <w:pPr>
        <w:spacing w:before="40" w:after="100"/>
        <w:jc w:val="center"/>
      </w:pPr>
      <w:r>
        <w:rPr>
          <w:rFonts w:ascii="Times New Roman" w:cs="Times New Roman" w:eastAsia="標楷體" w:hAnsi="Times New Roman"/>
          <w:i/>
          <w:iCs/>
          <w:sz w:val="20"/>
          <w:szCs w:val="20"/>
        </w:rPr>
        <w:t xml:space="preserve">表 1-1　臺灣主要農業資訊平臺功能比較表</w:t>
      </w:r>
    </w:p>
    <w:tbl>
      <w:tblPr>
        <w:tblW w:type="dxa" w:w="8666"/>
        <w:tblBorders>
          <w:top w:val="single" w:color="BFBFBF" w:sz="1"/>
          <w:left w:val="single" w:color="BFBFBF" w:sz="1"/>
          <w:bottom w:val="single" w:color="BFBFBF" w:sz="1"/>
          <w:right w:val="single" w:color="BFBFBF" w:sz="1"/>
          <w:insideH w:val="single" w:color="auto" w:sz="4"/>
          <w:insideV w:val="single" w:color="auto" w:sz="4"/>
        </w:tblBorders>
      </w:tblPr>
      <w:tblGrid>
        <w:gridCol w:w="1200"/>
        <w:gridCol w:w="1400"/>
        <w:gridCol w:w="1400"/>
        <w:gridCol w:w="1400"/>
        <w:gridCol w:w="1400"/>
        <w:gridCol w:w="1866"/>
      </w:tblGrid>
      <w:tr>
        <w:trPr>
          <w:tblHeader/>
        </w:trPr>
        <w:tc>
          <w:tcPr>
            <w:tcW w:type="dxa" w:w="12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功能面向</w:t>
            </w:r>
          </w:p>
        </w:tc>
        <w:tc>
          <w:tcPr>
            <w:tcW w:type="dxa" w:w="14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農糧產銷整合
查詢平臺</w:t>
            </w:r>
          </w:p>
        </w:tc>
        <w:tc>
          <w:tcPr>
            <w:tcW w:type="dxa" w:w="14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雲林數位農業
行動平臺</w:t>
            </w:r>
          </w:p>
        </w:tc>
        <w:tc>
          <w:tcPr>
            <w:tcW w:type="dxa" w:w="14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臺中農易通</w:t>
            </w:r>
          </w:p>
        </w:tc>
        <w:tc>
          <w:tcPr>
            <w:tcW w:type="dxa" w:w="14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高雄農來訊</w:t>
            </w:r>
          </w:p>
        </w:tc>
        <w:tc>
          <w:tcPr>
            <w:tcW w:type="dxa" w:w="1866"/>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本計畫系統</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價格預測</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無（僅歷史查詢）</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無（僅產值模擬）</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無（僅即時行情）</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無（僅即時行情）</w:t>
            </w:r>
          </w:p>
        </w:tc>
        <w:tc>
          <w:tcPr>
            <w:tcW w:type="dxa" w:w="18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AI 多模型集成預測</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預警機制</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無</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無量化燈號</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氣象預警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氣象告警</w:t>
            </w:r>
          </w:p>
        </w:tc>
        <w:tc>
          <w:tcPr>
            <w:tcW w:type="dxa" w:w="18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紅黃綠燈號（量化觸發）</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AI／ML 技術</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AI 影像辨識
（非價格預測）</w:t>
            </w:r>
          </w:p>
        </w:tc>
        <w:tc>
          <w:tcPr>
            <w:tcW w:type="dxa" w:w="1866"/>
            <w:shd w:fill="DEEAF1" w:val="clear"/>
            <w:tcMar>
              <w:top w:type="dxa" w:w="60"/>
              <w:left w:type="dxa" w:w="120"/>
              <w:bottom w:type="dxa" w:w="60"/>
              <w:right w:type="dxa" w:w="120"/>
            </w:tcMar>
          </w:tcPr>
          <w:p>
            <w:r>
              <w:rPr>
                <w:rFonts w:ascii="Times New Roman" w:cs="Times New Roman" w:eastAsia="標楷體" w:hAnsi="Times New Roman"/>
                <w:color w:val="1F497D"/>
                <w:sz w:val="20"/>
                <w:szCs w:val="20"/>
              </w:rPr>
              <w:t xml:space="preserve">Prophet＋SARIMA＋XGBoost＋LightGBM 集成</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氣象整合</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部分（GIS）</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天氣預警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部分</w:t>
            </w:r>
          </w:p>
        </w:tc>
        <w:tc>
          <w:tcPr>
            <w:tcW w:type="dxa" w:w="18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CWA API 深度整合＋颱風模擬</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資料縱深</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歷史查詢</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近期資料</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近期資料</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近期資料</w:t>
            </w:r>
          </w:p>
        </w:tc>
        <w:tc>
          <w:tcPr>
            <w:tcW w:type="dxa" w:w="18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逾 1,310 萬筆（2005–2026）</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可解釋性</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否</w:t>
            </w:r>
          </w:p>
        </w:tc>
        <w:tc>
          <w:tcPr>
            <w:tcW w:type="dxa" w:w="18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特徵重要性分析（SHAP）</w:t>
            </w:r>
          </w:p>
        </w:tc>
      </w:tr>
    </w:tbl>
    <w:p>
      <w:pPr>
        <w:spacing w:before="40" w:after="100"/>
        <w:jc w:val="center"/>
      </w:pPr>
      <w:r>
        <w:rPr>
          <w:rFonts w:ascii="Times New Roman" w:cs="Times New Roman" w:eastAsia="標楷體" w:hAnsi="Times New Roman"/>
          <w:i/>
          <w:iCs/>
          <w:sz w:val="20"/>
          <w:szCs w:val="20"/>
        </w:rPr>
        <w:t xml:space="preserve">資料來源：本研究整理（2026）</w:t>
      </w:r>
    </w:p>
    <w:p>
      <w:pPr>
        <w:spacing w:before="40" w:after="40"/>
      </w:pPr>
      <w:r>
        <w:rPr>
          <w:sz w:val="22"/>
          <w:szCs w:val="22"/>
        </w:rPr>
        <w:t xml:space="preserve"/>
      </w:r>
    </w:p>
    <w:p>
      <w:pPr>
        <w:spacing w:before="60" w:after="80"/>
        <w:jc w:val="both"/>
      </w:pPr>
      <w:r>
        <w:rPr>
          <w:rFonts w:ascii="Times New Roman" w:cs="Times New Roman" w:eastAsia="標楷體" w:hAnsi="Times New Roman"/>
          <w:color w:val="000000"/>
          <w:sz w:val="24"/>
          <w:szCs w:val="24"/>
        </w:rPr>
        <w:t xml:space="preserve">由表 1-1 可見，現有平臺普遍聚焦於「歷史資料查詢」或「即時行情揭露」，尚無任何平臺具備以機器學習進行甘藍價格前瞻預測之能力。農業試驗所之「智慧農業共通資訊平臺」雖具整合潛力，惟其定位為技術研究平臺，並非農政人員之日常決策工具，亦未具備產銷價格預測功能。換言之，目前全臺尚缺乏一個整合多源開放資料、以機器學習進行甘藍價格前瞻預測之統一系統，此即本計畫之核心定位。</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1.4　本研究之學術基礎與技術架構定位</w:t>
      </w:r>
    </w:p>
    <w:p>
      <w:pPr>
        <w:spacing w:before="60" w:after="80"/>
        <w:jc w:val="both"/>
      </w:pPr>
      <w:r>
        <w:rPr>
          <w:rFonts w:ascii="Times New Roman" w:cs="Times New Roman" w:eastAsia="標楷體" w:hAnsi="Times New Roman"/>
          <w:b w:val="false"/>
          <w:bCs w:val="false"/>
          <w:color w:val="000000"/>
          <w:sz w:val="24"/>
          <w:szCs w:val="24"/>
        </w:rPr>
        <w:t xml:space="preserve">在學術研究方面，Peng, Y.-H., Hsu, C.-S., &amp; Huang, P.-C.（2015）為臺灣最早系統性比較多種演算法進行農產品價格預測之研究，以臺北第一果菜市場之甘藍等作物為對象，比較 ARIMA、PLS、ANN 及 RSMPLS 四種方法，結果顯示 ARIMA 幾乎不具競爭力，短期預測以 PLS 勝出、長期則 ANN 較優。然而，該研究僅使用歷史交易價格作為輸入特徵，未納入氣象變數，亦未採用多模型集成架構。Hwang 等人（2024）以迴歸分析確認低溫日數與荔枝產量呈高度相關（R²＝0.72），Hsieh 等人（2021）</w:t>
      </w:r>
      <w:r>
        <w:rPr>
          <w:rFonts w:ascii="Times New Roman" w:cs="Times New Roman" w:eastAsia="標楷體" w:hAnsi="Times New Roman"/>
          <w:b w:val="false"/>
          <w:bCs w:val="false"/>
          <w:color w:val="1F497D"/>
          <w:sz w:val="24"/>
          <w:szCs w:val="24"/>
        </w:rPr>
        <w:t xml:space="preserve">建立番茄與茄子嫁接砧木莖徑生長模型</w:t>
      </w:r>
      <w:r>
        <w:rPr>
          <w:rFonts w:ascii="Times New Roman" w:cs="Times New Roman" w:eastAsia="標楷體" w:hAnsi="Times New Roman"/>
          <w:b w:val="false"/>
          <w:bCs w:val="false"/>
          <w:color w:val="000000"/>
          <w:sz w:val="24"/>
          <w:szCs w:val="24"/>
        </w:rPr>
        <w:t xml:space="preserve">（R²＝0.72–0.85），均實證氣象因子對臺灣農業產出具有顯著預測力，惟研究對象均非蔬菜批發價格。</w:t>
      </w:r>
    </w:p>
    <w:p>
      <w:pPr>
        <w:spacing w:before="60" w:after="80"/>
        <w:jc w:val="both"/>
      </w:pPr>
      <w:r>
        <w:rPr>
          <w:rFonts w:ascii="Times New Roman" w:cs="Times New Roman" w:eastAsia="標楷體" w:hAnsi="Times New Roman"/>
          <w:b w:val="false"/>
          <w:bCs w:val="false"/>
          <w:color w:val="000000"/>
          <w:sz w:val="24"/>
          <w:szCs w:val="24"/>
        </w:rPr>
        <w:t xml:space="preserve">綜合觀之，目前臺灣學術文獻中尚無研究同時達成以下三項條件：採用多模型集成機器學習方法、整合氣象與產銷多源開放資料、針對甘藍進行價格預測。此即本計畫之學術切入點。本研究採用 </w:t>
      </w:r>
      <w:r>
        <w:rPr>
          <w:rFonts w:ascii="Times New Roman" w:cs="Times New Roman" w:eastAsia="標楷體" w:hAnsi="Times New Roman"/>
          <w:b w:val="false"/>
          <w:bCs w:val="false"/>
          <w:color w:val="1F497D"/>
          <w:sz w:val="24"/>
          <w:szCs w:val="24"/>
        </w:rPr>
        <w:t xml:space="preserve">Prophet＋SARIMA＋XGBoost＋LightGBM 四模型</w:t>
      </w:r>
      <w:r>
        <w:rPr>
          <w:rFonts w:ascii="Times New Roman" w:cs="Times New Roman" w:eastAsia="標楷體" w:hAnsi="Times New Roman"/>
          <w:b w:val="false"/>
          <w:bCs w:val="false"/>
          <w:color w:val="000000"/>
          <w:sz w:val="24"/>
          <w:szCs w:val="24"/>
        </w:rPr>
        <w:t xml:space="preserve">集成架構，以反向 MAPE 加權法（Inverse-MAPE Weighted Ensemble）最佳化集成權重——各子模型依其於驗證集之 MAPE 表現進行反向加權，使集成結果兼顧時間序列分解能力（Prophet）、統計季節性建模（SARIMA）與非線性特徵交互學習（</w:t>
      </w:r>
      <w:r>
        <w:rPr>
          <w:rFonts w:ascii="Times New Roman" w:cs="Times New Roman" w:eastAsia="標楷體" w:hAnsi="Times New Roman"/>
          <w:b w:val="false"/>
          <w:bCs w:val="false"/>
          <w:color w:val="1F497D"/>
          <w:sz w:val="24"/>
          <w:szCs w:val="24"/>
        </w:rPr>
        <w:t xml:space="preserve">XGBoost、LightGBM</w:t>
      </w:r>
      <w:r>
        <w:rPr>
          <w:rFonts w:ascii="Times New Roman" w:cs="Times New Roman" w:eastAsia="標楷體" w:hAnsi="Times New Roman"/>
          <w:b w:val="false"/>
          <w:bCs w:val="false"/>
          <w:color w:val="000000"/>
          <w:sz w:val="24"/>
          <w:szCs w:val="24"/>
        </w:rPr>
        <w:t xml:space="preserve">）。在特徵工程方面，本系統設計涵蓋時間滯後特徵、滾動統計量、日曆與季節性編碼、氣象特徵（溫度、降雨量、溫度異常指標）及颱風特徵（強度分級、颱風後影響標記、極端降雨指標）等多維度輸入變數（詳見第四章研究設計），力求充分反映甘藍價格波動之複雜成因。</w:t>
      </w:r>
    </w:p>
    <w:p>
      <w:pPr>
        <w:spacing w:before="60" w:after="80"/>
        <w:jc w:val="both"/>
      </w:pPr>
      <w:r>
        <w:rPr>
          <w:rFonts w:ascii="Times New Roman" w:cs="Times New Roman" w:eastAsia="標楷體" w:hAnsi="Times New Roman"/>
          <w:b w:val="false"/>
          <w:bCs w:val="false"/>
          <w:color w:val="000000"/>
          <w:sz w:val="24"/>
          <w:szCs w:val="24"/>
        </w:rPr>
        <w:t xml:space="preserve">本計畫以</w:t>
      </w:r>
      <w:r>
        <w:rPr>
          <w:rFonts w:ascii="Times New Roman" w:cs="Times New Roman" w:eastAsia="標楷體" w:hAnsi="Times New Roman"/>
          <w:b w:val="false"/>
          <w:bCs w:val="false"/>
          <w:color w:val="1F497D"/>
          <w:sz w:val="24"/>
          <w:szCs w:val="24"/>
        </w:rPr>
        <w:t xml:space="preserve">甘藍、萵苣、小白菜、花椰菜、青蔥五種蔬菜</w:t>
      </w:r>
      <w:r>
        <w:rPr>
          <w:rFonts w:ascii="Times New Roman" w:cs="Times New Roman" w:eastAsia="標楷體" w:hAnsi="Times New Roman"/>
          <w:b w:val="false"/>
          <w:bCs w:val="false"/>
          <w:color w:val="000000"/>
          <w:sz w:val="24"/>
          <w:szCs w:val="24"/>
        </w:rPr>
        <w:t xml:space="preserve">為核心研究驗證對象，其中以甘藍為</w:t>
      </w:r>
      <w:r>
        <w:rPr>
          <w:rFonts w:ascii="Times New Roman" w:cs="Times New Roman" w:eastAsia="標楷體" w:hAnsi="Times New Roman"/>
          <w:b w:val="false"/>
          <w:bCs w:val="false"/>
          <w:color w:val="1F497D"/>
          <w:sz w:val="24"/>
          <w:szCs w:val="24"/>
        </w:rPr>
        <w:t xml:space="preserve">主要</w:t>
      </w:r>
      <w:r>
        <w:rPr>
          <w:rFonts w:ascii="Times New Roman" w:cs="Times New Roman" w:eastAsia="標楷體" w:hAnsi="Times New Roman"/>
          <w:b w:val="false"/>
          <w:bCs w:val="false"/>
          <w:color w:val="000000"/>
          <w:sz w:val="24"/>
          <w:szCs w:val="24"/>
        </w:rPr>
        <w:t xml:space="preserve">分析標的，係因其為臺灣產量最大、價格波動最為劇烈、政策關注度最高之蔬菜品項。</w:t>
      </w:r>
      <w:r>
        <w:rPr>
          <w:rFonts w:ascii="Times New Roman" w:cs="Times New Roman" w:eastAsia="標楷體" w:hAnsi="Times New Roman"/>
          <w:b w:val="false"/>
          <w:bCs w:val="false"/>
          <w:color w:val="1F497D"/>
          <w:sz w:val="24"/>
          <w:szCs w:val="24"/>
        </w:rPr>
        <w:t xml:space="preserve">五種蔬菜涵蓋葉菜（甘藍、萵苣、小白菜）、花菜（花椰菜）及辛香料（青蔥）三類，旺季均集中於秋冬季（10 月至 3 月），具共通之季節性模式，利於統一模型架構設計；颱風敏感度各異（青蔥最高、甘藍次之），可驗證颱風特徵在不同受災機制下的預測改善效果。</w:t>
      </w:r>
      <w:r>
        <w:rPr>
          <w:rFonts w:ascii="Times New Roman" w:cs="Times New Roman" w:eastAsia="標楷體" w:hAnsi="Times New Roman"/>
          <w:b w:val="false"/>
          <w:bCs w:val="false"/>
          <w:color w:val="000000"/>
          <w:sz w:val="24"/>
          <w:szCs w:val="24"/>
        </w:rPr>
        <w:t xml:space="preserve">本系統之資料庫架構已涵蓋 </w:t>
      </w:r>
      <w:r>
        <w:rPr>
          <w:rFonts w:ascii="Times New Roman" w:cs="Times New Roman" w:eastAsia="標楷體" w:hAnsi="Times New Roman"/>
          <w:b w:val="false"/>
          <w:bCs w:val="false"/>
          <w:color w:val="1F497D"/>
          <w:sz w:val="24"/>
          <w:szCs w:val="24"/>
        </w:rPr>
        <w:t xml:space="preserve">22</w:t>
      </w:r>
      <w:r>
        <w:rPr>
          <w:rFonts w:ascii="Times New Roman" w:cs="Times New Roman" w:eastAsia="標楷體" w:hAnsi="Times New Roman"/>
          <w:b w:val="false"/>
          <w:bCs w:val="false"/>
          <w:color w:val="000000"/>
          <w:sz w:val="24"/>
          <w:szCs w:val="24"/>
        </w:rPr>
        <w:t xml:space="preserve"> 種作物之資料結構，未來可依農糧署實際需求逐步擴展預測範圍。</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資料來源</w:t>
      </w:r>
    </w:p>
    <w:p>
      <w:pPr>
        <w:spacing w:before="60" w:after="80"/>
        <w:jc w:val="both"/>
      </w:pPr>
      <w:r>
        <w:rPr>
          <w:rFonts w:ascii="Times New Roman" w:cs="Times New Roman" w:eastAsia="標楷體" w:hAnsi="Times New Roman"/>
          <w:color w:val="000000"/>
          <w:sz w:val="24"/>
          <w:szCs w:val="24"/>
        </w:rPr>
        <w:t xml:space="preserve">本計畫使用之政府開放資料來源彙整如下：</w:t>
      </w:r>
    </w:p>
    <w:p>
      <w:pPr>
        <w:spacing w:before="40" w:after="40"/>
      </w:pPr>
      <w:r>
        <w:rPr>
          <w:sz w:val="22"/>
          <w:szCs w:val="22"/>
        </w:rPr>
        <w:t xml:space="preserve"/>
      </w:r>
    </w:p>
    <w:p>
      <w:pPr>
        <w:spacing w:before="40" w:after="100"/>
        <w:jc w:val="center"/>
      </w:pPr>
      <w:r>
        <w:rPr>
          <w:rFonts w:ascii="Times New Roman" w:cs="Times New Roman" w:eastAsia="標楷體" w:hAnsi="Times New Roman"/>
          <w:i/>
          <w:iCs/>
          <w:sz w:val="20"/>
          <w:szCs w:val="20"/>
        </w:rPr>
        <w:t xml:space="preserve">表 1-2　本計畫政府開放資料來源彙整</w:t>
      </w:r>
    </w:p>
    <w:tbl>
      <w:tblPr>
        <w:tblW w:type="dxa" w:w="8666"/>
        <w:tblBorders>
          <w:top w:val="single" w:color="BFBFBF" w:sz="1"/>
          <w:left w:val="single" w:color="BFBFBF" w:sz="1"/>
          <w:bottom w:val="single" w:color="BFBFBF" w:sz="1"/>
          <w:right w:val="single" w:color="BFBFBF" w:sz="1"/>
          <w:insideH w:val="single" w:color="auto" w:sz="4"/>
          <w:insideV w:val="single" w:color="auto" w:sz="4"/>
        </w:tblBorders>
      </w:tblPr>
      <w:tblGrid>
        <w:gridCol w:w="1200"/>
        <w:gridCol w:w="1400"/>
        <w:gridCol w:w="3066"/>
        <w:gridCol w:w="3000"/>
      </w:tblGrid>
      <w:tr>
        <w:trPr>
          <w:tblHeader/>
        </w:trPr>
        <w:tc>
          <w:tcPr>
            <w:tcW w:type="dxa" w:w="12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資料類別</w:t>
            </w:r>
          </w:p>
        </w:tc>
        <w:tc>
          <w:tcPr>
            <w:tcW w:type="dxa" w:w="14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來源機關</w:t>
            </w:r>
          </w:p>
        </w:tc>
        <w:tc>
          <w:tcPr>
            <w:tcW w:type="dxa" w:w="3066"/>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資料集／平臺名稱</w:t>
            </w:r>
          </w:p>
        </w:tc>
        <w:tc>
          <w:tcPr>
            <w:tcW w:type="dxa" w:w="30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API／網址</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交易行情</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農業部農糧署</w:t>
            </w:r>
          </w:p>
        </w:tc>
        <w:tc>
          <w:tcPr>
            <w:tcW w:type="dxa" w:w="30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農產品批發市場交易行情</w:t>
            </w:r>
          </w:p>
        </w:tc>
        <w:tc>
          <w:tcPr>
            <w:tcW w:type="dxa" w:w="30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amis.afa.gov.tw</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氣象觀測</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中央氣象署</w:t>
            </w:r>
          </w:p>
        </w:tc>
        <w:tc>
          <w:tcPr>
            <w:tcW w:type="dxa" w:w="30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歷史逐日氣候（C-B0024-001）
即時觀測（O-A0003-001）</w:t>
            </w:r>
          </w:p>
        </w:tc>
        <w:tc>
          <w:tcPr>
            <w:tcW w:type="dxa" w:w="30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opendata.cwa.gov.tw</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農情產量</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農業部農糧署</w:t>
            </w:r>
          </w:p>
        </w:tc>
        <w:tc>
          <w:tcPr>
            <w:tcW w:type="dxa" w:w="30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農情報告資訊網／農業統計資料查詢網</w:t>
            </w:r>
          </w:p>
        </w:tc>
        <w:tc>
          <w:tcPr>
            <w:tcW w:type="dxa" w:w="30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agr.afa.gov.tw
agrstat.moa.gov.tw</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颱風事件</w:t>
            </w:r>
          </w:p>
        </w:tc>
        <w:tc>
          <w:tcPr>
            <w:tcW w:type="dxa" w:w="14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中央氣象署</w:t>
            </w:r>
          </w:p>
        </w:tc>
        <w:tc>
          <w:tcPr>
            <w:tcW w:type="dxa" w:w="30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颱風資料庫
即時颱風路徑（W-C0034-005）</w:t>
            </w:r>
          </w:p>
        </w:tc>
        <w:tc>
          <w:tcPr>
            <w:tcW w:type="dxa" w:w="30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rdc28.cwa.gov.tw
opendata.cwa.gov.tw</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產銷整合查詢</w:t>
            </w:r>
          </w:p>
        </w:tc>
        <w:tc>
          <w:tcPr>
            <w:tcW w:type="dxa" w:w="14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農業部農糧署</w:t>
            </w:r>
          </w:p>
        </w:tc>
        <w:tc>
          <w:tcPr>
            <w:tcW w:type="dxa" w:w="30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農糧產銷資訊整合查詢平臺</w:t>
            </w:r>
          </w:p>
        </w:tc>
        <w:tc>
          <w:tcPr>
            <w:tcW w:type="dxa" w:w="30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amis.afa.gov.tw</w:t>
            </w:r>
          </w:p>
        </w:tc>
      </w:tr>
    </w:tbl>
    <w:p>
      <w:pPr>
        <w:spacing w:before="40" w:after="100"/>
        <w:jc w:val="center"/>
      </w:pPr>
      <w:r>
        <w:rPr>
          <w:rFonts w:ascii="Times New Roman" w:cs="Times New Roman" w:eastAsia="標楷體" w:hAnsi="Times New Roman"/>
          <w:i/>
          <w:iCs/>
          <w:sz w:val="20"/>
          <w:szCs w:val="20"/>
        </w:rPr>
        <w:t xml:space="preserve">資料來源：本研究整理（2026）</w:t>
      </w:r>
    </w:p>
    <w:p>
      <w:pPr>
        <w:spacing w:before="40" w:after="40"/>
      </w:pPr>
      <w:r>
        <w:rPr>
          <w:sz w:val="22"/>
          <w:szCs w:val="22"/>
        </w:rPr>
        <w:t xml:space="preserve"/>
      </w:r>
    </w:p>
    <w:p>
      <w:r>
        <w:br w:type="page"/>
      </w:r>
    </w:p>
    <w:p>
      <w:pPr>
        <w:pStyle w:val="Heading1"/>
        <w:spacing w:before="360" w:after="200"/>
      </w:pPr>
      <w:r>
        <w:rPr>
          <w:rFonts w:ascii="Times New Roman" w:cs="Times New Roman" w:eastAsia="標楷體" w:hAnsi="Times New Roman"/>
          <w:b/>
          <w:bCs/>
          <w:color w:val="1F3864"/>
          <w:sz w:val="32"/>
          <w:szCs w:val="32"/>
        </w:rPr>
        <w:t xml:space="preserve">第二章　理論基礎與文獻回顧</w:t>
      </w:r>
    </w:p>
    <w:p>
      <w:pPr>
        <w:pStyle w:val="Heading2"/>
        <w:spacing w:before="280" w:after="140"/>
      </w:pPr>
      <w:r>
        <w:rPr>
          <w:rFonts w:ascii="Times New Roman" w:cs="Times New Roman" w:eastAsia="標楷體" w:hAnsi="Times New Roman"/>
          <w:b/>
          <w:bCs/>
          <w:color w:val="2E75B6"/>
          <w:sz w:val="28"/>
          <w:szCs w:val="28"/>
        </w:rPr>
        <w:t xml:space="preserve">2.1　農產品價格預測方法論基礎</w:t>
      </w:r>
    </w:p>
    <w:p>
      <w:pPr>
        <w:spacing w:before="60" w:after="80"/>
        <w:jc w:val="both"/>
      </w:pPr>
      <w:r>
        <w:rPr>
          <w:rFonts w:ascii="Times New Roman" w:cs="Times New Roman" w:eastAsia="標楷體" w:hAnsi="Times New Roman"/>
          <w:color w:val="1F497D"/>
          <w:sz w:val="24"/>
          <w:szCs w:val="24"/>
        </w:rPr>
        <w:t xml:space="preserve">本節就本研究所採用之四種核心預測方法，歸納其理論依據、技術特性與農業預測情境下之適用性，作為後續第四章研究設計之理論基礎。</w:t>
      </w:r>
    </w:p>
    <w:p>
      <w:pPr>
        <w:pStyle w:val="Heading3"/>
        <w:spacing w:before="200" w:after="100"/>
      </w:pPr>
      <w:r>
        <w:rPr>
          <w:rFonts w:ascii="Times New Roman" w:cs="Times New Roman" w:eastAsia="標楷體" w:hAnsi="Times New Roman"/>
          <w:b/>
          <w:bCs/>
          <w:color w:val="2F5496"/>
          <w:sz w:val="24"/>
          <w:szCs w:val="24"/>
        </w:rPr>
        <w:t xml:space="preserve">2.1.1　傳統統計方法</w:t>
      </w:r>
    </w:p>
    <w:p>
      <w:pPr>
        <w:spacing w:before="60" w:after="80"/>
        <w:jc w:val="both"/>
      </w:pPr>
      <w:r>
        <w:rPr>
          <w:rFonts w:ascii="Times New Roman" w:cs="Times New Roman" w:eastAsia="標楷體" w:hAnsi="Times New Roman"/>
          <w:color w:val="1F497D"/>
          <w:sz w:val="24"/>
          <w:szCs w:val="24"/>
        </w:rPr>
        <w:t xml:space="preserve">早期研究主要採用自迴歸移動平均（ARIMA）族系模型進行農產品價格預測。Box 與 Jenkins（1970）提出的 ARIMA 建模方法論，至今仍是時間序列分析的基礎。Hyndman 與 Khandakar（2008）發展的自動 ARIMA 參數選擇演算法（auto.arima），大幅降低了 ARIMA 建模的門檻。針對具有明顯季節性的農產品價格序列，季節性 ARIMA（SARIMA）成為廣泛採用的工具，其透過季節性差分與季節性自迴歸項，直接建模年度週期性波動。</w:t>
      </w:r>
    </w:p>
    <w:p>
      <w:pPr>
        <w:spacing w:before="60" w:after="80"/>
        <w:jc w:val="both"/>
      </w:pPr>
      <w:r>
        <w:rPr>
          <w:rFonts w:ascii="Times New Roman" w:cs="Times New Roman" w:eastAsia="標楷體" w:hAnsi="Times New Roman"/>
          <w:color w:val="1F497D"/>
          <w:sz w:val="24"/>
          <w:szCs w:val="24"/>
        </w:rPr>
        <w:t xml:space="preserve">然而，傳統 ARIMA 模型假設線性結構，難以捕捉農產品價格中常見的非線性動態，如颱風衝擊引發的價格跳升、供需結構性轉變等。</w:t>
      </w:r>
    </w:p>
    <w:p>
      <w:pPr>
        <w:pStyle w:val="Heading3"/>
        <w:spacing w:before="200" w:after="100"/>
      </w:pPr>
      <w:r>
        <w:rPr>
          <w:rFonts w:ascii="Times New Roman" w:cs="Times New Roman" w:eastAsia="標楷體" w:hAnsi="Times New Roman"/>
          <w:b/>
          <w:bCs/>
          <w:color w:val="2F5496"/>
          <w:sz w:val="24"/>
          <w:szCs w:val="24"/>
        </w:rPr>
        <w:t xml:space="preserve">2.1.2　機器學習方法</w:t>
      </w:r>
    </w:p>
    <w:p>
      <w:pPr>
        <w:spacing w:before="60" w:after="80"/>
        <w:jc w:val="both"/>
      </w:pPr>
      <w:r>
        <w:rPr>
          <w:rFonts w:ascii="Times New Roman" w:cs="Times New Roman" w:eastAsia="標楷體" w:hAnsi="Times New Roman"/>
          <w:color w:val="1F497D"/>
          <w:sz w:val="24"/>
          <w:szCs w:val="24"/>
        </w:rPr>
        <w:t xml:space="preserve">隨著機器學習技術的發展，梯度提升樹（Gradient Boosting）族系模型在農產品價格預測中展現出良好的效果。Chen 與 Guestrin（2016）提出的 XGBoost，透過正則化目標函數與高效的分裂演算法，在各類預測競賽中取得優異成績。Ke 等人（2017）提出的 LightGBM，採用基於梯度的單邊採樣（GOSS）與互斥特徵捆綁（EFB）技術，在大規模資料集上顯著提升訓練效率。</w:t>
      </w:r>
    </w:p>
    <w:p>
      <w:pPr>
        <w:spacing w:before="60" w:after="80"/>
        <w:jc w:val="both"/>
      </w:pPr>
      <w:r>
        <w:rPr>
          <w:rFonts w:ascii="Times New Roman" w:cs="Times New Roman" w:eastAsia="標楷體" w:hAnsi="Times New Roman"/>
          <w:color w:val="1F497D"/>
          <w:sz w:val="24"/>
          <w:szCs w:val="24"/>
        </w:rPr>
        <w:t xml:space="preserve">機器學習方法的核心優勢在於特徵工程的靈活性——研究者可將滯後值（lag features）、滾動統計量、日曆特徵、氣象變數等多種資訊納入模型，學習複雜的非線性交互效應。然而，純機器學習方法對時間序列的趨勢成分與季節性成分的建模不如專門的時間序列模型直觀。</w:t>
      </w:r>
    </w:p>
    <w:p>
      <w:pPr>
        <w:pStyle w:val="Heading3"/>
        <w:spacing w:before="200" w:after="100"/>
      </w:pPr>
      <w:r>
        <w:rPr>
          <w:rFonts w:ascii="Times New Roman" w:cs="Times New Roman" w:eastAsia="標楷體" w:hAnsi="Times New Roman"/>
          <w:b/>
          <w:bCs/>
          <w:color w:val="2F5496"/>
          <w:sz w:val="24"/>
          <w:szCs w:val="24"/>
        </w:rPr>
        <w:t xml:space="preserve">2.1.3　可分解式預測模型</w:t>
      </w:r>
    </w:p>
    <w:p>
      <w:pPr>
        <w:spacing w:before="60" w:after="80"/>
        <w:jc w:val="both"/>
      </w:pPr>
      <w:r>
        <w:rPr>
          <w:rFonts w:ascii="Times New Roman" w:cs="Times New Roman" w:eastAsia="標楷體" w:hAnsi="Times New Roman"/>
          <w:color w:val="1F497D"/>
          <w:sz w:val="24"/>
          <w:szCs w:val="24"/>
        </w:rPr>
        <w:t xml:space="preserve">Facebook（現 Meta）於 2018 年發表的 Prophet 模型（Taylor &amp; Letham, 2018），採用可加或可乘式分解架構，將時間序列拆解為趨勢、季節性、假日效應與外生回歸項等成分。Prophet 的設計哲學是「讓分析師更容易產出合理的預測」，其自動化的變化點偵測（changepoint detection）與彈性的季節性建模，特別適合處理具有明顯年度週期性的農產品資料。</w:t>
      </w:r>
    </w:p>
    <w:p>
      <w:pPr>
        <w:spacing w:before="60" w:after="80"/>
        <w:jc w:val="both"/>
      </w:pPr>
      <w:r>
        <w:rPr>
          <w:rFonts w:ascii="Times New Roman" w:cs="Times New Roman" w:eastAsia="標楷體" w:hAnsi="Times New Roman"/>
          <w:color w:val="1F497D"/>
          <w:sz w:val="24"/>
          <w:szCs w:val="24"/>
        </w:rPr>
        <w:t xml:space="preserve">Prophet 的主要限制在於其本質上仍是曲線配適（curve fitting）方法，對短期序列相關性的捕獲能力不如 ARIMA 族系模型，且在資料量較少時預測不穩定性較高。</w:t>
      </w:r>
    </w:p>
    <w:p>
      <w:pPr>
        <w:pStyle w:val="Heading3"/>
        <w:spacing w:before="200" w:after="100"/>
      </w:pPr>
      <w:r>
        <w:rPr>
          <w:rFonts w:ascii="Times New Roman" w:cs="Times New Roman" w:eastAsia="標楷體" w:hAnsi="Times New Roman"/>
          <w:b/>
          <w:bCs/>
          <w:color w:val="2F5496"/>
          <w:sz w:val="24"/>
          <w:szCs w:val="24"/>
        </w:rPr>
        <w:t xml:space="preserve">2.1.4　集成學習方法</w:t>
      </w:r>
    </w:p>
    <w:p>
      <w:pPr>
        <w:spacing w:before="60" w:after="80"/>
        <w:jc w:val="both"/>
      </w:pPr>
      <w:r>
        <w:rPr>
          <w:rFonts w:ascii="Times New Roman" w:cs="Times New Roman" w:eastAsia="標楷體" w:hAnsi="Times New Roman"/>
          <w:color w:val="1F497D"/>
          <w:sz w:val="24"/>
          <w:szCs w:val="24"/>
        </w:rPr>
        <w:t xml:space="preserve">模型集成（Ensemble Learning）是提升預測穩健性的重要策略。常見的集成方法包括簡單平均、加權平均及堆疊（Stacking）。在農產品預測領域，部分研究採用反向預測誤差加權（Inverse Error Weighting）策略，根據各模型在驗證集上的表現動態分配權重，使表現較佳的模型獲得更高的影響力。</w:t>
      </w:r>
    </w:p>
    <w:p>
      <w:pPr>
        <w:spacing w:before="40" w:after="40"/>
      </w:pPr>
      <w:r>
        <w:rPr>
          <w:sz w:val="22"/>
          <w:szCs w:val="22"/>
        </w:rPr>
        <w:t xml:space="preserve"/>
      </w:r>
    </w:p>
    <w:p>
      <w:pPr>
        <w:pStyle w:val="Heading3"/>
        <w:spacing w:before="200" w:after="100"/>
      </w:pPr>
      <w:r>
        <w:rPr>
          <w:rFonts w:ascii="Times New Roman" w:cs="Times New Roman" w:eastAsia="標楷體" w:hAnsi="Times New Roman"/>
          <w:b/>
          <w:bCs/>
          <w:color w:val="2F5496"/>
          <w:sz w:val="24"/>
          <w:szCs w:val="24"/>
        </w:rPr>
        <w:t xml:space="preserve">2.1.5　四類預測方法綜合比較</w:t>
      </w:r>
    </w:p>
    <w:tbl>
      <w:tblPr>
        <w:tblW w:type="dxa" w:w="8666"/>
        <w:tblBorders>
          <w:top w:val="single" w:color="BFBFBF" w:sz="1"/>
          <w:left w:val="single" w:color="BFBFBF" w:sz="1"/>
          <w:bottom w:val="single" w:color="BFBFBF" w:sz="1"/>
          <w:right w:val="single" w:color="BFBFBF" w:sz="1"/>
          <w:insideH w:val="single" w:color="auto" w:sz="4"/>
          <w:insideV w:val="single" w:color="auto" w:sz="4"/>
        </w:tblBorders>
      </w:tblPr>
      <w:tblGrid>
        <w:gridCol w:w="1200"/>
        <w:gridCol w:w="2166"/>
        <w:gridCol w:w="2600"/>
        <w:gridCol w:w="2700"/>
      </w:tblGrid>
      <w:tr>
        <w:trPr>
          <w:tblHeader/>
        </w:trPr>
        <w:tc>
          <w:tcPr>
            <w:tcW w:type="dxa" w:w="12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方法類別</w:t>
            </w:r>
          </w:p>
        </w:tc>
        <w:tc>
          <w:tcPr>
            <w:tcW w:type="dxa" w:w="2166"/>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代表方法／文獻</w:t>
            </w:r>
          </w:p>
        </w:tc>
        <w:tc>
          <w:tcPr>
            <w:tcW w:type="dxa" w:w="26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優勢</w:t>
            </w:r>
          </w:p>
        </w:tc>
        <w:tc>
          <w:tcPr>
            <w:tcW w:type="dxa" w:w="2700"/>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限制</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傳統統計</w:t>
            </w:r>
          </w:p>
        </w:tc>
        <w:tc>
          <w:tcPr>
            <w:tcW w:type="dxa" w:w="21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ARIMA / SARIMA
(Box &amp; Jenkins, 1970;
Hyndman &amp; Khandakar, 2008)</w:t>
            </w:r>
          </w:p>
        </w:tc>
        <w:tc>
          <w:tcPr>
            <w:tcW w:type="dxa" w:w="26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理論成熟、可解釋性高、小樣本表現穩定</w:t>
            </w:r>
          </w:p>
        </w:tc>
        <w:tc>
          <w:tcPr>
            <w:tcW w:type="dxa" w:w="27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假設線性結構，難以捕獲非線性動態與外生衝擊</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機器學習</w:t>
            </w:r>
          </w:p>
        </w:tc>
        <w:tc>
          <w:tcPr>
            <w:tcW w:type="dxa" w:w="21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XGBoost (Chen &amp; Guestrin, 2016)
LightGBM (Ke et al., 2017)</w:t>
            </w:r>
          </w:p>
        </w:tc>
        <w:tc>
          <w:tcPr>
            <w:tcW w:type="dxa" w:w="26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特徵工程靈活、可納入多種外生變數、非線性建模能力強</w:t>
            </w:r>
          </w:p>
        </w:tc>
        <w:tc>
          <w:tcPr>
            <w:tcW w:type="dxa" w:w="27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對時間序列的趨勢與季節性成分建模不如專門模型直觀</w:t>
            </w:r>
          </w:p>
        </w:tc>
      </w:tr>
      <w:tr>
        <w:tc>
          <w:tcPr>
            <w:tcW w:type="dxa" w:w="12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可分解式</w:t>
            </w:r>
          </w:p>
        </w:tc>
        <w:tc>
          <w:tcPr>
            <w:tcW w:type="dxa" w:w="2166"/>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Prophet (Taylor &amp; Letham, 2018)</w:t>
            </w:r>
          </w:p>
        </w:tc>
        <w:tc>
          <w:tcPr>
            <w:tcW w:type="dxa" w:w="26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自動變化點偵測、季節性建模彈性高、易於使用</w:t>
            </w:r>
          </w:p>
        </w:tc>
        <w:tc>
          <w:tcPr>
            <w:tcW w:type="dxa" w:w="2700"/>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本質為曲線配適，對短期序列相關性捕獲能力較弱</w:t>
            </w:r>
          </w:p>
        </w:tc>
      </w:tr>
      <w:tr>
        <w:tc>
          <w:tcPr>
            <w:tcW w:type="dxa" w:w="12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集成學習</w:t>
            </w:r>
          </w:p>
        </w:tc>
        <w:tc>
          <w:tcPr>
            <w:tcW w:type="dxa" w:w="2166"/>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反向誤差加權 / Stacking</w:t>
            </w:r>
          </w:p>
        </w:tc>
        <w:tc>
          <w:tcPr>
            <w:tcW w:type="dxa" w:w="26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提升穩健性、自動適應最佳模型組合、權重透明</w:t>
            </w:r>
          </w:p>
        </w:tc>
        <w:tc>
          <w:tcPr>
            <w:tcW w:type="dxa" w:w="2700"/>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需訓練多個模型，計算成本較高</w:t>
            </w:r>
          </w:p>
        </w:tc>
      </w:tr>
    </w:tbl>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2.2　氣象因子與農產品價格關聯研究</w:t>
      </w:r>
    </w:p>
    <w:p>
      <w:pPr>
        <w:spacing w:before="60" w:after="80"/>
        <w:jc w:val="both"/>
      </w:pPr>
      <w:r>
        <w:rPr>
          <w:rFonts w:ascii="Times New Roman" w:cs="Times New Roman" w:eastAsia="標楷體" w:hAnsi="Times New Roman"/>
          <w:color w:val="1F497D"/>
          <w:sz w:val="24"/>
          <w:szCs w:val="24"/>
        </w:rPr>
        <w:t xml:space="preserve">氣象條件對農產品供給的影響已有豐富的實證研究。溫度、降雨量、濕度等氣象變數直接影響作物生長與產量，進而傳導至市場價格。針對台灣特殊的颱風風險，Su et al.（2025）以實證研究發現颱風對甘藍價格的衝擊具有明顯的非對稱性與延遲效應——颱風警報期間價格飆升的主因並非供給短缺，而是消費者恐慌搶購驅動的需求衝擊，且颱風後 1 至 2 個月內因供給真實短缺而出現第二波價格推升。</w:t>
      </w:r>
    </w:p>
    <w:p>
      <w:pPr>
        <w:spacing w:before="60" w:after="80"/>
        <w:jc w:val="both"/>
      </w:pPr>
      <w:r>
        <w:rPr>
          <w:rFonts w:ascii="Times New Roman" w:cs="Times New Roman" w:eastAsia="標楷體" w:hAnsi="Times New Roman"/>
          <w:color w:val="1F497D"/>
          <w:sz w:val="24"/>
          <w:szCs w:val="24"/>
        </w:rPr>
        <w:t xml:space="preserve">然而，現有研究多將颱風影響視為單一二元變數（有/無颱風），缺乏對颱風強度等級（輕度/中度/強度）、影響路徑及受影響縣市的精細建模。本研究設計七維颱風特徵向量，力求更全面地反映颱風對農產品價格之複雜影響機制（詳見第四章）。</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2.3　農業決策支援系統</w:t>
      </w:r>
    </w:p>
    <w:p>
      <w:pPr>
        <w:spacing w:before="60" w:after="80"/>
        <w:jc w:val="both"/>
      </w:pPr>
      <w:r>
        <w:rPr>
          <w:rFonts w:ascii="Times New Roman" w:cs="Times New Roman" w:eastAsia="標楷體" w:hAnsi="Times New Roman"/>
          <w:color w:val="1F497D"/>
          <w:sz w:val="24"/>
          <w:szCs w:val="24"/>
        </w:rPr>
        <w:t xml:space="preserve">農業決策支援系統（Agricultural Decision Support Systems, ADSS）的發展可追溯至 1980 年代的專家系統。現代 ADSS 強調資料驅動、視覺化導向與使用者友善的設計理念。然而，文獻中多數 ADSS 研究停留在概念架構或原型系統階段，缺乏完整的前後端實現與實際的資料整合，研究成果亦難以直接轉化為產業可用工具。</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2.4　研究缺口</w:t>
      </w:r>
    </w:p>
    <w:p>
      <w:pPr>
        <w:spacing w:before="60" w:after="80"/>
        <w:jc w:val="both"/>
      </w:pPr>
      <w:r>
        <w:rPr>
          <w:rFonts w:ascii="Times New Roman" w:cs="Times New Roman" w:eastAsia="標楷體" w:hAnsi="Times New Roman"/>
          <w:color w:val="1F497D"/>
          <w:sz w:val="24"/>
          <w:szCs w:val="24"/>
        </w:rPr>
        <w:t xml:space="preserve">綜合上述方法論基礎與相關文獻，本研究識別出以下五項研究缺口：</w:t>
      </w:r>
    </w:p>
    <w:p>
      <w:pPr>
        <w:spacing w:before="40" w:after="40"/>
      </w:pPr>
      <w:r>
        <w:rPr>
          <w:sz w:val="22"/>
          <w:szCs w:val="22"/>
        </w:rPr>
        <w:t xml:space="preserve"/>
      </w:r>
    </w:p>
    <w:tbl>
      <w:tblPr>
        <w:tblW w:type="dxa" w:w="8666"/>
        <w:tblBorders>
          <w:top w:val="single" w:color="BFBFBF" w:sz="1"/>
          <w:left w:val="single" w:color="BFBFBF" w:sz="1"/>
          <w:bottom w:val="single" w:color="BFBFBF" w:sz="1"/>
          <w:right w:val="single" w:color="BFBFBF" w:sz="1"/>
          <w:insideH w:val="single" w:color="auto" w:sz="4"/>
          <w:insideV w:val="single" w:color="auto" w:sz="4"/>
        </w:tblBorders>
      </w:tblPr>
      <w:tblGrid>
        <w:gridCol w:w="4333"/>
        <w:gridCol w:w="4333"/>
      </w:tblGrid>
      <w:tr>
        <w:trPr>
          <w:tblHeader/>
        </w:trPr>
        <w:tc>
          <w:tcPr>
            <w:tcW w:type="dxa" w:w="4333"/>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描述</w:t>
            </w:r>
          </w:p>
        </w:tc>
        <w:tc>
          <w:tcPr>
            <w:tcW w:type="dxa" w:w="4333"/>
            <w:shd w:fill="2E75B6" w:val="clear"/>
            <w:tcMar>
              <w:top w:type="dxa" w:w="80"/>
              <w:left w:type="dxa" w:w="120"/>
              <w:bottom w:type="dxa" w:w="80"/>
              <w:right w:type="dxa" w:w="120"/>
            </w:tcMar>
          </w:tcPr>
          <w:p>
            <w:pPr>
              <w:jc w:val="center"/>
            </w:pPr>
            <w:r>
              <w:rPr>
                <w:rFonts w:ascii="Times New Roman" w:cs="Times New Roman" w:eastAsia="標楷體" w:hAnsi="Times New Roman"/>
                <w:b/>
                <w:bCs/>
                <w:color w:val="FFFFFF"/>
                <w:sz w:val="20"/>
                <w:szCs w:val="20"/>
              </w:rPr>
              <w:t xml:space="preserve">本研究回應</w:t>
            </w:r>
          </w:p>
        </w:tc>
      </w:tr>
      <w:tr>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既有研究多採用單一模型，缺乏系統化的多模型集成框架</w:t>
            </w:r>
          </w:p>
        </w:tc>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建構 Prophet + SARIMA + XGBoost + LightGBM 四模型集成架構，採用反向 MAPE 加權策略</w:t>
            </w:r>
          </w:p>
        </w:tc>
      </w:tr>
      <w:tr>
        <w:tc>
          <w:tcPr>
            <w:tcW w:type="dxa" w:w="4333"/>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颱風影響的建模過於粗略（僅有/無二元變數）</w:t>
            </w:r>
          </w:p>
        </w:tc>
        <w:tc>
          <w:tcPr>
            <w:tcW w:type="dxa" w:w="4333"/>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設計七維颱風特徵向量：強度等級、颱風後 1/2 個月旗標、距上次颱風天數、颱風月份計數、極端降雨旗標</w:t>
            </w:r>
          </w:p>
        </w:tc>
      </w:tr>
      <w:tr>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多源異質資料（交易、氣象、產量、颱風）的整合方法缺乏系統化論述</w:t>
            </w:r>
          </w:p>
        </w:tc>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建立統一的資料管道，處理民國/西元轉換、日度/月度對齊、多站點縣市聚合等異質性問題</w:t>
            </w:r>
          </w:p>
        </w:tc>
      </w:tr>
      <w:tr>
        <w:tc>
          <w:tcPr>
            <w:tcW w:type="dxa" w:w="4333"/>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預測模型與實務應用之間的落差——研究成果難以轉化為可用工具</w:t>
            </w:r>
          </w:p>
        </w:tc>
        <w:tc>
          <w:tcPr>
            <w:tcW w:type="dxa" w:w="4333"/>
            <w:shd w:fill="FFFFFF" w:val="clear"/>
            <w:tcMar>
              <w:top w:type="dxa" w:w="60"/>
              <w:left w:type="dxa" w:w="120"/>
              <w:bottom w:type="dxa" w:w="60"/>
              <w:right w:type="dxa" w:w="120"/>
            </w:tcMar>
          </w:tcPr>
          <w:p>
            <w:r>
              <w:rPr>
                <w:rFonts w:ascii="Times New Roman" w:cs="Times New Roman" w:eastAsia="標楷體" w:hAnsi="Times New Roman"/>
                <w:sz w:val="20"/>
                <w:szCs w:val="20"/>
              </w:rPr>
              <w:t xml:space="preserve">開發完整的 Web 應用系統，包含互動式圖表、地圖視覺化、資料品質監控與自動排程</w:t>
            </w:r>
          </w:p>
        </w:tc>
      </w:tr>
      <w:tr>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缺乏針對台灣主要蔬菜的大規模系統化預測研究</w:t>
            </w:r>
          </w:p>
        </w:tc>
        <w:tc>
          <w:tcPr>
            <w:tcW w:type="dxa" w:w="4333"/>
            <w:shd w:fill="DEEAF1" w:val="clear"/>
            <w:tcMar>
              <w:top w:type="dxa" w:w="60"/>
              <w:left w:type="dxa" w:w="120"/>
              <w:bottom w:type="dxa" w:w="60"/>
              <w:right w:type="dxa" w:w="120"/>
            </w:tcMar>
          </w:tcPr>
          <w:p>
            <w:r>
              <w:rPr>
                <w:rFonts w:ascii="Times New Roman" w:cs="Times New Roman" w:eastAsia="標楷體" w:hAnsi="Times New Roman"/>
                <w:sz w:val="20"/>
                <w:szCs w:val="20"/>
              </w:rPr>
              <w:t xml:space="preserve">以甘藍為核心驗證作物，系統架構可擴充至 22 種作物，建立標準化的作物 JSON 配置檔架構</w:t>
            </w:r>
          </w:p>
        </w:tc>
      </w:tr>
    </w:tbl>
    <w:p>
      <w:pPr>
        <w:spacing w:before="40" w:after="40"/>
      </w:pPr>
      <w:r>
        <w:rPr>
          <w:sz w:val="22"/>
          <w:szCs w:val="22"/>
        </w:rPr>
        <w:t xml:space="preserve"/>
      </w:r>
    </w:p>
    <w:p>
      <w:pPr>
        <w:pStyle w:val="Heading1"/>
        <w:spacing w:before="360" w:after="200"/>
      </w:pPr>
      <w:r>
        <w:rPr>
          <w:rFonts w:ascii="Times New Roman" w:cs="Times New Roman" w:eastAsia="標楷體" w:hAnsi="Times New Roman"/>
          <w:b/>
          <w:bCs/>
          <w:color w:val="1F3864"/>
          <w:sz w:val="32"/>
          <w:szCs w:val="32"/>
        </w:rPr>
        <w:t xml:space="preserve">第三章　研究目的與問題</w:t>
      </w:r>
    </w:p>
    <w:p>
      <w:pPr>
        <w:pStyle w:val="Heading2"/>
        <w:spacing w:before="280" w:after="140"/>
      </w:pPr>
      <w:r>
        <w:rPr>
          <w:rFonts w:ascii="Times New Roman" w:cs="Times New Roman" w:eastAsia="標楷體" w:hAnsi="Times New Roman"/>
          <w:b/>
          <w:bCs/>
          <w:color w:val="2E75B6"/>
          <w:sz w:val="28"/>
          <w:szCs w:val="28"/>
        </w:rPr>
        <w:t xml:space="preserve">3.1　待解決的問題與服務對象</w:t>
      </w:r>
    </w:p>
    <w:p>
      <w:pPr>
        <w:pStyle w:val="Heading3"/>
        <w:spacing w:before="200" w:after="100"/>
      </w:pPr>
      <w:r>
        <w:rPr>
          <w:rFonts w:ascii="Times New Roman" w:cs="Times New Roman" w:eastAsia="標楷體" w:hAnsi="Times New Roman"/>
          <w:b/>
          <w:bCs/>
          <w:color w:val="2F5496"/>
          <w:sz w:val="24"/>
          <w:szCs w:val="24"/>
        </w:rPr>
        <w:t xml:space="preserve">3.1.1　核心問題</w:t>
      </w:r>
    </w:p>
    <w:p>
      <w:pPr>
        <w:spacing w:before="40" w:after="40"/>
      </w:pPr>
      <w:r>
        <w:rPr>
          <w:sz w:val="22"/>
          <w:szCs w:val="22"/>
        </w:rPr>
        <w:t xml:space="preserve"/>
      </w:r>
    </w:p>
    <w:p>
      <w:pPr>
        <w:pStyle w:val="Heading3"/>
        <w:spacing w:before="200" w:after="100"/>
      </w:pPr>
      <w:r>
        <w:rPr>
          <w:rFonts w:ascii="Times New Roman" w:cs="Times New Roman" w:eastAsia="標楷體" w:hAnsi="Times New Roman"/>
          <w:b/>
          <w:bCs/>
          <w:color w:val="2F5496"/>
          <w:sz w:val="24"/>
          <w:szCs w:val="24"/>
        </w:rPr>
        <w:t xml:space="preserve">3.1.2　服務對象</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3.2　研究目的</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3.3　研究問題</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3.4　研究範圍與限制</w:t>
      </w:r>
    </w:p>
    <w:p>
      <w:pPr>
        <w:spacing w:before="40" w:after="40"/>
      </w:pPr>
      <w:r>
        <w:rPr>
          <w:sz w:val="22"/>
          <w:szCs w:val="22"/>
        </w:rPr>
        <w:t xml:space="preserve"/>
      </w:r>
    </w:p>
    <w:p>
      <w:r>
        <w:br w:type="page"/>
      </w:r>
    </w:p>
    <w:p>
      <w:pPr>
        <w:pStyle w:val="Heading1"/>
        <w:spacing w:before="360" w:after="200"/>
      </w:pPr>
      <w:r>
        <w:rPr>
          <w:rFonts w:ascii="Times New Roman" w:cs="Times New Roman" w:eastAsia="標楷體" w:hAnsi="Times New Roman"/>
          <w:b/>
          <w:bCs/>
          <w:color w:val="1F3864"/>
          <w:sz w:val="32"/>
          <w:szCs w:val="32"/>
        </w:rPr>
        <w:t xml:space="preserve">第四章　研究設計</w:t>
      </w:r>
    </w:p>
    <w:p>
      <w:pPr>
        <w:pStyle w:val="Heading2"/>
        <w:spacing w:before="280" w:after="140"/>
      </w:pPr>
      <w:r>
        <w:rPr>
          <w:rFonts w:ascii="Times New Roman" w:cs="Times New Roman" w:eastAsia="標楷體" w:hAnsi="Times New Roman"/>
          <w:b/>
          <w:bCs/>
          <w:color w:val="2E75B6"/>
          <w:sz w:val="28"/>
          <w:szCs w:val="28"/>
        </w:rPr>
        <w:t xml:space="preserve">4.1　系統架構設計</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4.2　技術棧選型</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4.3　資料庫設計</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4.4　多模型集成預測框架</w:t>
      </w:r>
    </w:p>
    <w:p>
      <w:pPr>
        <w:pStyle w:val="Heading3"/>
        <w:spacing w:before="200" w:after="100"/>
      </w:pPr>
      <w:r>
        <w:rPr>
          <w:rFonts w:ascii="Times New Roman" w:cs="Times New Roman" w:eastAsia="標楷體" w:hAnsi="Times New Roman"/>
          <w:b/>
          <w:bCs/>
          <w:color w:val="2F5496"/>
          <w:sz w:val="24"/>
          <w:szCs w:val="24"/>
        </w:rPr>
        <w:t xml:space="preserve">4.4.1　框架概覽</w:t>
      </w:r>
    </w:p>
    <w:p>
      <w:pPr>
        <w:spacing w:before="40" w:after="40"/>
      </w:pPr>
      <w:r>
        <w:rPr>
          <w:sz w:val="22"/>
          <w:szCs w:val="22"/>
        </w:rPr>
        <w:t xml:space="preserve"/>
      </w:r>
    </w:p>
    <w:p>
      <w:pPr>
        <w:pStyle w:val="Heading3"/>
        <w:spacing w:before="200" w:after="100"/>
      </w:pPr>
      <w:r>
        <w:rPr>
          <w:rFonts w:ascii="Times New Roman" w:cs="Times New Roman" w:eastAsia="標楷體" w:hAnsi="Times New Roman"/>
          <w:b/>
          <w:bCs/>
          <w:color w:val="2F5496"/>
          <w:sz w:val="24"/>
          <w:szCs w:val="24"/>
        </w:rPr>
        <w:t xml:space="preserve">4.4.2　特徵工程體系</w:t>
      </w:r>
    </w:p>
    <w:p>
      <w:pPr>
        <w:spacing w:before="40" w:after="40"/>
      </w:pPr>
      <w:r>
        <w:rPr>
          <w:sz w:val="22"/>
          <w:szCs w:val="22"/>
        </w:rPr>
        <w:t xml:space="preserve"/>
      </w:r>
    </w:p>
    <w:p>
      <w:pPr>
        <w:pStyle w:val="Heading3"/>
        <w:spacing w:before="200" w:after="100"/>
      </w:pPr>
      <w:r>
        <w:rPr>
          <w:rFonts w:ascii="Times New Roman" w:cs="Times New Roman" w:eastAsia="標楷體" w:hAnsi="Times New Roman"/>
          <w:b/>
          <w:bCs/>
          <w:color w:val="2F5496"/>
          <w:sz w:val="24"/>
          <w:szCs w:val="24"/>
        </w:rPr>
        <w:t xml:space="preserve">4.4.3　集成權重計算</w:t>
      </w:r>
    </w:p>
    <w:p>
      <w:pPr>
        <w:spacing w:before="40" w:after="40"/>
      </w:pPr>
      <w:r>
        <w:rPr>
          <w:sz w:val="22"/>
          <w:szCs w:val="22"/>
        </w:rPr>
        <w:t xml:space="preserve"/>
      </w:r>
    </w:p>
    <w:p>
      <w:pPr>
        <w:pStyle w:val="Heading3"/>
        <w:spacing w:before="200" w:after="100"/>
      </w:pPr>
      <w:r>
        <w:rPr>
          <w:rFonts w:ascii="Times New Roman" w:cs="Times New Roman" w:eastAsia="標楷體" w:hAnsi="Times New Roman"/>
          <w:b/>
          <w:bCs/>
          <w:color w:val="2F5496"/>
          <w:sz w:val="24"/>
          <w:szCs w:val="24"/>
        </w:rPr>
        <w:t xml:space="preserve">4.4.4　訓練與評估流程</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4.5　自動化排程設計</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4.6　前端視覺化設計</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4.7　資料品質監控機制</w:t>
      </w:r>
    </w:p>
    <w:p>
      <w:pPr>
        <w:spacing w:before="40" w:after="40"/>
      </w:pPr>
      <w:r>
        <w:rPr>
          <w:sz w:val="22"/>
          <w:szCs w:val="22"/>
        </w:rPr>
        <w:t xml:space="preserve"/>
      </w:r>
    </w:p>
    <w:p>
      <w:r>
        <w:br w:type="page"/>
      </w:r>
    </w:p>
    <w:p>
      <w:pPr>
        <w:pStyle w:val="Heading1"/>
        <w:spacing w:before="360" w:after="200"/>
      </w:pPr>
      <w:r>
        <w:rPr>
          <w:rFonts w:ascii="Times New Roman" w:cs="Times New Roman" w:eastAsia="標楷體" w:hAnsi="Times New Roman"/>
          <w:b/>
          <w:bCs/>
          <w:color w:val="1F3864"/>
          <w:sz w:val="32"/>
          <w:szCs w:val="32"/>
        </w:rPr>
        <w:t xml:space="preserve">第五章　工作內容重點</w:t>
      </w:r>
    </w:p>
    <w:p>
      <w:pPr>
        <w:pStyle w:val="Heading2"/>
        <w:spacing w:before="280" w:after="140"/>
      </w:pPr>
      <w:r>
        <w:rPr>
          <w:rFonts w:ascii="Times New Roman" w:cs="Times New Roman" w:eastAsia="標楷體" w:hAnsi="Times New Roman"/>
          <w:b/>
          <w:bCs/>
          <w:color w:val="2E75B6"/>
          <w:sz w:val="28"/>
          <w:szCs w:val="28"/>
        </w:rPr>
        <w:t xml:space="preserve">5.1　工作項目</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5.2　預期貢獻</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5.3　關鍵績效指標（KPI）</w:t>
      </w:r>
    </w:p>
    <w:p>
      <w:pPr>
        <w:spacing w:before="40" w:after="40"/>
      </w:pPr>
      <w:r>
        <w:rPr>
          <w:sz w:val="22"/>
          <w:szCs w:val="22"/>
        </w:rPr>
        <w:t xml:space="preserve"/>
      </w:r>
    </w:p>
    <w:p>
      <w:pPr>
        <w:pStyle w:val="Heading2"/>
        <w:spacing w:before="280" w:after="140"/>
      </w:pPr>
      <w:r>
        <w:rPr>
          <w:rFonts w:ascii="Times New Roman" w:cs="Times New Roman" w:eastAsia="標楷體" w:hAnsi="Times New Roman"/>
          <w:b/>
          <w:bCs/>
          <w:color w:val="2E75B6"/>
          <w:sz w:val="28"/>
          <w:szCs w:val="28"/>
        </w:rPr>
        <w:t xml:space="preserve">5.4　專案時程規劃（六個月）</w:t>
      </w:r>
    </w:p>
    <w:p>
      <w:pPr>
        <w:spacing w:before="40" w:after="40"/>
      </w:pPr>
      <w:r>
        <w:rPr>
          <w:sz w:val="22"/>
          <w:szCs w:val="22"/>
        </w:rPr>
        <w:t xml:space="preserve"/>
      </w:r>
    </w:p>
    <w:p>
      <w:pPr>
        <w:pStyle w:val="Heading1"/>
        <w:spacing w:before="360" w:after="200"/>
      </w:pPr>
      <w:r>
        <w:rPr>
          <w:rFonts w:ascii="Times New Roman" w:cs="Times New Roman" w:eastAsia="標楷體" w:hAnsi="Times New Roman"/>
          <w:b/>
          <w:bCs/>
          <w:color w:val="1F3864"/>
          <w:sz w:val="32"/>
          <w:szCs w:val="32"/>
        </w:rPr>
        <w:t xml:space="preserve">參考文獻</w:t>
      </w:r>
    </w:p>
    <w:p>
      <w:pPr>
        <w:spacing w:before="40" w:after="80"/>
        <w:ind w:left="720" w:hanging="720"/>
        <w:jc w:val="both"/>
      </w:pPr>
      <w:r>
        <w:rPr>
          <w:rFonts w:ascii="Times New Roman" w:cs="Times New Roman" w:eastAsia="標楷體" w:hAnsi="Times New Roman"/>
          <w:color w:val="000000"/>
          <w:sz w:val="21"/>
          <w:szCs w:val="21"/>
        </w:rPr>
        <w:t xml:space="preserve">今周刊（2018年12月7日）。高麗菜又價崩！台灣菜價波動大問題出在哪？今周刊。https://www.businesstoday.com.tw/article/category/161153/post/201812070021/</w:t>
      </w:r>
    </w:p>
    <w:p>
      <w:pPr>
        <w:spacing w:before="40" w:after="80"/>
        <w:ind w:left="720" w:hanging="720"/>
        <w:jc w:val="both"/>
      </w:pPr>
      <w:r>
        <w:rPr>
          <w:rFonts w:ascii="Times New Roman" w:cs="Times New Roman" w:eastAsia="標楷體" w:hAnsi="Times New Roman"/>
          <w:color w:val="000000"/>
          <w:sz w:val="21"/>
          <w:szCs w:val="21"/>
        </w:rPr>
        <w:t xml:space="preserve">高雄市政府農業局（2020）。高雄農來訊。https://agri-data.kcg.gov.tw/</w:t>
      </w:r>
    </w:p>
    <w:p>
      <w:pPr>
        <w:spacing w:before="40" w:after="80"/>
        <w:ind w:left="720" w:hanging="720"/>
        <w:jc w:val="both"/>
      </w:pPr>
      <w:r>
        <w:rPr>
          <w:rFonts w:ascii="Times New Roman" w:cs="Times New Roman" w:eastAsia="標楷體" w:hAnsi="Times New Roman"/>
          <w:color w:val="000000"/>
          <w:sz w:val="21"/>
          <w:szCs w:val="21"/>
        </w:rPr>
        <w:t xml:space="preserve">雲林縣政府農業處（2021）。雲林數位農業行動平臺。https://agri-plus.yunlin.gov.tw/</w:t>
      </w:r>
    </w:p>
    <w:p>
      <w:pPr>
        <w:spacing w:before="40" w:after="80"/>
        <w:ind w:left="720" w:hanging="720"/>
        <w:jc w:val="both"/>
      </w:pPr>
      <w:r>
        <w:rPr>
          <w:rFonts w:ascii="Times New Roman" w:cs="Times New Roman" w:eastAsia="標楷體" w:hAnsi="Times New Roman"/>
          <w:color w:val="000000"/>
          <w:sz w:val="21"/>
          <w:szCs w:val="21"/>
        </w:rPr>
        <w:t xml:space="preserve">焦鈞（2024年11月3日）。高麗菜成為賭博菜的原因與解方：提升農業生產力、組織性，從源頭抑制產銷失衡。農傳媒。https://www.agriharvest.tw/archives/120511</w:t>
      </w:r>
    </w:p>
    <w:p>
      <w:pPr>
        <w:spacing w:before="40" w:after="80"/>
        <w:ind w:left="720" w:hanging="720"/>
        <w:jc w:val="both"/>
      </w:pPr>
      <w:r>
        <w:rPr>
          <w:rFonts w:ascii="Times New Roman" w:cs="Times New Roman" w:eastAsia="標楷體" w:hAnsi="Times New Roman"/>
          <w:color w:val="000000"/>
          <w:sz w:val="21"/>
          <w:szCs w:val="21"/>
        </w:rPr>
        <w:t xml:space="preserve">報導者（2021）。菜土菜金的高麗菜，能否從源頭管理、不再傳出價崩危機？報導者。https://www.twreporter.org/a/cabbage-overproduction-source-management</w:t>
      </w:r>
    </w:p>
    <w:p>
      <w:pPr>
        <w:spacing w:before="40" w:after="80"/>
        <w:ind w:left="720" w:hanging="720"/>
        <w:jc w:val="both"/>
      </w:pPr>
      <w:r>
        <w:rPr>
          <w:rFonts w:ascii="Times New Roman" w:cs="Times New Roman" w:eastAsia="標楷體" w:hAnsi="Times New Roman"/>
          <w:color w:val="000000"/>
          <w:sz w:val="21"/>
          <w:szCs w:val="21"/>
        </w:rPr>
        <w:t xml:space="preserve">農傳媒（2021年12月1日）。高麗菜菜金菜土年年循環，十大神農：賭的是天氣、老天爺做莊。農傳媒。https://www.agriharvest.tw/archives/70995/</w:t>
      </w:r>
    </w:p>
    <w:p>
      <w:pPr>
        <w:spacing w:before="40" w:after="80"/>
        <w:ind w:left="720" w:hanging="720"/>
        <w:jc w:val="both"/>
      </w:pPr>
      <w:r>
        <w:rPr>
          <w:rFonts w:ascii="Times New Roman" w:cs="Times New Roman" w:eastAsia="標楷體" w:hAnsi="Times New Roman"/>
          <w:color w:val="000000"/>
          <w:sz w:val="21"/>
          <w:szCs w:val="21"/>
        </w:rPr>
        <w:t xml:space="preserve">臺中市政府農業局（2025）。臺中農易通。https://agri-data.taichung.gov.tw/</w:t>
      </w:r>
    </w:p>
    <w:p>
      <w:pPr>
        <w:spacing w:before="40" w:after="40"/>
      </w:pPr>
      <w:r>
        <w:rPr>
          <w:sz w:val="22"/>
          <w:szCs w:val="22"/>
        </w:rPr>
        <w:t xml:space="preserve"/>
      </w:r>
    </w:p>
    <w:p>
      <w:pPr>
        <w:spacing w:before="40" w:after="80"/>
        <w:ind w:left="720" w:hanging="720"/>
        <w:jc w:val="both"/>
      </w:pPr>
      <w:r>
        <w:rPr>
          <w:rFonts w:ascii="Times New Roman" w:cs="Times New Roman" w:eastAsia="標楷體" w:hAnsi="Times New Roman"/>
          <w:color w:val="000000"/>
          <w:sz w:val="21"/>
          <w:szCs w:val="21"/>
        </w:rPr>
        <w:t xml:space="preserve">Box, G. E. P., &amp; Jenkins, G. M. (1970). Time series analysis: Forecasting and control. Holden-Day.</w:t>
      </w:r>
    </w:p>
    <w:p>
      <w:pPr>
        <w:spacing w:before="40" w:after="80"/>
        <w:ind w:left="720" w:hanging="720"/>
        <w:jc w:val="both"/>
      </w:pPr>
      <w:r>
        <w:rPr>
          <w:rFonts w:ascii="Times New Roman" w:cs="Times New Roman" w:eastAsia="標楷體" w:hAnsi="Times New Roman"/>
          <w:color w:val="000000"/>
          <w:sz w:val="21"/>
          <w:szCs w:val="21"/>
        </w:rPr>
        <w:t xml:space="preserve">Chen, T., &amp; Guestrin, C. (2016). XGBoost: A scalable tree boosting system. Proceedings of the 22nd ACM SIGKDD International Conference on Knowledge Discovery and Data Mining, 785–794. https://doi.org/10.1145/2939672.2939785</w:t>
      </w:r>
    </w:p>
    <w:p>
      <w:pPr>
        <w:spacing w:before="40" w:after="80"/>
        <w:ind w:left="720" w:hanging="720"/>
        <w:jc w:val="both"/>
      </w:pPr>
      <w:r>
        <w:rPr>
          <w:rFonts w:ascii="Times New Roman" w:cs="Times New Roman" w:eastAsia="標楷體" w:hAnsi="Times New Roman"/>
          <w:color w:val="000000"/>
          <w:sz w:val="21"/>
          <w:szCs w:val="21"/>
        </w:rPr>
        <w:t xml:space="preserve">Hsieh, C.-Y., Fang, S.-L., Wu, Y.-F., Chu, Y.-C., &amp; Kuo, B.-J. (2021). Using sigmoid growth curves to establish growth models of tomato and eggplant stems suitable for grafting in subtropical countries. Horticulturae, 7(12), 537. https://doi.org/10.3390/horticulturae7120537</w:t>
      </w:r>
    </w:p>
    <w:p>
      <w:pPr>
        <w:spacing w:before="40" w:after="80"/>
        <w:ind w:left="720" w:hanging="720"/>
        <w:jc w:val="both"/>
      </w:pPr>
      <w:r>
        <w:rPr>
          <w:rFonts w:ascii="Times New Roman" w:cs="Times New Roman" w:eastAsia="標楷體" w:hAnsi="Times New Roman"/>
          <w:color w:val="000000"/>
          <w:sz w:val="21"/>
          <w:szCs w:val="21"/>
        </w:rPr>
        <w:t xml:space="preserve">Hwang, Y.-W., Hsu, Y.-H., &amp; Chen, Y.-M. (2024). Impact of flowering temperature on litchi yield under climate change: A case study in Taiwan. Climate Services, 34, 100483. https://doi.org/10.1016/j.cliser.2024.100483</w:t>
      </w:r>
    </w:p>
    <w:p>
      <w:pPr>
        <w:spacing w:before="40" w:after="80"/>
        <w:ind w:left="720" w:hanging="720"/>
        <w:jc w:val="both"/>
      </w:pPr>
      <w:r>
        <w:rPr>
          <w:rFonts w:ascii="Times New Roman" w:cs="Times New Roman" w:eastAsia="標楷體" w:hAnsi="Times New Roman"/>
          <w:color w:val="000000"/>
          <w:sz w:val="21"/>
          <w:szCs w:val="21"/>
        </w:rPr>
        <w:t xml:space="preserve">Hyndman, R. J., &amp; Khandakar, Y. (2008). Automatic time series forecasting: The forecast package for R. Journal of Statistical Software, 27(3), 1–22. https://doi.org/10.18637/jss.v027.i03</w:t>
      </w:r>
    </w:p>
    <w:p>
      <w:pPr>
        <w:spacing w:before="40" w:after="80"/>
        <w:ind w:left="720" w:hanging="720"/>
        <w:jc w:val="both"/>
      </w:pPr>
      <w:r>
        <w:rPr>
          <w:rFonts w:ascii="Times New Roman" w:cs="Times New Roman" w:eastAsia="標楷體" w:hAnsi="Times New Roman"/>
          <w:color w:val="000000"/>
          <w:sz w:val="21"/>
          <w:szCs w:val="21"/>
        </w:rPr>
        <w:t xml:space="preserve">Hyndman, R. J., &amp; Koehler, A. B. (2006). Another look at measures of forecast accuracy. International Journal of Forecasting, 22(4), 679–688. https://doi.org/10.1016/j.ijforecast.2006.03.001</w:t>
      </w:r>
    </w:p>
    <w:p>
      <w:pPr>
        <w:spacing w:before="40" w:after="80"/>
        <w:ind w:left="720" w:hanging="720"/>
        <w:jc w:val="both"/>
      </w:pPr>
      <w:r>
        <w:rPr>
          <w:rFonts w:ascii="Times New Roman" w:cs="Times New Roman" w:eastAsia="標楷體" w:hAnsi="Times New Roman"/>
          <w:color w:val="000000"/>
          <w:sz w:val="21"/>
          <w:szCs w:val="21"/>
        </w:rPr>
        <w:t xml:space="preserve">Ke, G., Meng, Q., Finley, T., Wang, T., Chen, W., Ma, W., Ye, Q., &amp; Liu, T.-Y. (2017). LightGBM: A highly efficient gradient boosting decision tree. Advances in Neural Information Processing Systems, 30, 3146–3154.</w:t>
      </w:r>
    </w:p>
    <w:p>
      <w:pPr>
        <w:spacing w:before="40" w:after="80"/>
        <w:ind w:left="720" w:hanging="720"/>
        <w:jc w:val="both"/>
      </w:pPr>
      <w:r>
        <w:rPr>
          <w:rFonts w:ascii="Times New Roman" w:cs="Times New Roman" w:eastAsia="標楷體" w:hAnsi="Times New Roman"/>
          <w:color w:val="000000"/>
          <w:sz w:val="21"/>
          <w:szCs w:val="21"/>
        </w:rPr>
        <w:t xml:space="preserve">Peng, Y.-H., Hsu, C.-S., &amp; Huang, P.-C. (2015). Developing crop price forecasting service using open data from Taiwan markets. Proceedings of TAAI 2015, 172–175. IEEE. https://doi.org/10.1109/TAAI.2015.7407108</w:t>
      </w:r>
    </w:p>
    <w:p>
      <w:pPr>
        <w:spacing w:before="40" w:after="80"/>
        <w:ind w:left="720" w:hanging="720"/>
        <w:jc w:val="both"/>
      </w:pPr>
      <w:r>
        <w:rPr>
          <w:rFonts w:ascii="Times New Roman" w:cs="Times New Roman" w:eastAsia="標楷體" w:hAnsi="Times New Roman"/>
          <w:color w:val="000000"/>
          <w:sz w:val="21"/>
          <w:szCs w:val="21"/>
        </w:rPr>
        <w:t xml:space="preserve">Su, Y.-J., Liao, P.-A., &amp; Chang, H.-H. (2025). How does food market respond to natural disaster shocks? Evidence from the cabbage wholesale market. World Development, 190, 106950. https://doi.org/10.1016/j.worlddev.2025.106950</w:t>
      </w:r>
    </w:p>
    <w:p>
      <w:pPr>
        <w:spacing w:before="40" w:after="80"/>
        <w:ind w:left="720" w:hanging="720"/>
        <w:jc w:val="both"/>
      </w:pPr>
      <w:r>
        <w:rPr>
          <w:rFonts w:ascii="Times New Roman" w:cs="Times New Roman" w:eastAsia="標楷體" w:hAnsi="Times New Roman"/>
          <w:color w:val="000000"/>
          <w:sz w:val="21"/>
          <w:szCs w:val="21"/>
        </w:rPr>
        <w:t xml:space="preserve">Taylor, S. J., &amp; Letham, B. (2018). Forecasting at scale. The American Statistician, 72(1), 37–45. https://doi.org/10.1080/00031305.2017.1380080</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標楷體" w:hAnsi="Times New Roman"/>
      <w:b/>
      <w:bCs/>
      <w:color w:val="1F3864"/>
      <w:sz w:val="32"/>
      <w:szCs w:val="32"/>
    </w:rPr>
  </w:style>
  <w:style w:type="paragraph" w:styleId="Heading2">
    <w:name w:val="Heading 2"/>
    <w:basedOn w:val="Normal"/>
    <w:next w:val="Normal"/>
    <w:qFormat/>
    <w:pPr>
      <w:spacing w:before="280" w:after="140"/>
      <w:outlineLvl w:val="1"/>
    </w:pPr>
    <w:rPr>
      <w:rFonts w:ascii="Times New Roman" w:cs="Times New Roman" w:eastAsia="標楷體" w:hAnsi="Times New Roman"/>
      <w:b/>
      <w:bCs/>
      <w:color w:val="2E75B6"/>
      <w:sz w:val="28"/>
      <w:szCs w:val="28"/>
    </w:rPr>
  </w:style>
  <w:style w:type="paragraph" w:styleId="Heading3">
    <w:name w:val="Heading 3"/>
    <w:basedOn w:val="Normal"/>
    <w:next w:val="Normal"/>
    <w:qFormat/>
    <w:pPr>
      <w:spacing w:before="200" w:after="100"/>
      <w:outlineLvl w:val="2"/>
    </w:pPr>
    <w:rPr>
      <w:rFonts w:ascii="Times New Roman" w:cs="Times New Roman" w:eastAsia="標楷體" w:hAnsi="Times New Roman"/>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2026-03-29T11:41:26.231Z</dcterms:created>
  <dcterms:modified xsi:type="dcterms:W3CDTF">2026-03-29T11:41:26.232Z</dcterms:modified>
</cp:coreProperties>
</file>

<file path=docProps/custom.xml><?xml version="1.0" encoding="utf-8"?>
<Properties xmlns="http://schemas.openxmlformats.org/officeDocument/2006/custom-properties" xmlns:vt="http://schemas.openxmlformats.org/officeDocument/2006/docPropsVTypes"/>
</file>