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2394" w:rsidRDefault="001F7456">
      <w:pPr>
        <w:spacing w:before="2000" w:line="600" w:lineRule="exact"/>
        <w:jc w:val="center"/>
      </w:pPr>
      <w:r>
        <w:rPr>
          <w:rFonts w:eastAsia="標楷體"/>
          <w:b/>
          <w:bCs/>
          <w:sz w:val="36"/>
          <w:szCs w:val="36"/>
        </w:rPr>
        <w:t>制度壓力下臺灣</w:t>
      </w:r>
      <w:r w:rsidR="00D774D9">
        <w:rPr>
          <w:rFonts w:eastAsia="標楷體" w:hint="eastAsia"/>
          <w:b/>
          <w:bCs/>
          <w:sz w:val="36"/>
          <w:szCs w:val="36"/>
        </w:rPr>
        <w:t>企</w:t>
      </w:r>
      <w:r>
        <w:rPr>
          <w:rFonts w:eastAsia="標楷體" w:hint="eastAsia"/>
          <w:b/>
          <w:bCs/>
          <w:sz w:val="36"/>
          <w:szCs w:val="36"/>
        </w:rPr>
        <w:t>業</w:t>
      </w:r>
      <w:r w:rsidR="00933A5B">
        <w:rPr>
          <w:rFonts w:eastAsia="標楷體"/>
          <w:b/>
          <w:bCs/>
          <w:sz w:val="36"/>
          <w:szCs w:val="36"/>
        </w:rPr>
        <w:t xml:space="preserve"> ESG </w:t>
      </w:r>
      <w:proofErr w:type="gramStart"/>
      <w:r w:rsidR="00933A5B">
        <w:rPr>
          <w:rFonts w:eastAsia="標楷體"/>
          <w:b/>
          <w:bCs/>
          <w:sz w:val="36"/>
          <w:szCs w:val="36"/>
        </w:rPr>
        <w:t>採</w:t>
      </w:r>
      <w:proofErr w:type="gramEnd"/>
      <w:r w:rsidR="00933A5B">
        <w:rPr>
          <w:rFonts w:eastAsia="標楷體"/>
          <w:b/>
          <w:bCs/>
          <w:sz w:val="36"/>
          <w:szCs w:val="36"/>
        </w:rPr>
        <w:t>行方式</w:t>
      </w:r>
    </w:p>
    <w:p w:rsidR="00062394" w:rsidRDefault="00933A5B">
      <w:pPr>
        <w:spacing w:line="600" w:lineRule="exact"/>
        <w:jc w:val="center"/>
      </w:pPr>
      <w:r>
        <w:rPr>
          <w:rFonts w:eastAsia="標楷體"/>
          <w:b/>
          <w:bCs/>
          <w:sz w:val="36"/>
          <w:szCs w:val="36"/>
        </w:rPr>
        <w:t>與漂綠風險之探索性研究</w:t>
      </w:r>
    </w:p>
    <w:p w:rsidR="00062394" w:rsidRPr="00F56613" w:rsidRDefault="00933A5B">
      <w:pPr>
        <w:spacing w:before="400" w:after="2000" w:line="400" w:lineRule="exact"/>
        <w:jc w:val="center"/>
        <w:rPr>
          <w:color w:val="FFFFFF" w:themeColor="background1"/>
        </w:rPr>
      </w:pPr>
      <w:r w:rsidRPr="00F56613">
        <w:rPr>
          <w:rFonts w:eastAsia="標楷體"/>
          <w:i/>
          <w:iCs/>
          <w:color w:val="FFFFFF" w:themeColor="background1"/>
        </w:rPr>
        <w:t>An Exploratory Study on ESG Adoption and Greenwashing Risks of Taiwanese Firms under Institutional Pressures</w:t>
      </w:r>
    </w:p>
    <w:p w:rsidR="00062394" w:rsidRDefault="00933A5B">
      <w:pPr>
        <w:spacing w:before="200" w:after="200" w:line="400" w:lineRule="exact"/>
        <w:jc w:val="center"/>
      </w:pPr>
      <w:r>
        <w:rPr>
          <w:rFonts w:eastAsia="標楷體"/>
          <w:b/>
          <w:bCs/>
        </w:rPr>
        <w:t>學生姓名：</w:t>
      </w:r>
      <w:proofErr w:type="gramStart"/>
      <w:r>
        <w:rPr>
          <w:rFonts w:eastAsia="標楷體"/>
          <w:b/>
          <w:bCs/>
        </w:rPr>
        <w:t>鍾昀臻</w:t>
      </w:r>
      <w:proofErr w:type="gramEnd"/>
    </w:p>
    <w:p w:rsidR="00062394" w:rsidRDefault="00933A5B">
      <w:pPr>
        <w:spacing w:before="200" w:after="200" w:line="400" w:lineRule="exact"/>
        <w:jc w:val="center"/>
      </w:pPr>
      <w:r>
        <w:rPr>
          <w:rFonts w:eastAsia="標楷體"/>
          <w:b/>
          <w:bCs/>
        </w:rPr>
        <w:t>學</w:t>
      </w:r>
      <w:r>
        <w:rPr>
          <w:rFonts w:eastAsia="標楷體"/>
          <w:b/>
          <w:bCs/>
        </w:rPr>
        <w:t xml:space="preserve"> </w:t>
      </w:r>
      <w:r>
        <w:rPr>
          <w:rFonts w:eastAsia="標楷體"/>
          <w:b/>
          <w:bCs/>
        </w:rPr>
        <w:t>號：</w:t>
      </w:r>
      <w:r>
        <w:rPr>
          <w:rFonts w:eastAsia="標楷體"/>
          <w:b/>
          <w:bCs/>
        </w:rPr>
        <w:t>614526005</w:t>
      </w:r>
    </w:p>
    <w:p w:rsidR="00062394" w:rsidRDefault="00933A5B">
      <w:pPr>
        <w:spacing w:before="200" w:after="800" w:line="400" w:lineRule="exact"/>
        <w:jc w:val="center"/>
      </w:pPr>
      <w:r>
        <w:rPr>
          <w:rFonts w:eastAsia="標楷體"/>
          <w:b/>
          <w:bCs/>
        </w:rPr>
        <w:t>指導老師</w:t>
      </w:r>
      <w:r>
        <w:rPr>
          <w:rFonts w:eastAsia="標楷體"/>
          <w:b/>
          <w:bCs/>
        </w:rPr>
        <w:t xml:space="preserve">:  </w:t>
      </w:r>
      <w:r>
        <w:rPr>
          <w:rFonts w:eastAsia="標楷體"/>
          <w:b/>
          <w:bCs/>
        </w:rPr>
        <w:t>張碩毅</w:t>
      </w:r>
      <w:r>
        <w:rPr>
          <w:rFonts w:eastAsia="標楷體"/>
          <w:b/>
          <w:bCs/>
        </w:rPr>
        <w:t xml:space="preserve"> </w:t>
      </w:r>
      <w:r>
        <w:rPr>
          <w:rFonts w:eastAsia="標楷體"/>
          <w:b/>
          <w:bCs/>
        </w:rPr>
        <w:t>教授</w:t>
      </w:r>
    </w:p>
    <w:p w:rsidR="00062394" w:rsidRDefault="00933A5B">
      <w:pPr>
        <w:spacing w:before="200" w:after="200" w:line="400" w:lineRule="exact"/>
        <w:jc w:val="center"/>
      </w:pPr>
      <w:r>
        <w:rPr>
          <w:rFonts w:eastAsia="標楷體"/>
          <w:b/>
          <w:bCs/>
        </w:rPr>
        <w:t>國立中正大學管理學院</w:t>
      </w:r>
    </w:p>
    <w:p w:rsidR="00062394" w:rsidRDefault="00933A5B">
      <w:pPr>
        <w:spacing w:before="200" w:after="600" w:line="400" w:lineRule="exact"/>
        <w:jc w:val="center"/>
      </w:pPr>
      <w:r>
        <w:rPr>
          <w:rFonts w:eastAsia="標楷體"/>
          <w:b/>
          <w:bCs/>
        </w:rPr>
        <w:t>會計與資訊科技研究所</w:t>
      </w:r>
    </w:p>
    <w:p w:rsidR="00062394" w:rsidRDefault="00933A5B">
      <w:pPr>
        <w:spacing w:before="200" w:after="200" w:line="400" w:lineRule="exact"/>
        <w:jc w:val="center"/>
      </w:pPr>
      <w:r>
        <w:rPr>
          <w:rFonts w:eastAsia="標楷體"/>
          <w:b/>
          <w:bCs/>
        </w:rPr>
        <w:t>中華民國</w:t>
      </w:r>
      <w:r>
        <w:rPr>
          <w:rFonts w:eastAsia="標楷體"/>
          <w:b/>
          <w:bCs/>
        </w:rPr>
        <w:t xml:space="preserve"> 115 </w:t>
      </w:r>
      <w:r>
        <w:rPr>
          <w:rFonts w:eastAsia="標楷體"/>
          <w:b/>
          <w:bCs/>
        </w:rPr>
        <w:t>年</w:t>
      </w:r>
      <w:r>
        <w:rPr>
          <w:rFonts w:eastAsia="標楷體"/>
          <w:b/>
          <w:bCs/>
        </w:rPr>
        <w:t xml:space="preserve"> 4 </w:t>
      </w:r>
      <w:r>
        <w:rPr>
          <w:rFonts w:eastAsia="標楷體"/>
          <w:b/>
          <w:bCs/>
        </w:rPr>
        <w:t>月</w:t>
      </w:r>
    </w:p>
    <w:p w:rsidR="00062394" w:rsidRDefault="00062394">
      <w:pPr>
        <w:sectPr w:rsidR="00062394">
          <w:pgSz w:w="11906" w:h="16838"/>
          <w:pgMar w:top="1418" w:right="1418" w:bottom="1418" w:left="1418" w:header="720" w:footer="720" w:gutter="0"/>
          <w:cols w:space="720"/>
          <w:docGrid w:linePitch="360"/>
        </w:sectPr>
      </w:pPr>
    </w:p>
    <w:p w:rsidR="00062394" w:rsidRDefault="00933A5B">
      <w:pPr>
        <w:spacing w:after="400" w:line="400" w:lineRule="exact"/>
        <w:jc w:val="center"/>
      </w:pPr>
      <w:bookmarkStart w:id="0" w:name="_GoBack"/>
      <w:bookmarkEnd w:id="0"/>
      <w:r>
        <w:rPr>
          <w:rFonts w:eastAsia="標楷體"/>
          <w:b/>
          <w:bCs/>
          <w:sz w:val="32"/>
          <w:szCs w:val="32"/>
        </w:rPr>
        <w:lastRenderedPageBreak/>
        <w:t>目　錄</w:t>
      </w:r>
    </w:p>
    <w:sdt>
      <w:sdtPr>
        <w:alias w:val="Table of Contents"/>
        <w:id w:val="-3291150"/>
      </w:sdtPr>
      <w:sdtContent>
        <w:p w:rsidR="00EA0E93" w:rsidRDefault="00933A5B">
          <w:pPr>
            <w:pStyle w:val="11"/>
            <w:tabs>
              <w:tab w:val="right" w:leader="dot" w:pos="9060"/>
            </w:tabs>
            <w:rPr>
              <w:rFonts w:asciiTheme="minorHAnsi" w:hAnsiTheme="minorHAnsi" w:cstheme="minorBidi"/>
              <w:noProof/>
              <w:kern w:val="2"/>
              <w:szCs w:val="22"/>
            </w:rPr>
          </w:pPr>
          <w:r>
            <w:fldChar w:fldCharType="begin"/>
          </w:r>
          <w:r>
            <w:instrText>TOC \h \o "1-3"</w:instrText>
          </w:r>
          <w:r>
            <w:fldChar w:fldCharType="separate"/>
          </w:r>
          <w:hyperlink w:anchor="_Toc227942069" w:history="1">
            <w:r w:rsidR="00EA0E93" w:rsidRPr="00C475C7">
              <w:rPr>
                <w:rStyle w:val="a5"/>
                <w:rFonts w:eastAsia="標楷體" w:hint="eastAsia"/>
                <w:noProof/>
              </w:rPr>
              <w:t>壹、緒論</w:t>
            </w:r>
            <w:r w:rsidR="00EA0E93">
              <w:rPr>
                <w:noProof/>
              </w:rPr>
              <w:tab/>
            </w:r>
            <w:r w:rsidR="00EA0E93">
              <w:rPr>
                <w:noProof/>
              </w:rPr>
              <w:fldChar w:fldCharType="begin"/>
            </w:r>
            <w:r w:rsidR="00EA0E93">
              <w:rPr>
                <w:noProof/>
              </w:rPr>
              <w:instrText xml:space="preserve"> PAGEREF _Toc227942069 \h </w:instrText>
            </w:r>
            <w:r w:rsidR="00EA0E93">
              <w:rPr>
                <w:noProof/>
              </w:rPr>
            </w:r>
            <w:r w:rsidR="00EA0E93">
              <w:rPr>
                <w:noProof/>
              </w:rPr>
              <w:fldChar w:fldCharType="separate"/>
            </w:r>
            <w:r w:rsidR="00EA0E93">
              <w:rPr>
                <w:noProof/>
              </w:rPr>
              <w:t>4</w:t>
            </w:r>
            <w:r w:rsidR="00EA0E93">
              <w:rPr>
                <w:noProof/>
              </w:rPr>
              <w:fldChar w:fldCharType="end"/>
            </w:r>
          </w:hyperlink>
        </w:p>
        <w:p w:rsidR="00EA0E93" w:rsidRDefault="00EA0E93">
          <w:pPr>
            <w:pStyle w:val="20"/>
            <w:tabs>
              <w:tab w:val="right" w:leader="dot" w:pos="9060"/>
            </w:tabs>
            <w:rPr>
              <w:rFonts w:asciiTheme="minorHAnsi" w:hAnsiTheme="minorHAnsi" w:cstheme="minorBidi"/>
              <w:noProof/>
              <w:kern w:val="2"/>
              <w:szCs w:val="22"/>
            </w:rPr>
          </w:pPr>
          <w:hyperlink w:anchor="_Toc227942070" w:history="1">
            <w:r w:rsidRPr="00C475C7">
              <w:rPr>
                <w:rStyle w:val="a5"/>
                <w:rFonts w:eastAsia="標楷體" w:hint="eastAsia"/>
                <w:noProof/>
              </w:rPr>
              <w:t>一、研究背景與動機</w:t>
            </w:r>
            <w:r>
              <w:rPr>
                <w:noProof/>
              </w:rPr>
              <w:tab/>
            </w:r>
            <w:r>
              <w:rPr>
                <w:noProof/>
              </w:rPr>
              <w:fldChar w:fldCharType="begin"/>
            </w:r>
            <w:r>
              <w:rPr>
                <w:noProof/>
              </w:rPr>
              <w:instrText xml:space="preserve"> PAGEREF _Toc227942070 \h </w:instrText>
            </w:r>
            <w:r>
              <w:rPr>
                <w:noProof/>
              </w:rPr>
            </w:r>
            <w:r>
              <w:rPr>
                <w:noProof/>
              </w:rPr>
              <w:fldChar w:fldCharType="separate"/>
            </w:r>
            <w:r>
              <w:rPr>
                <w:noProof/>
              </w:rPr>
              <w:t>4</w:t>
            </w:r>
            <w:r>
              <w:rPr>
                <w:noProof/>
              </w:rPr>
              <w:fldChar w:fldCharType="end"/>
            </w:r>
          </w:hyperlink>
        </w:p>
        <w:p w:rsidR="00EA0E93" w:rsidRDefault="00EA0E93">
          <w:pPr>
            <w:pStyle w:val="20"/>
            <w:tabs>
              <w:tab w:val="right" w:leader="dot" w:pos="9060"/>
            </w:tabs>
            <w:rPr>
              <w:rFonts w:asciiTheme="minorHAnsi" w:hAnsiTheme="minorHAnsi" w:cstheme="minorBidi"/>
              <w:noProof/>
              <w:kern w:val="2"/>
              <w:szCs w:val="22"/>
            </w:rPr>
          </w:pPr>
          <w:hyperlink w:anchor="_Toc227942071" w:history="1">
            <w:r w:rsidRPr="00C475C7">
              <w:rPr>
                <w:rStyle w:val="a5"/>
                <w:rFonts w:eastAsia="標楷體" w:hint="eastAsia"/>
                <w:noProof/>
              </w:rPr>
              <w:t>二、研究目的</w:t>
            </w:r>
            <w:r>
              <w:rPr>
                <w:noProof/>
              </w:rPr>
              <w:tab/>
            </w:r>
            <w:r>
              <w:rPr>
                <w:noProof/>
              </w:rPr>
              <w:fldChar w:fldCharType="begin"/>
            </w:r>
            <w:r>
              <w:rPr>
                <w:noProof/>
              </w:rPr>
              <w:instrText xml:space="preserve"> PAGEREF _Toc227942071 \h </w:instrText>
            </w:r>
            <w:r>
              <w:rPr>
                <w:noProof/>
              </w:rPr>
            </w:r>
            <w:r>
              <w:rPr>
                <w:noProof/>
              </w:rPr>
              <w:fldChar w:fldCharType="separate"/>
            </w:r>
            <w:r>
              <w:rPr>
                <w:noProof/>
              </w:rPr>
              <w:t>4</w:t>
            </w:r>
            <w:r>
              <w:rPr>
                <w:noProof/>
              </w:rPr>
              <w:fldChar w:fldCharType="end"/>
            </w:r>
          </w:hyperlink>
        </w:p>
        <w:p w:rsidR="00EA0E93" w:rsidRDefault="00EA0E93">
          <w:pPr>
            <w:pStyle w:val="20"/>
            <w:tabs>
              <w:tab w:val="right" w:leader="dot" w:pos="9060"/>
            </w:tabs>
            <w:rPr>
              <w:rFonts w:asciiTheme="minorHAnsi" w:hAnsiTheme="minorHAnsi" w:cstheme="minorBidi"/>
              <w:noProof/>
              <w:kern w:val="2"/>
              <w:szCs w:val="22"/>
            </w:rPr>
          </w:pPr>
          <w:hyperlink w:anchor="_Toc227942072" w:history="1">
            <w:r w:rsidRPr="00C475C7">
              <w:rPr>
                <w:rStyle w:val="a5"/>
                <w:rFonts w:eastAsia="標楷體" w:hint="eastAsia"/>
                <w:noProof/>
              </w:rPr>
              <w:t>三、研究問題</w:t>
            </w:r>
            <w:r>
              <w:rPr>
                <w:noProof/>
              </w:rPr>
              <w:tab/>
            </w:r>
            <w:r>
              <w:rPr>
                <w:noProof/>
              </w:rPr>
              <w:fldChar w:fldCharType="begin"/>
            </w:r>
            <w:r>
              <w:rPr>
                <w:noProof/>
              </w:rPr>
              <w:instrText xml:space="preserve"> PAGEREF _Toc227942072 \h </w:instrText>
            </w:r>
            <w:r>
              <w:rPr>
                <w:noProof/>
              </w:rPr>
            </w:r>
            <w:r>
              <w:rPr>
                <w:noProof/>
              </w:rPr>
              <w:fldChar w:fldCharType="separate"/>
            </w:r>
            <w:r>
              <w:rPr>
                <w:noProof/>
              </w:rPr>
              <w:t>5</w:t>
            </w:r>
            <w:r>
              <w:rPr>
                <w:noProof/>
              </w:rPr>
              <w:fldChar w:fldCharType="end"/>
            </w:r>
          </w:hyperlink>
        </w:p>
        <w:p w:rsidR="00EA0E93" w:rsidRDefault="00EA0E93">
          <w:pPr>
            <w:pStyle w:val="11"/>
            <w:tabs>
              <w:tab w:val="right" w:leader="dot" w:pos="9060"/>
            </w:tabs>
            <w:rPr>
              <w:rFonts w:asciiTheme="minorHAnsi" w:hAnsiTheme="minorHAnsi" w:cstheme="minorBidi"/>
              <w:noProof/>
              <w:kern w:val="2"/>
              <w:szCs w:val="22"/>
            </w:rPr>
          </w:pPr>
          <w:hyperlink w:anchor="_Toc227942073" w:history="1">
            <w:r w:rsidRPr="00C475C7">
              <w:rPr>
                <w:rStyle w:val="a5"/>
                <w:rFonts w:eastAsia="標楷體" w:hint="eastAsia"/>
                <w:noProof/>
              </w:rPr>
              <w:t>貳、文獻探討</w:t>
            </w:r>
            <w:r>
              <w:rPr>
                <w:noProof/>
              </w:rPr>
              <w:tab/>
            </w:r>
            <w:r>
              <w:rPr>
                <w:noProof/>
              </w:rPr>
              <w:fldChar w:fldCharType="begin"/>
            </w:r>
            <w:r>
              <w:rPr>
                <w:noProof/>
              </w:rPr>
              <w:instrText xml:space="preserve"> PAGEREF _Toc227942073 \h </w:instrText>
            </w:r>
            <w:r>
              <w:rPr>
                <w:noProof/>
              </w:rPr>
            </w:r>
            <w:r>
              <w:rPr>
                <w:noProof/>
              </w:rPr>
              <w:fldChar w:fldCharType="separate"/>
            </w:r>
            <w:r>
              <w:rPr>
                <w:noProof/>
              </w:rPr>
              <w:t>6</w:t>
            </w:r>
            <w:r>
              <w:rPr>
                <w:noProof/>
              </w:rPr>
              <w:fldChar w:fldCharType="end"/>
            </w:r>
          </w:hyperlink>
        </w:p>
        <w:p w:rsidR="00EA0E93" w:rsidRDefault="00EA0E93">
          <w:pPr>
            <w:pStyle w:val="20"/>
            <w:tabs>
              <w:tab w:val="right" w:leader="dot" w:pos="9060"/>
            </w:tabs>
            <w:rPr>
              <w:rFonts w:asciiTheme="minorHAnsi" w:hAnsiTheme="minorHAnsi" w:cstheme="minorBidi"/>
              <w:noProof/>
              <w:kern w:val="2"/>
              <w:szCs w:val="22"/>
            </w:rPr>
          </w:pPr>
          <w:hyperlink w:anchor="_Toc227942074" w:history="1">
            <w:r w:rsidRPr="00C475C7">
              <w:rPr>
                <w:rStyle w:val="a5"/>
                <w:rFonts w:eastAsia="標楷體" w:hint="eastAsia"/>
                <w:noProof/>
              </w:rPr>
              <w:t>一、制度理論與金融業</w:t>
            </w:r>
            <w:r w:rsidRPr="00C475C7">
              <w:rPr>
                <w:rStyle w:val="a5"/>
                <w:rFonts w:eastAsia="標楷體"/>
                <w:noProof/>
              </w:rPr>
              <w:t xml:space="preserve"> ESG </w:t>
            </w:r>
            <w:r w:rsidRPr="00C475C7">
              <w:rPr>
                <w:rStyle w:val="a5"/>
                <w:rFonts w:eastAsia="標楷體" w:hint="eastAsia"/>
                <w:noProof/>
              </w:rPr>
              <w:t>採行動機</w:t>
            </w:r>
            <w:r>
              <w:rPr>
                <w:noProof/>
              </w:rPr>
              <w:tab/>
            </w:r>
            <w:r>
              <w:rPr>
                <w:noProof/>
              </w:rPr>
              <w:fldChar w:fldCharType="begin"/>
            </w:r>
            <w:r>
              <w:rPr>
                <w:noProof/>
              </w:rPr>
              <w:instrText xml:space="preserve"> PAGEREF _Toc227942074 \h </w:instrText>
            </w:r>
            <w:r>
              <w:rPr>
                <w:noProof/>
              </w:rPr>
            </w:r>
            <w:r>
              <w:rPr>
                <w:noProof/>
              </w:rPr>
              <w:fldChar w:fldCharType="separate"/>
            </w:r>
            <w:r>
              <w:rPr>
                <w:noProof/>
              </w:rPr>
              <w:t>6</w:t>
            </w:r>
            <w:r>
              <w:rPr>
                <w:noProof/>
              </w:rPr>
              <w:fldChar w:fldCharType="end"/>
            </w:r>
          </w:hyperlink>
        </w:p>
        <w:p w:rsidR="00EA0E93" w:rsidRDefault="00EA0E93">
          <w:pPr>
            <w:pStyle w:val="20"/>
            <w:tabs>
              <w:tab w:val="right" w:leader="dot" w:pos="9060"/>
            </w:tabs>
            <w:rPr>
              <w:rFonts w:asciiTheme="minorHAnsi" w:hAnsiTheme="minorHAnsi" w:cstheme="minorBidi"/>
              <w:noProof/>
              <w:kern w:val="2"/>
              <w:szCs w:val="22"/>
            </w:rPr>
          </w:pPr>
          <w:hyperlink w:anchor="_Toc227942075" w:history="1">
            <w:r w:rsidRPr="00C475C7">
              <w:rPr>
                <w:rStyle w:val="a5"/>
                <w:rFonts w:eastAsia="標楷體" w:hint="eastAsia"/>
                <w:noProof/>
              </w:rPr>
              <w:t>二、實質採行與形式採行之區分</w:t>
            </w:r>
            <w:r>
              <w:rPr>
                <w:noProof/>
              </w:rPr>
              <w:tab/>
            </w:r>
            <w:r>
              <w:rPr>
                <w:noProof/>
              </w:rPr>
              <w:fldChar w:fldCharType="begin"/>
            </w:r>
            <w:r>
              <w:rPr>
                <w:noProof/>
              </w:rPr>
              <w:instrText xml:space="preserve"> PAGEREF _Toc227942075 \h </w:instrText>
            </w:r>
            <w:r>
              <w:rPr>
                <w:noProof/>
              </w:rPr>
            </w:r>
            <w:r>
              <w:rPr>
                <w:noProof/>
              </w:rPr>
              <w:fldChar w:fldCharType="separate"/>
            </w:r>
            <w:r>
              <w:rPr>
                <w:noProof/>
              </w:rPr>
              <w:t>6</w:t>
            </w:r>
            <w:r>
              <w:rPr>
                <w:noProof/>
              </w:rPr>
              <w:fldChar w:fldCharType="end"/>
            </w:r>
          </w:hyperlink>
        </w:p>
        <w:p w:rsidR="00EA0E93" w:rsidRDefault="00EA0E93">
          <w:pPr>
            <w:pStyle w:val="20"/>
            <w:tabs>
              <w:tab w:val="right" w:leader="dot" w:pos="9060"/>
            </w:tabs>
            <w:rPr>
              <w:rFonts w:asciiTheme="minorHAnsi" w:hAnsiTheme="minorHAnsi" w:cstheme="minorBidi"/>
              <w:noProof/>
              <w:kern w:val="2"/>
              <w:szCs w:val="22"/>
            </w:rPr>
          </w:pPr>
          <w:hyperlink w:anchor="_Toc227942076" w:history="1">
            <w:r w:rsidRPr="00C475C7">
              <w:rPr>
                <w:rStyle w:val="a5"/>
                <w:rFonts w:eastAsia="標楷體" w:hint="eastAsia"/>
                <w:noProof/>
              </w:rPr>
              <w:t>三、金融業</w:t>
            </w:r>
            <w:r w:rsidRPr="00C475C7">
              <w:rPr>
                <w:rStyle w:val="a5"/>
                <w:rFonts w:eastAsia="標楷體"/>
                <w:noProof/>
              </w:rPr>
              <w:t xml:space="preserve"> ESG </w:t>
            </w:r>
            <w:r w:rsidRPr="00C475C7">
              <w:rPr>
                <w:rStyle w:val="a5"/>
                <w:rFonts w:eastAsia="標楷體" w:hint="eastAsia"/>
                <w:noProof/>
              </w:rPr>
              <w:t>資訊品質與漂綠風險</w:t>
            </w:r>
            <w:r>
              <w:rPr>
                <w:noProof/>
              </w:rPr>
              <w:tab/>
            </w:r>
            <w:r>
              <w:rPr>
                <w:noProof/>
              </w:rPr>
              <w:fldChar w:fldCharType="begin"/>
            </w:r>
            <w:r>
              <w:rPr>
                <w:noProof/>
              </w:rPr>
              <w:instrText xml:space="preserve"> PAGEREF _Toc227942076 \h </w:instrText>
            </w:r>
            <w:r>
              <w:rPr>
                <w:noProof/>
              </w:rPr>
            </w:r>
            <w:r>
              <w:rPr>
                <w:noProof/>
              </w:rPr>
              <w:fldChar w:fldCharType="separate"/>
            </w:r>
            <w:r>
              <w:rPr>
                <w:noProof/>
              </w:rPr>
              <w:t>7</w:t>
            </w:r>
            <w:r>
              <w:rPr>
                <w:noProof/>
              </w:rPr>
              <w:fldChar w:fldCharType="end"/>
            </w:r>
          </w:hyperlink>
        </w:p>
        <w:p w:rsidR="00EA0E93" w:rsidRDefault="00EA0E93">
          <w:pPr>
            <w:pStyle w:val="20"/>
            <w:tabs>
              <w:tab w:val="right" w:leader="dot" w:pos="9060"/>
            </w:tabs>
            <w:rPr>
              <w:rFonts w:asciiTheme="minorHAnsi" w:hAnsiTheme="minorHAnsi" w:cstheme="minorBidi"/>
              <w:noProof/>
              <w:kern w:val="2"/>
              <w:szCs w:val="22"/>
            </w:rPr>
          </w:pPr>
          <w:hyperlink w:anchor="_Toc227942077" w:history="1">
            <w:r w:rsidRPr="00C475C7">
              <w:rPr>
                <w:rStyle w:val="a5"/>
                <w:rFonts w:eastAsia="標楷體" w:hint="eastAsia"/>
                <w:noProof/>
              </w:rPr>
              <w:t>四、文獻小結與研究缺口</w:t>
            </w:r>
            <w:r>
              <w:rPr>
                <w:noProof/>
              </w:rPr>
              <w:tab/>
            </w:r>
            <w:r>
              <w:rPr>
                <w:noProof/>
              </w:rPr>
              <w:fldChar w:fldCharType="begin"/>
            </w:r>
            <w:r>
              <w:rPr>
                <w:noProof/>
              </w:rPr>
              <w:instrText xml:space="preserve"> PAGEREF _Toc227942077 \h </w:instrText>
            </w:r>
            <w:r>
              <w:rPr>
                <w:noProof/>
              </w:rPr>
            </w:r>
            <w:r>
              <w:rPr>
                <w:noProof/>
              </w:rPr>
              <w:fldChar w:fldCharType="separate"/>
            </w:r>
            <w:r>
              <w:rPr>
                <w:noProof/>
              </w:rPr>
              <w:t>8</w:t>
            </w:r>
            <w:r>
              <w:rPr>
                <w:noProof/>
              </w:rPr>
              <w:fldChar w:fldCharType="end"/>
            </w:r>
          </w:hyperlink>
        </w:p>
        <w:p w:rsidR="00EA0E93" w:rsidRDefault="00EA0E93">
          <w:pPr>
            <w:pStyle w:val="11"/>
            <w:tabs>
              <w:tab w:val="right" w:leader="dot" w:pos="9060"/>
            </w:tabs>
            <w:rPr>
              <w:rFonts w:asciiTheme="minorHAnsi" w:hAnsiTheme="minorHAnsi" w:cstheme="minorBidi"/>
              <w:noProof/>
              <w:kern w:val="2"/>
              <w:szCs w:val="22"/>
            </w:rPr>
          </w:pPr>
          <w:hyperlink w:anchor="_Toc227942078" w:history="1">
            <w:r w:rsidRPr="00C475C7">
              <w:rPr>
                <w:rStyle w:val="a5"/>
                <w:rFonts w:eastAsia="標楷體" w:hint="eastAsia"/>
                <w:noProof/>
              </w:rPr>
              <w:t>參、研究架構與預期貢獻</w:t>
            </w:r>
            <w:r>
              <w:rPr>
                <w:noProof/>
              </w:rPr>
              <w:tab/>
            </w:r>
            <w:r>
              <w:rPr>
                <w:noProof/>
              </w:rPr>
              <w:fldChar w:fldCharType="begin"/>
            </w:r>
            <w:r>
              <w:rPr>
                <w:noProof/>
              </w:rPr>
              <w:instrText xml:space="preserve"> PAGEREF _Toc227942078 \h </w:instrText>
            </w:r>
            <w:r>
              <w:rPr>
                <w:noProof/>
              </w:rPr>
            </w:r>
            <w:r>
              <w:rPr>
                <w:noProof/>
              </w:rPr>
              <w:fldChar w:fldCharType="separate"/>
            </w:r>
            <w:r>
              <w:rPr>
                <w:noProof/>
              </w:rPr>
              <w:t>9</w:t>
            </w:r>
            <w:r>
              <w:rPr>
                <w:noProof/>
              </w:rPr>
              <w:fldChar w:fldCharType="end"/>
            </w:r>
          </w:hyperlink>
        </w:p>
        <w:p w:rsidR="00EA0E93" w:rsidRDefault="00EA0E93">
          <w:pPr>
            <w:pStyle w:val="11"/>
            <w:tabs>
              <w:tab w:val="right" w:leader="dot" w:pos="9060"/>
            </w:tabs>
            <w:rPr>
              <w:rFonts w:asciiTheme="minorHAnsi" w:hAnsiTheme="minorHAnsi" w:cstheme="minorBidi"/>
              <w:noProof/>
              <w:kern w:val="2"/>
              <w:szCs w:val="22"/>
            </w:rPr>
          </w:pPr>
          <w:hyperlink w:anchor="_Toc227942079" w:history="1">
            <w:r w:rsidRPr="00C475C7">
              <w:rPr>
                <w:rStyle w:val="a5"/>
                <w:rFonts w:eastAsia="標楷體" w:hint="eastAsia"/>
                <w:noProof/>
              </w:rPr>
              <w:t>參考文獻</w:t>
            </w:r>
            <w:r>
              <w:rPr>
                <w:noProof/>
              </w:rPr>
              <w:tab/>
            </w:r>
            <w:r>
              <w:rPr>
                <w:noProof/>
              </w:rPr>
              <w:fldChar w:fldCharType="begin"/>
            </w:r>
            <w:r>
              <w:rPr>
                <w:noProof/>
              </w:rPr>
              <w:instrText xml:space="preserve"> PAGEREF _Toc227942079 \h </w:instrText>
            </w:r>
            <w:r>
              <w:rPr>
                <w:noProof/>
              </w:rPr>
            </w:r>
            <w:r>
              <w:rPr>
                <w:noProof/>
              </w:rPr>
              <w:fldChar w:fldCharType="separate"/>
            </w:r>
            <w:r>
              <w:rPr>
                <w:noProof/>
              </w:rPr>
              <w:t>11</w:t>
            </w:r>
            <w:r>
              <w:rPr>
                <w:noProof/>
              </w:rPr>
              <w:fldChar w:fldCharType="end"/>
            </w:r>
          </w:hyperlink>
        </w:p>
        <w:p w:rsidR="00062394" w:rsidRDefault="00933A5B">
          <w:r>
            <w:fldChar w:fldCharType="end"/>
          </w:r>
        </w:p>
      </w:sdtContent>
    </w:sdt>
    <w:p w:rsidR="00062394" w:rsidRDefault="00933A5B">
      <w:r>
        <w:br w:type="page"/>
      </w:r>
    </w:p>
    <w:p w:rsidR="00062394" w:rsidRDefault="00933A5B">
      <w:pPr>
        <w:spacing w:after="400" w:line="400" w:lineRule="exact"/>
        <w:jc w:val="center"/>
        <w:outlineLvl w:val="0"/>
      </w:pPr>
      <w:r>
        <w:rPr>
          <w:rFonts w:eastAsia="標楷體"/>
          <w:b/>
          <w:bCs/>
          <w:sz w:val="32"/>
          <w:szCs w:val="32"/>
        </w:rPr>
        <w:lastRenderedPageBreak/>
        <w:t>摘　要</w:t>
      </w:r>
    </w:p>
    <w:p w:rsidR="00062394" w:rsidRDefault="00933A5B">
      <w:pPr>
        <w:spacing w:before="150" w:after="150" w:line="300" w:lineRule="exact"/>
        <w:ind w:firstLine="482"/>
        <w:jc w:val="both"/>
      </w:pPr>
      <w:r>
        <w:rPr>
          <w:rFonts w:eastAsia="標楷體"/>
        </w:rPr>
        <w:t>在全球永續發展趨勢下，臺灣金融監督管理委員會自民國</w:t>
      </w:r>
      <w:r>
        <w:rPr>
          <w:rFonts w:eastAsia="標楷體"/>
        </w:rPr>
        <w:t xml:space="preserve"> 111 </w:t>
      </w:r>
      <w:r>
        <w:rPr>
          <w:rFonts w:eastAsia="標楷體"/>
        </w:rPr>
        <w:t>年起推動上市櫃公司分階段編製永續報告書與溫室氣體盤查，使企業面臨多重制度壓力。然而，有申報不等於有落實，部分企業之</w:t>
      </w:r>
      <w:r>
        <w:rPr>
          <w:rFonts w:eastAsia="標楷體"/>
        </w:rPr>
        <w:t xml:space="preserve"> ESG </w:t>
      </w:r>
      <w:r>
        <w:rPr>
          <w:rFonts w:eastAsia="標楷體"/>
        </w:rPr>
        <w:t>採行呈現「形式合規」而非「實質行動」，形成漂綠風險。本研究以制度理論為基礎，進行探索性研究，旨在探討臺灣企業在不同制度壓力下推動</w:t>
      </w:r>
      <w:r>
        <w:rPr>
          <w:rFonts w:eastAsia="標楷體"/>
        </w:rPr>
        <w:t xml:space="preserve"> ESG </w:t>
      </w:r>
      <w:r>
        <w:rPr>
          <w:rFonts w:eastAsia="標楷體"/>
        </w:rPr>
        <w:t>的動機差異，分析動機如何導致實質採行與形式採行的行為差異，並檢視不同採行方式對</w:t>
      </w:r>
      <w:r>
        <w:rPr>
          <w:rFonts w:eastAsia="標楷體"/>
        </w:rPr>
        <w:t xml:space="preserve"> ESG </w:t>
      </w:r>
      <w:r>
        <w:rPr>
          <w:rFonts w:eastAsia="標楷體"/>
        </w:rPr>
        <w:t>資訊品質與漂綠風險的影響。</w:t>
      </w:r>
    </w:p>
    <w:p w:rsidR="00062394" w:rsidRDefault="00933A5B">
      <w:pPr>
        <w:spacing w:before="150" w:after="150" w:line="300" w:lineRule="exact"/>
        <w:ind w:firstLine="482"/>
        <w:jc w:val="both"/>
      </w:pPr>
      <w:r>
        <w:rPr>
          <w:rFonts w:eastAsia="標楷體"/>
        </w:rPr>
        <w:t>研究採用文獻歸納與次級資料分析相結合的方式，整合國內相關學位論文之研究發現，以及金管會政策文件、證交所</w:t>
      </w:r>
      <w:r>
        <w:rPr>
          <w:rFonts w:eastAsia="標楷體"/>
        </w:rPr>
        <w:t xml:space="preserve"> ESG </w:t>
      </w:r>
      <w:r>
        <w:rPr>
          <w:rFonts w:eastAsia="標楷體"/>
        </w:rPr>
        <w:t>數位平台與上市櫃公司永續報告書等公開資料，建構「制度壓力</w:t>
      </w:r>
      <w:r>
        <w:rPr>
          <w:rFonts w:eastAsia="標楷體"/>
        </w:rPr>
        <w:t>→</w:t>
      </w:r>
      <w:r>
        <w:rPr>
          <w:rFonts w:eastAsia="標楷體"/>
        </w:rPr>
        <w:t>採行動機</w:t>
      </w:r>
      <w:r>
        <w:rPr>
          <w:rFonts w:eastAsia="標楷體"/>
        </w:rPr>
        <w:t>→</w:t>
      </w:r>
      <w:r>
        <w:rPr>
          <w:rFonts w:eastAsia="標楷體"/>
        </w:rPr>
        <w:t>採行方式</w:t>
      </w:r>
      <w:r>
        <w:rPr>
          <w:rFonts w:eastAsia="標楷體"/>
        </w:rPr>
        <w:t>→</w:t>
      </w:r>
      <w:r>
        <w:rPr>
          <w:rFonts w:eastAsia="標楷體"/>
        </w:rPr>
        <w:t>漂綠風險」之因果分析架構，並綜合文獻歸納出六項區分實質採行與形式採行之判斷指標。本研究選取金融業作為示範性分析之對象產業，預期在學術面填補現有文獻之研究缺口，在實務面為主管機關與企業防範漂綠提供參考。</w:t>
      </w:r>
    </w:p>
    <w:p w:rsidR="00062394" w:rsidRDefault="00933A5B">
      <w:pPr>
        <w:spacing w:before="300" w:after="100" w:line="300" w:lineRule="exact"/>
        <w:ind w:firstLine="482"/>
        <w:jc w:val="both"/>
      </w:pPr>
      <w:r>
        <w:rPr>
          <w:rFonts w:eastAsia="標楷體"/>
          <w:b/>
          <w:bCs/>
        </w:rPr>
        <w:t>關鍵字：</w:t>
      </w:r>
      <w:r>
        <w:rPr>
          <w:rFonts w:eastAsia="標楷體"/>
        </w:rPr>
        <w:t>制度理論、</w:t>
      </w:r>
      <w:r>
        <w:rPr>
          <w:rFonts w:eastAsia="標楷體"/>
        </w:rPr>
        <w:t>ESG</w:t>
      </w:r>
      <w:r>
        <w:rPr>
          <w:rFonts w:eastAsia="標楷體"/>
        </w:rPr>
        <w:t>、漂綠、永續報告書、金融業</w:t>
      </w:r>
    </w:p>
    <w:p w:rsidR="00062394" w:rsidRDefault="00933A5B">
      <w:r>
        <w:br w:type="page"/>
      </w:r>
    </w:p>
    <w:p w:rsidR="00062394" w:rsidRDefault="00933A5B">
      <w:pPr>
        <w:pStyle w:val="1"/>
      </w:pPr>
      <w:bookmarkStart w:id="1" w:name="_Toc227942069"/>
      <w:r>
        <w:rPr>
          <w:rFonts w:eastAsia="標楷體"/>
        </w:rPr>
        <w:lastRenderedPageBreak/>
        <w:t>壹、緒論</w:t>
      </w:r>
      <w:bookmarkEnd w:id="1"/>
    </w:p>
    <w:p w:rsidR="00062394" w:rsidRDefault="00933A5B">
      <w:pPr>
        <w:pStyle w:val="2"/>
        <w:spacing w:before="300" w:after="300" w:line="360" w:lineRule="exact"/>
      </w:pPr>
      <w:bookmarkStart w:id="2" w:name="_Toc227942070"/>
      <w:r>
        <w:rPr>
          <w:rFonts w:eastAsia="標楷體"/>
        </w:rPr>
        <w:t>一、研究背景與動機</w:t>
      </w:r>
      <w:bookmarkEnd w:id="2"/>
    </w:p>
    <w:p w:rsidR="00062394" w:rsidRDefault="00933A5B" w:rsidP="00441FC8">
      <w:pPr>
        <w:spacing w:before="150" w:after="150" w:line="300" w:lineRule="exact"/>
        <w:ind w:firstLine="482"/>
        <w:jc w:val="both"/>
      </w:pPr>
      <w:r>
        <w:rPr>
          <w:rFonts w:eastAsia="標楷體"/>
        </w:rPr>
        <w:t>在全球氣候變遷與環境保護議題日益受到重視的背景下，永續發展已成為國際社會與企業界的重要共識。為順應此一趨勢，臺灣金融監督管理委員會（簡稱金管會）於民國</w:t>
      </w:r>
      <w:r>
        <w:rPr>
          <w:rFonts w:eastAsia="標楷體"/>
        </w:rPr>
        <w:t xml:space="preserve"> 111 </w:t>
      </w:r>
      <w:r>
        <w:rPr>
          <w:rFonts w:eastAsia="標楷體"/>
        </w:rPr>
        <w:t>年發布「上市櫃公司永續發展路徑圖」，明訂分階段推動全體上市櫃公司於民國</w:t>
      </w:r>
      <w:r>
        <w:rPr>
          <w:rFonts w:eastAsia="標楷體"/>
        </w:rPr>
        <w:t xml:space="preserve"> 116 </w:t>
      </w:r>
      <w:r>
        <w:rPr>
          <w:rFonts w:eastAsia="標楷體"/>
        </w:rPr>
        <w:t>年完成溫室氣體盤查，民國</w:t>
      </w:r>
      <w:r>
        <w:rPr>
          <w:rFonts w:eastAsia="標楷體"/>
        </w:rPr>
        <w:t xml:space="preserve"> 118 </w:t>
      </w:r>
      <w:r>
        <w:rPr>
          <w:rFonts w:eastAsia="標楷體"/>
        </w:rPr>
        <w:t>年完成盤查之確信。自民國</w:t>
      </w:r>
      <w:r>
        <w:rPr>
          <w:rFonts w:eastAsia="標楷體"/>
        </w:rPr>
        <w:t xml:space="preserve"> 114 </w:t>
      </w:r>
      <w:r>
        <w:rPr>
          <w:rFonts w:eastAsia="標楷體"/>
        </w:rPr>
        <w:t>年起，全體約</w:t>
      </w:r>
      <w:r>
        <w:rPr>
          <w:rFonts w:eastAsia="標楷體"/>
        </w:rPr>
        <w:t xml:space="preserve"> 1,852 </w:t>
      </w:r>
      <w:r>
        <w:rPr>
          <w:rFonts w:eastAsia="標楷體"/>
        </w:rPr>
        <w:t>家上市櫃公司均須編製永續報告書。然而，截至民國</w:t>
      </w:r>
      <w:r>
        <w:rPr>
          <w:rFonts w:eastAsia="標楷體"/>
        </w:rPr>
        <w:t xml:space="preserve"> 113 </w:t>
      </w:r>
      <w:r>
        <w:rPr>
          <w:rFonts w:eastAsia="標楷體"/>
        </w:rPr>
        <w:t>年</w:t>
      </w:r>
      <w:r>
        <w:rPr>
          <w:rFonts w:eastAsia="標楷體"/>
        </w:rPr>
        <w:t xml:space="preserve"> 8 </w:t>
      </w:r>
      <w:r>
        <w:rPr>
          <w:rFonts w:eastAsia="標楷體"/>
        </w:rPr>
        <w:t>月底，僅有</w:t>
      </w:r>
      <w:r>
        <w:rPr>
          <w:rFonts w:eastAsia="標楷體"/>
        </w:rPr>
        <w:t xml:space="preserve"> 1,020 </w:t>
      </w:r>
      <w:r>
        <w:rPr>
          <w:rFonts w:eastAsia="標楷體"/>
        </w:rPr>
        <w:t>家（約</w:t>
      </w:r>
      <w:r>
        <w:rPr>
          <w:rFonts w:eastAsia="標楷體"/>
        </w:rPr>
        <w:t xml:space="preserve"> 56%</w:t>
      </w:r>
      <w:r>
        <w:rPr>
          <w:rFonts w:eastAsia="標楷體"/>
        </w:rPr>
        <w:t>）完成申報，其中取得第三方確信者僅</w:t>
      </w:r>
      <w:r>
        <w:rPr>
          <w:rFonts w:eastAsia="標楷體"/>
        </w:rPr>
        <w:t xml:space="preserve"> 613 </w:t>
      </w:r>
      <w:r>
        <w:rPr>
          <w:rFonts w:eastAsia="標楷體"/>
        </w:rPr>
        <w:t>家，仍有逾</w:t>
      </w:r>
      <w:r>
        <w:rPr>
          <w:rFonts w:eastAsia="標楷體"/>
        </w:rPr>
        <w:t xml:space="preserve"> 830 </w:t>
      </w:r>
      <w:r>
        <w:rPr>
          <w:rFonts w:eastAsia="標楷體"/>
        </w:rPr>
        <w:t>家尚未完成，顯示企業在永續資訊揭露上仍面臨重大挑戰（金融監督管理委員會【金管會】，民</w:t>
      </w:r>
      <w:r>
        <w:rPr>
          <w:rFonts w:eastAsia="標楷體"/>
        </w:rPr>
        <w:t xml:space="preserve"> 113b</w:t>
      </w:r>
      <w:r>
        <w:rPr>
          <w:rFonts w:eastAsia="標楷體"/>
        </w:rPr>
        <w:t>）。</w:t>
      </w:r>
    </w:p>
    <w:p w:rsidR="00062394" w:rsidRDefault="00933A5B" w:rsidP="00441FC8">
      <w:pPr>
        <w:spacing w:before="150" w:after="150" w:line="300" w:lineRule="exact"/>
        <w:ind w:firstLine="482"/>
        <w:jc w:val="both"/>
      </w:pPr>
      <w:r>
        <w:rPr>
          <w:rFonts w:eastAsia="標楷體"/>
        </w:rPr>
        <w:t>然而，面對法規與市場的制度壓力，企業在推動</w:t>
      </w:r>
      <w:r>
        <w:rPr>
          <w:rFonts w:eastAsia="標楷體"/>
        </w:rPr>
        <w:t xml:space="preserve"> ESG </w:t>
      </w:r>
      <w:r>
        <w:rPr>
          <w:rFonts w:eastAsia="標楷體"/>
        </w:rPr>
        <w:t>時常面臨「實質行動」與「形式合規」的兩難。雖然依規定申報資訊是第一步，但「有申報」不等於「有落實」，更不等於「數據真實」。許多企業在永續與減碳承諾上，與實際成效之間存在顯著落差（明道增，民</w:t>
      </w:r>
      <w:r>
        <w:rPr>
          <w:rFonts w:eastAsia="標楷體"/>
        </w:rPr>
        <w:t xml:space="preserve"> 113</w:t>
      </w:r>
      <w:r>
        <w:rPr>
          <w:rFonts w:eastAsia="標楷體"/>
        </w:rPr>
        <w:t>）。金管會亦明確提醒上市櫃公司「應持續強化永續資訊之品質，並避免誇大不實之陳述」，以防範漂綠行為（金管會，民</w:t>
      </w:r>
      <w:r>
        <w:rPr>
          <w:rFonts w:eastAsia="標楷體"/>
        </w:rPr>
        <w:t xml:space="preserve"> 113b</w:t>
      </w:r>
      <w:r>
        <w:rPr>
          <w:rFonts w:eastAsia="標楷體"/>
        </w:rPr>
        <w:t>）。鄭杭葭（民</w:t>
      </w:r>
      <w:r>
        <w:rPr>
          <w:rFonts w:eastAsia="標楷體"/>
        </w:rPr>
        <w:t xml:space="preserve"> 112</w:t>
      </w:r>
      <w:r>
        <w:rPr>
          <w:rFonts w:eastAsia="標楷體"/>
        </w:rPr>
        <w:t>）以臺灣上市公司為樣本的實證研究亦發現，企業</w:t>
      </w:r>
      <w:r>
        <w:rPr>
          <w:rFonts w:eastAsia="標楷體"/>
        </w:rPr>
        <w:t xml:space="preserve"> ESG </w:t>
      </w:r>
      <w:r>
        <w:rPr>
          <w:rFonts w:eastAsia="標楷體"/>
        </w:rPr>
        <w:t>資訊揭露的「質」與「量」之間常存在落差，此一落差正是漂綠風險的重要來源。</w:t>
      </w:r>
    </w:p>
    <w:p w:rsidR="00062394" w:rsidRDefault="00933A5B" w:rsidP="00441FC8">
      <w:pPr>
        <w:spacing w:before="150" w:after="150" w:line="300" w:lineRule="exact"/>
        <w:ind w:firstLine="482"/>
        <w:jc w:val="both"/>
      </w:pPr>
      <w:r>
        <w:rPr>
          <w:rFonts w:eastAsia="標楷體"/>
        </w:rPr>
        <w:t>深入探究企業推動</w:t>
      </w:r>
      <w:r>
        <w:rPr>
          <w:rFonts w:eastAsia="標楷體"/>
        </w:rPr>
        <w:t xml:space="preserve"> ESG </w:t>
      </w:r>
      <w:r>
        <w:rPr>
          <w:rFonts w:eastAsia="標楷體"/>
        </w:rPr>
        <w:t>的動機，可以發現其深受多重制度壓力的影響，包括政府的法規強制、國際供應鏈的要求，以及資本市場中永續金融工具所帶來的財務誘因與約束。范植閎（民</w:t>
      </w:r>
      <w:r>
        <w:rPr>
          <w:rFonts w:eastAsia="標楷體"/>
        </w:rPr>
        <w:t xml:space="preserve"> 114</w:t>
      </w:r>
      <w:r>
        <w:rPr>
          <w:rFonts w:eastAsia="標楷體"/>
        </w:rPr>
        <w:t>）的研究指出，制度誘因的設計方式會影響企業從形式服從轉向實質投入的可能性。胡詠晴（民</w:t>
      </w:r>
      <w:r>
        <w:rPr>
          <w:rFonts w:eastAsia="標楷體"/>
        </w:rPr>
        <w:t xml:space="preserve"> 114</w:t>
      </w:r>
      <w:r>
        <w:rPr>
          <w:rFonts w:eastAsia="標楷體"/>
        </w:rPr>
        <w:t>）以臺灣某電子業上市公司為案例的研究亦觀察到，企業的</w:t>
      </w:r>
      <w:r>
        <w:rPr>
          <w:rFonts w:eastAsia="標楷體"/>
        </w:rPr>
        <w:t xml:space="preserve"> ESG </w:t>
      </w:r>
      <w:r>
        <w:rPr>
          <w:rFonts w:eastAsia="標楷體"/>
        </w:rPr>
        <w:t>行為常存在象徵性與實質性的落差。然而，現有文獻多從財務學或會計學角度探討漂綠現象，鮮少從制度理論的視角系統性地探討：制度壓力如何影響企業推動</w:t>
      </w:r>
      <w:r>
        <w:rPr>
          <w:rFonts w:eastAsia="標楷體"/>
        </w:rPr>
        <w:t xml:space="preserve"> ESG </w:t>
      </w:r>
      <w:r>
        <w:rPr>
          <w:rFonts w:eastAsia="標楷體"/>
        </w:rPr>
        <w:t>的動機、動機如何影響採行方式、採行方式又如何影響漂綠風險。本研究旨在填補此一研究缺口。</w:t>
      </w:r>
    </w:p>
    <w:p w:rsidR="00062394" w:rsidRDefault="00933A5B" w:rsidP="00441FC8">
      <w:pPr>
        <w:pStyle w:val="2"/>
        <w:spacing w:before="300" w:after="300" w:line="360" w:lineRule="exact"/>
        <w:jc w:val="both"/>
      </w:pPr>
      <w:bookmarkStart w:id="3" w:name="_Toc227942071"/>
      <w:r>
        <w:rPr>
          <w:rFonts w:eastAsia="標楷體"/>
        </w:rPr>
        <w:t>二、研究目的</w:t>
      </w:r>
      <w:bookmarkEnd w:id="3"/>
    </w:p>
    <w:p w:rsidR="00062394" w:rsidRDefault="006001EC" w:rsidP="00441FC8">
      <w:pPr>
        <w:spacing w:before="150" w:after="150" w:line="300" w:lineRule="exact"/>
        <w:ind w:firstLine="482"/>
        <w:jc w:val="both"/>
      </w:pPr>
      <w:r>
        <w:rPr>
          <w:rFonts w:eastAsia="標楷體"/>
        </w:rPr>
        <w:t>基於上述背景與動機，本研究旨在以制度理論為基礎，探討臺灣</w:t>
      </w:r>
      <w:r>
        <w:rPr>
          <w:rFonts w:eastAsia="標楷體" w:hint="eastAsia"/>
        </w:rPr>
        <w:t>金融業</w:t>
      </w:r>
      <w:r w:rsidR="00933A5B">
        <w:rPr>
          <w:rFonts w:eastAsia="標楷體"/>
        </w:rPr>
        <w:t>在不同制度壓力下推動</w:t>
      </w:r>
      <w:r w:rsidR="00933A5B">
        <w:rPr>
          <w:rFonts w:eastAsia="標楷體"/>
        </w:rPr>
        <w:t xml:space="preserve"> ESG </w:t>
      </w:r>
      <w:r w:rsidR="00933A5B">
        <w:rPr>
          <w:rFonts w:eastAsia="標楷體"/>
        </w:rPr>
        <w:t>的動機差異，分析不同動機如何導致「實質</w:t>
      </w:r>
      <w:proofErr w:type="gramStart"/>
      <w:r w:rsidR="00933A5B">
        <w:rPr>
          <w:rFonts w:eastAsia="標楷體"/>
        </w:rPr>
        <w:t>採</w:t>
      </w:r>
      <w:proofErr w:type="gramEnd"/>
      <w:r w:rsidR="00933A5B">
        <w:rPr>
          <w:rFonts w:eastAsia="標楷體"/>
        </w:rPr>
        <w:t>行」與「形式</w:t>
      </w:r>
      <w:proofErr w:type="gramStart"/>
      <w:r w:rsidR="00933A5B">
        <w:rPr>
          <w:rFonts w:eastAsia="標楷體"/>
        </w:rPr>
        <w:t>採</w:t>
      </w:r>
      <w:proofErr w:type="gramEnd"/>
      <w:r w:rsidR="00933A5B">
        <w:rPr>
          <w:rFonts w:eastAsia="標楷體"/>
        </w:rPr>
        <w:t>行」的行為差異，並進一步檢視不同</w:t>
      </w:r>
      <w:proofErr w:type="gramStart"/>
      <w:r w:rsidR="00933A5B">
        <w:rPr>
          <w:rFonts w:eastAsia="標楷體"/>
        </w:rPr>
        <w:t>採</w:t>
      </w:r>
      <w:proofErr w:type="gramEnd"/>
      <w:r w:rsidR="00933A5B">
        <w:rPr>
          <w:rFonts w:eastAsia="標楷體"/>
        </w:rPr>
        <w:t>行方式對企業</w:t>
      </w:r>
      <w:r w:rsidR="00933A5B">
        <w:rPr>
          <w:rFonts w:eastAsia="標楷體"/>
        </w:rPr>
        <w:t xml:space="preserve"> ESG </w:t>
      </w:r>
      <w:r w:rsidR="00933A5B">
        <w:rPr>
          <w:rFonts w:eastAsia="標楷體"/>
        </w:rPr>
        <w:t>資訊品質</w:t>
      </w:r>
      <w:proofErr w:type="gramStart"/>
      <w:r w:rsidR="00933A5B">
        <w:rPr>
          <w:rFonts w:eastAsia="標楷體"/>
        </w:rPr>
        <w:t>與漂綠風險</w:t>
      </w:r>
      <w:proofErr w:type="gramEnd"/>
      <w:r w:rsidR="00933A5B">
        <w:rPr>
          <w:rFonts w:eastAsia="標楷體"/>
        </w:rPr>
        <w:t>的影響。</w:t>
      </w:r>
    </w:p>
    <w:p w:rsidR="00062394" w:rsidRDefault="00933A5B" w:rsidP="00441FC8">
      <w:pPr>
        <w:spacing w:before="150" w:after="150" w:line="300" w:lineRule="exact"/>
        <w:ind w:firstLine="482"/>
        <w:jc w:val="both"/>
      </w:pPr>
      <w:r>
        <w:rPr>
          <w:rFonts w:eastAsia="標楷體"/>
        </w:rPr>
        <w:t>本研究定位為探索性研究，採用文獻歸納與次級資料分析相結合的方式，透過整合國內相關學位論文之研究發現，以及金管會政策文件、證交所</w:t>
      </w:r>
      <w:r>
        <w:rPr>
          <w:rFonts w:eastAsia="標楷體"/>
        </w:rPr>
        <w:t xml:space="preserve"> ESG </w:t>
      </w:r>
      <w:r>
        <w:rPr>
          <w:rFonts w:eastAsia="標楷體"/>
        </w:rPr>
        <w:t>數位平台公開數據與上市櫃公司永續報告書等次級資料，建構「制度壓力</w:t>
      </w:r>
      <w:r>
        <w:rPr>
          <w:rFonts w:eastAsia="標楷體"/>
        </w:rPr>
        <w:t>→</w:t>
      </w:r>
      <w:proofErr w:type="gramStart"/>
      <w:r>
        <w:rPr>
          <w:rFonts w:eastAsia="標楷體"/>
        </w:rPr>
        <w:t>採</w:t>
      </w:r>
      <w:proofErr w:type="gramEnd"/>
      <w:r>
        <w:rPr>
          <w:rFonts w:eastAsia="標楷體"/>
        </w:rPr>
        <w:t>行動機</w:t>
      </w:r>
      <w:r>
        <w:rPr>
          <w:rFonts w:eastAsia="標楷體"/>
        </w:rPr>
        <w:t>→</w:t>
      </w:r>
      <w:proofErr w:type="gramStart"/>
      <w:r>
        <w:rPr>
          <w:rFonts w:eastAsia="標楷體"/>
        </w:rPr>
        <w:t>採</w:t>
      </w:r>
      <w:proofErr w:type="gramEnd"/>
      <w:r>
        <w:rPr>
          <w:rFonts w:eastAsia="標楷體"/>
        </w:rPr>
        <w:t>行方式</w:t>
      </w:r>
      <w:r>
        <w:rPr>
          <w:rFonts w:eastAsia="標楷體"/>
        </w:rPr>
        <w:t>→</w:t>
      </w:r>
      <w:proofErr w:type="gramStart"/>
      <w:r w:rsidR="006001EC">
        <w:rPr>
          <w:rFonts w:eastAsia="標楷體"/>
        </w:rPr>
        <w:t>漂綠風險</w:t>
      </w:r>
      <w:proofErr w:type="gramEnd"/>
      <w:r w:rsidR="006001EC">
        <w:rPr>
          <w:rFonts w:eastAsia="標楷體"/>
        </w:rPr>
        <w:t>」的因果分析架構，期能為臺灣</w:t>
      </w:r>
      <w:r w:rsidR="006001EC">
        <w:rPr>
          <w:rFonts w:eastAsia="標楷體" w:hint="eastAsia"/>
        </w:rPr>
        <w:t>金融業</w:t>
      </w:r>
      <w:r>
        <w:rPr>
          <w:rFonts w:eastAsia="標楷體"/>
        </w:rPr>
        <w:t>的</w:t>
      </w:r>
      <w:r>
        <w:rPr>
          <w:rFonts w:eastAsia="標楷體"/>
        </w:rPr>
        <w:t xml:space="preserve"> ESG </w:t>
      </w:r>
      <w:r>
        <w:rPr>
          <w:rFonts w:eastAsia="標楷體"/>
        </w:rPr>
        <w:t>實務與主管機關的政策制定提供參考。</w:t>
      </w:r>
    </w:p>
    <w:p w:rsidR="00F60492" w:rsidRDefault="00F60492">
      <w:pPr>
        <w:widowControl/>
        <w:rPr>
          <w:rFonts w:eastAsia="標楷體"/>
          <w:b/>
          <w:bCs/>
        </w:rPr>
      </w:pPr>
      <w:r>
        <w:rPr>
          <w:rFonts w:eastAsia="標楷體"/>
        </w:rPr>
        <w:br w:type="page"/>
      </w:r>
    </w:p>
    <w:p w:rsidR="00062394" w:rsidRDefault="00933A5B">
      <w:pPr>
        <w:pStyle w:val="2"/>
        <w:spacing w:before="300" w:after="300" w:line="360" w:lineRule="exact"/>
        <w:rPr>
          <w:rFonts w:eastAsia="標楷體"/>
        </w:rPr>
      </w:pPr>
      <w:bookmarkStart w:id="4" w:name="_Toc227942072"/>
      <w:r>
        <w:rPr>
          <w:rFonts w:eastAsia="標楷體"/>
        </w:rPr>
        <w:lastRenderedPageBreak/>
        <w:t>三、研究問題</w:t>
      </w:r>
      <w:bookmarkEnd w:id="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4111"/>
        <w:gridCol w:w="3549"/>
      </w:tblGrid>
      <w:tr w:rsidR="00F60492" w:rsidTr="006629C4">
        <w:trPr>
          <w:tblHeader/>
        </w:trPr>
        <w:tc>
          <w:tcPr>
            <w:tcW w:w="141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vAlign w:val="center"/>
          </w:tcPr>
          <w:p w:rsidR="00F60492" w:rsidRDefault="00F60492" w:rsidP="00F60492">
            <w:pPr>
              <w:spacing w:line="280" w:lineRule="exact"/>
              <w:jc w:val="center"/>
            </w:pPr>
            <w:r>
              <w:rPr>
                <w:rFonts w:eastAsia="標楷體"/>
                <w:b/>
                <w:bCs/>
                <w:sz w:val="22"/>
                <w:szCs w:val="22"/>
              </w:rPr>
              <w:t>比較面向</w:t>
            </w:r>
          </w:p>
        </w:tc>
        <w:tc>
          <w:tcPr>
            <w:tcW w:w="4111"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vAlign w:val="center"/>
          </w:tcPr>
          <w:p w:rsidR="00D7388A" w:rsidRDefault="00F60492" w:rsidP="00EA0E93">
            <w:pPr>
              <w:spacing w:line="280" w:lineRule="exact"/>
              <w:jc w:val="center"/>
              <w:rPr>
                <w:rFonts w:eastAsia="標楷體"/>
                <w:b/>
                <w:bCs/>
                <w:sz w:val="22"/>
                <w:szCs w:val="22"/>
              </w:rPr>
            </w:pPr>
            <w:r>
              <w:rPr>
                <w:rFonts w:eastAsia="標楷體"/>
                <w:b/>
                <w:bCs/>
                <w:sz w:val="22"/>
                <w:szCs w:val="22"/>
              </w:rPr>
              <w:t>漂綠</w:t>
            </w:r>
          </w:p>
          <w:p w:rsidR="00F60492" w:rsidRDefault="00F60492" w:rsidP="00EA0E93">
            <w:pPr>
              <w:spacing w:line="280" w:lineRule="exact"/>
              <w:jc w:val="center"/>
            </w:pPr>
            <w:r>
              <w:rPr>
                <w:rFonts w:eastAsia="標楷體"/>
                <w:b/>
                <w:bCs/>
                <w:sz w:val="22"/>
                <w:szCs w:val="22"/>
              </w:rPr>
              <w:t>（</w:t>
            </w:r>
            <w:r>
              <w:rPr>
                <w:rFonts w:eastAsia="標楷體"/>
                <w:b/>
                <w:bCs/>
                <w:sz w:val="22"/>
                <w:szCs w:val="22"/>
              </w:rPr>
              <w:t>Greenwashing</w:t>
            </w:r>
            <w:r>
              <w:rPr>
                <w:rFonts w:eastAsia="標楷體"/>
                <w:b/>
                <w:bCs/>
                <w:sz w:val="22"/>
                <w:szCs w:val="22"/>
              </w:rPr>
              <w:t>）</w:t>
            </w:r>
          </w:p>
        </w:tc>
        <w:tc>
          <w:tcPr>
            <w:tcW w:w="3549"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vAlign w:val="center"/>
          </w:tcPr>
          <w:p w:rsidR="00D7388A" w:rsidRDefault="00F60492" w:rsidP="00EA0E93">
            <w:pPr>
              <w:spacing w:line="280" w:lineRule="exact"/>
              <w:jc w:val="center"/>
              <w:rPr>
                <w:rFonts w:eastAsia="標楷體"/>
                <w:b/>
                <w:bCs/>
                <w:sz w:val="22"/>
                <w:szCs w:val="22"/>
              </w:rPr>
            </w:pPr>
            <w:r>
              <w:rPr>
                <w:rFonts w:eastAsia="標楷體"/>
                <w:b/>
                <w:bCs/>
                <w:sz w:val="22"/>
                <w:szCs w:val="22"/>
              </w:rPr>
              <w:t>法規規避</w:t>
            </w:r>
          </w:p>
          <w:p w:rsidR="00F60492" w:rsidRDefault="00F60492" w:rsidP="00EA0E93">
            <w:pPr>
              <w:spacing w:line="280" w:lineRule="exact"/>
              <w:jc w:val="center"/>
            </w:pPr>
            <w:r>
              <w:rPr>
                <w:rFonts w:eastAsia="標楷體"/>
                <w:b/>
                <w:bCs/>
                <w:sz w:val="22"/>
                <w:szCs w:val="22"/>
              </w:rPr>
              <w:t>（</w:t>
            </w:r>
            <w:r>
              <w:rPr>
                <w:rFonts w:eastAsia="標楷體"/>
                <w:b/>
                <w:bCs/>
                <w:sz w:val="22"/>
                <w:szCs w:val="22"/>
              </w:rPr>
              <w:t>Regulatory Avoidance</w:t>
            </w:r>
            <w:r>
              <w:rPr>
                <w:rFonts w:eastAsia="標楷體"/>
                <w:b/>
                <w:bCs/>
                <w:sz w:val="22"/>
                <w:szCs w:val="22"/>
              </w:rPr>
              <w:t>）</w:t>
            </w:r>
          </w:p>
        </w:tc>
      </w:tr>
      <w:tr w:rsidR="00F60492" w:rsidTr="006629C4">
        <w:trPr>
          <w:cantSplit/>
        </w:trPr>
        <w:tc>
          <w:tcPr>
            <w:tcW w:w="14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F60492">
            <w:pPr>
              <w:spacing w:line="280" w:lineRule="exact"/>
              <w:jc w:val="center"/>
            </w:pPr>
            <w:r>
              <w:rPr>
                <w:rFonts w:eastAsia="標楷體"/>
                <w:b/>
                <w:bCs/>
                <w:sz w:val="22"/>
                <w:szCs w:val="22"/>
              </w:rPr>
              <w:t>核心行為</w:t>
            </w:r>
          </w:p>
        </w:tc>
        <w:tc>
          <w:tcPr>
            <w:tcW w:w="41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6629C4" w:rsidP="00EA0E93">
            <w:pPr>
              <w:spacing w:line="280" w:lineRule="exact"/>
            </w:pPr>
            <w:r>
              <w:rPr>
                <w:rFonts w:eastAsia="標楷體"/>
                <w:sz w:val="22"/>
                <w:szCs w:val="22"/>
              </w:rPr>
              <w:t>有做但做假或</w:t>
            </w:r>
            <w:r w:rsidR="00F60492">
              <w:rPr>
                <w:rFonts w:eastAsia="標楷體"/>
                <w:sz w:val="22"/>
                <w:szCs w:val="22"/>
              </w:rPr>
              <w:t>表面，對外誇大永續表現</w:t>
            </w:r>
          </w:p>
        </w:tc>
        <w:tc>
          <w:tcPr>
            <w:tcW w:w="3549"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EA0E93">
            <w:pPr>
              <w:spacing w:line="280" w:lineRule="exact"/>
            </w:pPr>
            <w:r>
              <w:rPr>
                <w:rFonts w:eastAsia="標楷體"/>
                <w:sz w:val="22"/>
                <w:szCs w:val="22"/>
              </w:rPr>
              <w:t>設法不做，透過法律漏洞迴避義務</w:t>
            </w:r>
          </w:p>
        </w:tc>
      </w:tr>
      <w:tr w:rsidR="00F60492" w:rsidTr="006629C4">
        <w:trPr>
          <w:cantSplit/>
        </w:trPr>
        <w:tc>
          <w:tcPr>
            <w:tcW w:w="14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F60492">
            <w:pPr>
              <w:spacing w:line="280" w:lineRule="exact"/>
              <w:jc w:val="center"/>
            </w:pPr>
            <w:r>
              <w:rPr>
                <w:rFonts w:eastAsia="標楷體"/>
                <w:b/>
                <w:bCs/>
                <w:sz w:val="22"/>
                <w:szCs w:val="22"/>
              </w:rPr>
              <w:t>對外表現</w:t>
            </w:r>
          </w:p>
        </w:tc>
        <w:tc>
          <w:tcPr>
            <w:tcW w:w="41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EA0E93">
            <w:pPr>
              <w:spacing w:line="280" w:lineRule="exact"/>
            </w:pPr>
            <w:r>
              <w:rPr>
                <w:rFonts w:eastAsia="標楷體"/>
                <w:sz w:val="22"/>
                <w:szCs w:val="22"/>
              </w:rPr>
              <w:t>積極揭露</w:t>
            </w:r>
            <w:r>
              <w:rPr>
                <w:rFonts w:eastAsia="標楷體"/>
                <w:sz w:val="22"/>
                <w:szCs w:val="22"/>
              </w:rPr>
              <w:t xml:space="preserve"> ESG </w:t>
            </w:r>
            <w:r>
              <w:rPr>
                <w:rFonts w:eastAsia="標楷體"/>
                <w:sz w:val="22"/>
                <w:szCs w:val="22"/>
              </w:rPr>
              <w:t>資訊，塑造永續形象</w:t>
            </w:r>
          </w:p>
        </w:tc>
        <w:tc>
          <w:tcPr>
            <w:tcW w:w="3549"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EA0E93">
            <w:pPr>
              <w:spacing w:line="280" w:lineRule="exact"/>
            </w:pPr>
            <w:r>
              <w:rPr>
                <w:rFonts w:eastAsia="標楷體"/>
                <w:sz w:val="22"/>
                <w:szCs w:val="22"/>
              </w:rPr>
              <w:t>低調迴避，盡量不揭露或延遲揭露</w:t>
            </w:r>
          </w:p>
        </w:tc>
      </w:tr>
      <w:tr w:rsidR="00F60492" w:rsidTr="006629C4">
        <w:trPr>
          <w:cantSplit/>
        </w:trPr>
        <w:tc>
          <w:tcPr>
            <w:tcW w:w="14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F60492">
            <w:pPr>
              <w:spacing w:line="280" w:lineRule="exact"/>
              <w:jc w:val="center"/>
            </w:pPr>
            <w:r>
              <w:rPr>
                <w:rFonts w:eastAsia="標楷體"/>
                <w:b/>
                <w:bCs/>
                <w:sz w:val="22"/>
                <w:szCs w:val="22"/>
              </w:rPr>
              <w:t>實際作為</w:t>
            </w:r>
          </w:p>
        </w:tc>
        <w:tc>
          <w:tcPr>
            <w:tcW w:w="41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EA0E93">
            <w:pPr>
              <w:spacing w:line="280" w:lineRule="exact"/>
            </w:pPr>
            <w:r>
              <w:rPr>
                <w:rFonts w:eastAsia="標楷體"/>
                <w:sz w:val="22"/>
                <w:szCs w:val="22"/>
              </w:rPr>
              <w:t>揭露內容與實際績效存在落差</w:t>
            </w:r>
          </w:p>
        </w:tc>
        <w:tc>
          <w:tcPr>
            <w:tcW w:w="3549"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EA0E93">
            <w:pPr>
              <w:spacing w:line="280" w:lineRule="exact"/>
            </w:pPr>
            <w:r>
              <w:rPr>
                <w:rFonts w:eastAsia="標楷體"/>
                <w:sz w:val="22"/>
                <w:szCs w:val="22"/>
              </w:rPr>
              <w:t>未依規定執行</w:t>
            </w:r>
            <w:r>
              <w:rPr>
                <w:rFonts w:eastAsia="標楷體"/>
                <w:sz w:val="22"/>
                <w:szCs w:val="22"/>
              </w:rPr>
              <w:t xml:space="preserve"> ESG </w:t>
            </w:r>
            <w:r>
              <w:rPr>
                <w:rFonts w:eastAsia="標楷體"/>
                <w:sz w:val="22"/>
                <w:szCs w:val="22"/>
              </w:rPr>
              <w:t>相關作業</w:t>
            </w:r>
          </w:p>
        </w:tc>
      </w:tr>
      <w:tr w:rsidR="00F60492" w:rsidTr="006629C4">
        <w:trPr>
          <w:cantSplit/>
        </w:trPr>
        <w:tc>
          <w:tcPr>
            <w:tcW w:w="14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F60492">
            <w:pPr>
              <w:spacing w:line="280" w:lineRule="exact"/>
              <w:jc w:val="center"/>
            </w:pPr>
            <w:r>
              <w:rPr>
                <w:rFonts w:eastAsia="標楷體"/>
                <w:b/>
                <w:bCs/>
                <w:sz w:val="22"/>
                <w:szCs w:val="22"/>
              </w:rPr>
              <w:t>合法性</w:t>
            </w:r>
          </w:p>
        </w:tc>
        <w:tc>
          <w:tcPr>
            <w:tcW w:w="41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EA0E93">
            <w:pPr>
              <w:spacing w:line="280" w:lineRule="exact"/>
            </w:pPr>
            <w:r>
              <w:rPr>
                <w:rFonts w:eastAsia="標楷體"/>
                <w:sz w:val="22"/>
                <w:szCs w:val="22"/>
              </w:rPr>
              <w:t>形式上可能合法，但有道德與誠信疑慮</w:t>
            </w:r>
          </w:p>
        </w:tc>
        <w:tc>
          <w:tcPr>
            <w:tcW w:w="3549"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EA0E93">
            <w:pPr>
              <w:spacing w:line="280" w:lineRule="exact"/>
            </w:pPr>
            <w:r>
              <w:rPr>
                <w:rFonts w:eastAsia="標楷體"/>
                <w:sz w:val="22"/>
                <w:szCs w:val="22"/>
              </w:rPr>
              <w:t>可能合法（鑽漏洞）或違法</w:t>
            </w:r>
          </w:p>
        </w:tc>
      </w:tr>
      <w:tr w:rsidR="00F60492" w:rsidTr="006629C4">
        <w:trPr>
          <w:cantSplit/>
        </w:trPr>
        <w:tc>
          <w:tcPr>
            <w:tcW w:w="14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F60492">
            <w:pPr>
              <w:spacing w:line="280" w:lineRule="exact"/>
              <w:jc w:val="center"/>
            </w:pPr>
            <w:r>
              <w:rPr>
                <w:rFonts w:eastAsia="標楷體"/>
                <w:b/>
                <w:bCs/>
                <w:sz w:val="22"/>
                <w:szCs w:val="22"/>
              </w:rPr>
              <w:t>誤導對象</w:t>
            </w:r>
          </w:p>
        </w:tc>
        <w:tc>
          <w:tcPr>
            <w:tcW w:w="41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EA0E93">
            <w:pPr>
              <w:spacing w:line="280" w:lineRule="exact"/>
            </w:pPr>
            <w:r>
              <w:rPr>
                <w:rFonts w:eastAsia="標楷體"/>
                <w:sz w:val="22"/>
                <w:szCs w:val="22"/>
              </w:rPr>
              <w:t>投資人、消費者、利害關係人</w:t>
            </w:r>
          </w:p>
        </w:tc>
        <w:tc>
          <w:tcPr>
            <w:tcW w:w="3549"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EA0E93">
            <w:pPr>
              <w:spacing w:line="280" w:lineRule="exact"/>
            </w:pPr>
            <w:r>
              <w:rPr>
                <w:rFonts w:eastAsia="標楷體"/>
                <w:sz w:val="22"/>
                <w:szCs w:val="22"/>
              </w:rPr>
              <w:t>主管機關</w:t>
            </w:r>
          </w:p>
        </w:tc>
      </w:tr>
      <w:tr w:rsidR="00F60492" w:rsidTr="006629C4">
        <w:trPr>
          <w:cantSplit/>
        </w:trPr>
        <w:tc>
          <w:tcPr>
            <w:tcW w:w="14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Pr="00D7388A" w:rsidRDefault="00F60492" w:rsidP="00F60492">
            <w:pPr>
              <w:spacing w:line="280" w:lineRule="exact"/>
              <w:jc w:val="center"/>
              <w:rPr>
                <w:color w:val="FF0000"/>
              </w:rPr>
            </w:pPr>
            <w:r w:rsidRPr="00D7388A">
              <w:rPr>
                <w:rFonts w:eastAsia="標楷體"/>
                <w:b/>
                <w:bCs/>
                <w:color w:val="FF0000"/>
                <w:sz w:val="22"/>
                <w:szCs w:val="22"/>
              </w:rPr>
              <w:t xml:space="preserve">ESG </w:t>
            </w:r>
            <w:r w:rsidRPr="00D7388A">
              <w:rPr>
                <w:rFonts w:eastAsia="標楷體"/>
                <w:b/>
                <w:bCs/>
                <w:color w:val="FF0000"/>
                <w:sz w:val="22"/>
                <w:szCs w:val="22"/>
              </w:rPr>
              <w:t>報告書</w:t>
            </w:r>
          </w:p>
        </w:tc>
        <w:tc>
          <w:tcPr>
            <w:tcW w:w="41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Pr="00D7388A" w:rsidRDefault="00F60492" w:rsidP="00EA0E93">
            <w:pPr>
              <w:spacing w:line="280" w:lineRule="exact"/>
              <w:rPr>
                <w:color w:val="FF0000"/>
              </w:rPr>
            </w:pPr>
            <w:r w:rsidRPr="00D7388A">
              <w:rPr>
                <w:rFonts w:eastAsia="標楷體"/>
                <w:color w:val="FF0000"/>
                <w:sz w:val="22"/>
                <w:szCs w:val="22"/>
              </w:rPr>
              <w:t>有編製，但內容可能誇大或選擇性揭露</w:t>
            </w:r>
          </w:p>
        </w:tc>
        <w:tc>
          <w:tcPr>
            <w:tcW w:w="3549"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Pr="00D7388A" w:rsidRDefault="00F60492" w:rsidP="00EA0E93">
            <w:pPr>
              <w:spacing w:line="280" w:lineRule="exact"/>
              <w:rPr>
                <w:color w:val="FF0000"/>
              </w:rPr>
            </w:pPr>
            <w:r w:rsidRPr="00D7388A">
              <w:rPr>
                <w:rFonts w:eastAsia="標楷體"/>
                <w:color w:val="FF0000"/>
                <w:sz w:val="22"/>
                <w:szCs w:val="22"/>
              </w:rPr>
              <w:t>未編製，或未依規定期限申報</w:t>
            </w:r>
          </w:p>
        </w:tc>
      </w:tr>
      <w:tr w:rsidR="00F60492" w:rsidTr="006629C4">
        <w:trPr>
          <w:cantSplit/>
        </w:trPr>
        <w:tc>
          <w:tcPr>
            <w:tcW w:w="14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F60492">
            <w:pPr>
              <w:spacing w:line="280" w:lineRule="exact"/>
              <w:jc w:val="center"/>
            </w:pPr>
            <w:r>
              <w:rPr>
                <w:rFonts w:eastAsia="標楷體"/>
                <w:b/>
                <w:bCs/>
                <w:sz w:val="22"/>
                <w:szCs w:val="22"/>
              </w:rPr>
              <w:t>本研究定位</w:t>
            </w:r>
          </w:p>
        </w:tc>
        <w:tc>
          <w:tcPr>
            <w:tcW w:w="4111"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EA0E93">
            <w:pPr>
              <w:spacing w:line="280" w:lineRule="exact"/>
            </w:pPr>
            <w:r>
              <w:rPr>
                <w:rFonts w:eastAsia="標楷體"/>
                <w:sz w:val="22"/>
                <w:szCs w:val="22"/>
              </w:rPr>
              <w:t xml:space="preserve">✓ </w:t>
            </w:r>
            <w:r>
              <w:rPr>
                <w:rFonts w:eastAsia="標楷體"/>
                <w:sz w:val="22"/>
                <w:szCs w:val="22"/>
              </w:rPr>
              <w:t>本研究聚焦於此</w:t>
            </w:r>
          </w:p>
        </w:tc>
        <w:tc>
          <w:tcPr>
            <w:tcW w:w="3549"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F60492" w:rsidRDefault="00F60492" w:rsidP="00EA0E93">
            <w:pPr>
              <w:spacing w:line="280" w:lineRule="exact"/>
            </w:pPr>
            <w:r>
              <w:rPr>
                <w:rFonts w:eastAsia="標楷體"/>
                <w:sz w:val="22"/>
                <w:szCs w:val="22"/>
              </w:rPr>
              <w:t>不在本研究範圍內</w:t>
            </w:r>
          </w:p>
        </w:tc>
      </w:tr>
    </w:tbl>
    <w:p w:rsidR="00441FC8" w:rsidRDefault="00465835" w:rsidP="00465835">
      <w:pPr>
        <w:spacing w:before="150" w:after="150" w:line="300" w:lineRule="exact"/>
        <w:ind w:firstLine="482"/>
        <w:jc w:val="center"/>
        <w:rPr>
          <w:rFonts w:eastAsia="標楷體"/>
        </w:rPr>
      </w:pPr>
      <w:r>
        <w:rPr>
          <w:rFonts w:eastAsia="標楷體" w:hint="eastAsia"/>
        </w:rPr>
        <w:t>表</w:t>
      </w:r>
      <w:r>
        <w:rPr>
          <w:rFonts w:eastAsia="標楷體" w:hint="eastAsia"/>
        </w:rPr>
        <w:t>1</w:t>
      </w:r>
      <w:r>
        <w:rPr>
          <w:rFonts w:eastAsia="標楷體"/>
        </w:rPr>
        <w:t xml:space="preserve"> </w:t>
      </w:r>
      <w:proofErr w:type="gramStart"/>
      <w:r>
        <w:rPr>
          <w:rFonts w:eastAsia="標楷體" w:hint="eastAsia"/>
        </w:rPr>
        <w:t>漂綠與</w:t>
      </w:r>
      <w:proofErr w:type="gramEnd"/>
      <w:r>
        <w:rPr>
          <w:rFonts w:eastAsia="標楷體" w:hint="eastAsia"/>
        </w:rPr>
        <w:t>法規規避之比較</w:t>
      </w:r>
    </w:p>
    <w:p w:rsidR="00062394" w:rsidRDefault="00933A5B" w:rsidP="00AC29F0">
      <w:pPr>
        <w:spacing w:before="150" w:after="150" w:line="300" w:lineRule="exact"/>
        <w:ind w:firstLine="482"/>
        <w:jc w:val="both"/>
        <w:rPr>
          <w:rFonts w:eastAsia="標楷體"/>
        </w:rPr>
      </w:pPr>
      <w:r>
        <w:rPr>
          <w:rFonts w:eastAsia="標楷體"/>
        </w:rPr>
        <w:t>基於上述研究目的，本研究以「制度壓力</w:t>
      </w:r>
      <w:r w:rsidR="00AC29F0">
        <w:rPr>
          <w:rFonts w:eastAsia="標楷體" w:hint="eastAsia"/>
        </w:rPr>
        <w:t>/</w:t>
      </w:r>
      <w:r w:rsidR="00AC29F0">
        <w:rPr>
          <w:rFonts w:eastAsia="標楷體" w:hint="eastAsia"/>
        </w:rPr>
        <w:t>動機</w:t>
      </w:r>
      <w:r>
        <w:rPr>
          <w:rFonts w:eastAsia="標楷體"/>
        </w:rPr>
        <w:t>→</w:t>
      </w:r>
      <w:proofErr w:type="gramStart"/>
      <w:r>
        <w:rPr>
          <w:rFonts w:eastAsia="標楷體"/>
        </w:rPr>
        <w:t>採</w:t>
      </w:r>
      <w:proofErr w:type="gramEnd"/>
      <w:r>
        <w:rPr>
          <w:rFonts w:eastAsia="標楷體"/>
        </w:rPr>
        <w:t>行動機</w:t>
      </w:r>
      <w:r w:rsidR="00AC29F0">
        <w:rPr>
          <w:rFonts w:eastAsia="標楷體"/>
        </w:rPr>
        <w:t>/</w:t>
      </w:r>
      <w:proofErr w:type="gramStart"/>
      <w:r>
        <w:rPr>
          <w:rFonts w:eastAsia="標楷體"/>
        </w:rPr>
        <w:t>採</w:t>
      </w:r>
      <w:proofErr w:type="gramEnd"/>
      <w:r>
        <w:rPr>
          <w:rFonts w:eastAsia="標楷體"/>
        </w:rPr>
        <w:t>行方式</w:t>
      </w:r>
      <w:r>
        <w:rPr>
          <w:rFonts w:eastAsia="標楷體"/>
        </w:rPr>
        <w:t>→</w:t>
      </w:r>
      <w:r w:rsidR="00AC29F0">
        <w:rPr>
          <w:rFonts w:eastAsia="標楷體" w:hint="eastAsia"/>
        </w:rPr>
        <w:t>ESG</w:t>
      </w:r>
      <w:r w:rsidR="00AC29F0">
        <w:rPr>
          <w:rFonts w:eastAsia="標楷體" w:hint="eastAsia"/>
        </w:rPr>
        <w:t>資訊品質</w:t>
      </w:r>
      <w:proofErr w:type="gramStart"/>
      <w:r w:rsidR="00AC29F0">
        <w:rPr>
          <w:rFonts w:eastAsia="標楷體" w:hint="eastAsia"/>
        </w:rPr>
        <w:t>與</w:t>
      </w:r>
      <w:r w:rsidR="00AC29F0">
        <w:rPr>
          <w:rFonts w:eastAsia="標楷體"/>
        </w:rPr>
        <w:t>漂綠風險</w:t>
      </w:r>
      <w:proofErr w:type="gramEnd"/>
      <w:r>
        <w:rPr>
          <w:rFonts w:eastAsia="標楷體"/>
        </w:rPr>
        <w:t>」為核心邏輯鏈，提出以下三個相互串聯的研究問題：</w:t>
      </w:r>
    </w:p>
    <w:p w:rsidR="00D7388A" w:rsidRDefault="00D7388A">
      <w:pPr>
        <w:spacing w:before="150" w:after="150" w:line="300" w:lineRule="exact"/>
        <w:ind w:firstLine="482"/>
        <w:jc w:val="both"/>
        <w:rPr>
          <w:rFonts w:hint="eastAsia"/>
        </w:rPr>
      </w:pPr>
    </w:p>
    <w:p w:rsidR="00D47F8F" w:rsidRPr="00D47F8F" w:rsidRDefault="00933A5B" w:rsidP="00D47F8F">
      <w:pPr>
        <w:ind w:firstLine="480"/>
        <w:rPr>
          <w:rFonts w:eastAsia="標楷體" w:hint="eastAsia"/>
        </w:rPr>
      </w:pPr>
      <w:r>
        <w:rPr>
          <w:rFonts w:eastAsia="標楷體"/>
          <w:b/>
          <w:bCs/>
        </w:rPr>
        <w:t>RQ1</w:t>
      </w:r>
      <w:r>
        <w:rPr>
          <w:rFonts w:eastAsia="標楷體"/>
          <w:b/>
          <w:bCs/>
        </w:rPr>
        <w:t>（壓力與動機）：</w:t>
      </w:r>
      <w:r w:rsidR="00D47F8F" w:rsidRPr="00D47F8F">
        <w:rPr>
          <w:rFonts w:eastAsia="標楷體" w:hint="eastAsia"/>
        </w:rPr>
        <w:t>臺灣金融業面臨的法規與制度壓力，如何影響其推動</w:t>
      </w:r>
      <w:r w:rsidR="00D47F8F" w:rsidRPr="00D47F8F">
        <w:rPr>
          <w:rFonts w:eastAsia="標楷體" w:hint="eastAsia"/>
        </w:rPr>
        <w:t xml:space="preserve"> ESG </w:t>
      </w:r>
      <w:r w:rsidR="00D47F8F" w:rsidRPr="00D47F8F">
        <w:rPr>
          <w:rFonts w:eastAsia="標楷體" w:hint="eastAsia"/>
        </w:rPr>
        <w:t>的動機？</w:t>
      </w:r>
    </w:p>
    <w:p w:rsidR="00062394" w:rsidRPr="00D47F8F" w:rsidRDefault="00062394">
      <w:pPr>
        <w:spacing w:before="150" w:after="150" w:line="300" w:lineRule="exact"/>
        <w:ind w:firstLine="482"/>
        <w:jc w:val="both"/>
      </w:pPr>
    </w:p>
    <w:p w:rsidR="00062394" w:rsidRDefault="00933A5B">
      <w:pPr>
        <w:spacing w:before="150" w:after="150" w:line="300" w:lineRule="exact"/>
        <w:ind w:firstLine="482"/>
        <w:jc w:val="both"/>
        <w:rPr>
          <w:rFonts w:eastAsia="標楷體"/>
        </w:rPr>
      </w:pPr>
      <w:r>
        <w:rPr>
          <w:rFonts w:eastAsia="標楷體"/>
          <w:b/>
          <w:bCs/>
        </w:rPr>
        <w:t>RQ2</w:t>
      </w:r>
      <w:r>
        <w:rPr>
          <w:rFonts w:eastAsia="標楷體"/>
          <w:b/>
          <w:bCs/>
        </w:rPr>
        <w:t>（動機與行為）：</w:t>
      </w:r>
      <w:r w:rsidR="00D47F8F" w:rsidRPr="00D47F8F">
        <w:rPr>
          <w:rFonts w:eastAsia="標楷體"/>
        </w:rPr>
        <w:t xml:space="preserve">RQ1 </w:t>
      </w:r>
      <w:r w:rsidR="0072415F">
        <w:rPr>
          <w:rFonts w:eastAsia="標楷體" w:hint="eastAsia"/>
        </w:rPr>
        <w:t>歸類出</w:t>
      </w:r>
      <w:r w:rsidR="0072415F">
        <w:rPr>
          <w:rFonts w:eastAsia="標楷體"/>
        </w:rPr>
        <w:t>不同</w:t>
      </w:r>
      <w:r w:rsidR="0072415F">
        <w:rPr>
          <w:rFonts w:eastAsia="標楷體" w:hint="eastAsia"/>
        </w:rPr>
        <w:t>推動</w:t>
      </w:r>
      <w:r w:rsidR="00D47F8F" w:rsidRPr="00D47F8F">
        <w:rPr>
          <w:rFonts w:eastAsia="標楷體"/>
        </w:rPr>
        <w:t>動機，如何導致「實質</w:t>
      </w:r>
      <w:proofErr w:type="gramStart"/>
      <w:r w:rsidR="00D47F8F" w:rsidRPr="00D47F8F">
        <w:rPr>
          <w:rFonts w:eastAsia="標楷體"/>
        </w:rPr>
        <w:t>採</w:t>
      </w:r>
      <w:proofErr w:type="gramEnd"/>
      <w:r w:rsidR="00D47F8F" w:rsidRPr="00D47F8F">
        <w:rPr>
          <w:rFonts w:eastAsia="標楷體"/>
        </w:rPr>
        <w:t>行」（實質投入</w:t>
      </w:r>
      <w:r w:rsidR="00D47F8F" w:rsidRPr="00D47F8F">
        <w:rPr>
          <w:rFonts w:eastAsia="標楷體"/>
        </w:rPr>
        <w:t xml:space="preserve"> ESG</w:t>
      </w:r>
      <w:r w:rsidR="00D47F8F" w:rsidRPr="00D47F8F">
        <w:rPr>
          <w:rFonts w:eastAsia="標楷體"/>
        </w:rPr>
        <w:t>）與「形式</w:t>
      </w:r>
      <w:proofErr w:type="gramStart"/>
      <w:r w:rsidR="00D47F8F" w:rsidRPr="00D47F8F">
        <w:rPr>
          <w:rFonts w:eastAsia="標楷體"/>
        </w:rPr>
        <w:t>採</w:t>
      </w:r>
      <w:proofErr w:type="gramEnd"/>
      <w:r w:rsidR="00D47F8F" w:rsidRPr="00D47F8F">
        <w:rPr>
          <w:rFonts w:eastAsia="標楷體"/>
        </w:rPr>
        <w:t>行」（形式上揭露</w:t>
      </w:r>
      <w:r w:rsidR="00D47F8F" w:rsidRPr="00D47F8F">
        <w:rPr>
          <w:rFonts w:eastAsia="標楷體"/>
        </w:rPr>
        <w:t xml:space="preserve"> ESG </w:t>
      </w:r>
      <w:r w:rsidR="00D47F8F" w:rsidRPr="00D47F8F">
        <w:rPr>
          <w:rFonts w:eastAsia="標楷體"/>
        </w:rPr>
        <w:t>資訊）的行為差異？</w:t>
      </w:r>
    </w:p>
    <w:p w:rsidR="00D47F8F" w:rsidRPr="00D47F8F" w:rsidRDefault="00D47F8F">
      <w:pPr>
        <w:spacing w:before="150" w:after="150" w:line="300" w:lineRule="exact"/>
        <w:ind w:firstLine="482"/>
        <w:jc w:val="both"/>
        <w:rPr>
          <w:rFonts w:eastAsia="標楷體" w:hint="eastAsia"/>
        </w:rPr>
      </w:pPr>
    </w:p>
    <w:p w:rsidR="00DA61B4" w:rsidRDefault="00933A5B" w:rsidP="00D47F8F">
      <w:pPr>
        <w:spacing w:before="150" w:after="150" w:line="300" w:lineRule="exact"/>
        <w:ind w:firstLine="482"/>
        <w:jc w:val="both"/>
        <w:rPr>
          <w:rFonts w:eastAsia="標楷體"/>
          <w:b/>
          <w:bCs/>
          <w:sz w:val="28"/>
          <w:szCs w:val="28"/>
        </w:rPr>
      </w:pPr>
      <w:r>
        <w:rPr>
          <w:rFonts w:eastAsia="標楷體"/>
          <w:b/>
          <w:bCs/>
        </w:rPr>
        <w:t>RQ3</w:t>
      </w:r>
      <w:r>
        <w:rPr>
          <w:rFonts w:eastAsia="標楷體"/>
          <w:b/>
          <w:bCs/>
        </w:rPr>
        <w:t>（行為與結果）：</w:t>
      </w:r>
      <w:r w:rsidR="00D47F8F" w:rsidRPr="00D47F8F">
        <w:rPr>
          <w:rFonts w:eastAsia="標楷體"/>
        </w:rPr>
        <w:t>實質</w:t>
      </w:r>
      <w:proofErr w:type="gramStart"/>
      <w:r w:rsidR="00D47F8F" w:rsidRPr="00D47F8F">
        <w:rPr>
          <w:rFonts w:eastAsia="標楷體"/>
        </w:rPr>
        <w:t>採</w:t>
      </w:r>
      <w:proofErr w:type="gramEnd"/>
      <w:r w:rsidR="00D47F8F" w:rsidRPr="00D47F8F">
        <w:rPr>
          <w:rFonts w:eastAsia="標楷體"/>
        </w:rPr>
        <w:t>行與形式</w:t>
      </w:r>
      <w:proofErr w:type="gramStart"/>
      <w:r w:rsidR="00D47F8F" w:rsidRPr="00D47F8F">
        <w:rPr>
          <w:rFonts w:eastAsia="標楷體"/>
        </w:rPr>
        <w:t>採</w:t>
      </w:r>
      <w:proofErr w:type="gramEnd"/>
      <w:r w:rsidR="00D47F8F" w:rsidRPr="00D47F8F">
        <w:rPr>
          <w:rFonts w:eastAsia="標楷體"/>
        </w:rPr>
        <w:t>行之金融業，在</w:t>
      </w:r>
      <w:r w:rsidR="00D47F8F" w:rsidRPr="00D47F8F">
        <w:rPr>
          <w:rFonts w:eastAsia="標楷體"/>
        </w:rPr>
        <w:t xml:space="preserve"> ESG </w:t>
      </w:r>
      <w:r w:rsidR="00D47F8F" w:rsidRPr="00D47F8F">
        <w:rPr>
          <w:rFonts w:eastAsia="標楷體"/>
        </w:rPr>
        <w:t>資訊品質</w:t>
      </w:r>
      <w:proofErr w:type="gramStart"/>
      <w:r w:rsidR="00D47F8F" w:rsidRPr="00D47F8F">
        <w:rPr>
          <w:rFonts w:eastAsia="標楷體"/>
        </w:rPr>
        <w:t>與漂綠風險</w:t>
      </w:r>
      <w:proofErr w:type="gramEnd"/>
      <w:r w:rsidR="00D47F8F" w:rsidRPr="00D47F8F">
        <w:rPr>
          <w:rFonts w:eastAsia="標楷體"/>
        </w:rPr>
        <w:t>上有何差異？</w:t>
      </w:r>
      <w:r w:rsidR="00DA61B4">
        <w:rPr>
          <w:rFonts w:eastAsia="標楷體"/>
        </w:rPr>
        <w:br w:type="page"/>
      </w:r>
    </w:p>
    <w:p w:rsidR="00062394" w:rsidRDefault="00933A5B">
      <w:pPr>
        <w:pStyle w:val="1"/>
      </w:pPr>
      <w:bookmarkStart w:id="5" w:name="_Toc227942073"/>
      <w:r>
        <w:rPr>
          <w:rFonts w:eastAsia="標楷體"/>
        </w:rPr>
        <w:lastRenderedPageBreak/>
        <w:t>貳、文獻探討</w:t>
      </w:r>
      <w:bookmarkEnd w:id="5"/>
    </w:p>
    <w:p w:rsidR="00062394" w:rsidRDefault="00933A5B">
      <w:pPr>
        <w:pStyle w:val="2"/>
        <w:spacing w:before="300" w:after="300" w:line="360" w:lineRule="exact"/>
      </w:pPr>
      <w:bookmarkStart w:id="6" w:name="_Toc227942074"/>
      <w:r>
        <w:rPr>
          <w:rFonts w:eastAsia="標楷體"/>
        </w:rPr>
        <w:t>一、</w:t>
      </w:r>
      <w:r w:rsidR="00794AD0" w:rsidRPr="00794AD0">
        <w:rPr>
          <w:rFonts w:eastAsia="標楷體" w:hint="eastAsia"/>
          <w:b w:val="0"/>
          <w:bCs w:val="0"/>
        </w:rPr>
        <w:t>制度理論與</w:t>
      </w:r>
      <w:r w:rsidR="00794AD0" w:rsidRPr="00794AD0">
        <w:rPr>
          <w:rFonts w:eastAsia="標楷體"/>
          <w:b w:val="0"/>
        </w:rPr>
        <w:t>金融業</w:t>
      </w:r>
      <w:r w:rsidR="00794AD0" w:rsidRPr="00794AD0">
        <w:rPr>
          <w:rFonts w:eastAsia="標楷體"/>
          <w:b w:val="0"/>
        </w:rPr>
        <w:t xml:space="preserve"> ESG </w:t>
      </w:r>
      <w:proofErr w:type="gramStart"/>
      <w:r w:rsidR="00794AD0" w:rsidRPr="00794AD0">
        <w:rPr>
          <w:rFonts w:eastAsia="標楷體"/>
          <w:b w:val="0"/>
        </w:rPr>
        <w:t>採</w:t>
      </w:r>
      <w:proofErr w:type="gramEnd"/>
      <w:r w:rsidR="00794AD0" w:rsidRPr="00794AD0">
        <w:rPr>
          <w:rFonts w:eastAsia="標楷體"/>
          <w:b w:val="0"/>
        </w:rPr>
        <w:t>行動機</w:t>
      </w:r>
      <w:bookmarkEnd w:id="6"/>
    </w:p>
    <w:p w:rsidR="00062394" w:rsidRDefault="00933A5B">
      <w:pPr>
        <w:spacing w:before="150" w:after="150" w:line="300" w:lineRule="exact"/>
        <w:ind w:firstLine="482"/>
        <w:jc w:val="both"/>
      </w:pPr>
      <w:r>
        <w:rPr>
          <w:rFonts w:eastAsia="標楷體"/>
        </w:rPr>
        <w:t>制度理論（</w:t>
      </w:r>
      <w:r>
        <w:rPr>
          <w:rFonts w:eastAsia="標楷體"/>
        </w:rPr>
        <w:t>institutional theory</w:t>
      </w:r>
      <w:r>
        <w:rPr>
          <w:rFonts w:eastAsia="標楷體"/>
        </w:rPr>
        <w:t>）為本研究之核心理論基礎。</w:t>
      </w:r>
      <w:r>
        <w:rPr>
          <w:rFonts w:eastAsia="標楷體"/>
        </w:rPr>
        <w:t xml:space="preserve">DiMaggio </w:t>
      </w:r>
      <w:r>
        <w:rPr>
          <w:rFonts w:eastAsia="標楷體"/>
        </w:rPr>
        <w:t>與</w:t>
      </w:r>
      <w:r>
        <w:rPr>
          <w:rFonts w:eastAsia="標楷體"/>
        </w:rPr>
        <w:t xml:space="preserve"> Powell</w:t>
      </w:r>
      <w:r>
        <w:rPr>
          <w:rFonts w:eastAsia="標楷體"/>
        </w:rPr>
        <w:t>（</w:t>
      </w:r>
      <w:r>
        <w:rPr>
          <w:rFonts w:eastAsia="標楷體"/>
        </w:rPr>
        <w:t>1983</w:t>
      </w:r>
      <w:r>
        <w:rPr>
          <w:rFonts w:eastAsia="標楷體"/>
        </w:rPr>
        <w:t>）提出制度同形化（</w:t>
      </w:r>
      <w:r>
        <w:rPr>
          <w:rFonts w:eastAsia="標楷體"/>
        </w:rPr>
        <w:t>institutional isomorphism</w:t>
      </w:r>
      <w:r>
        <w:rPr>
          <w:rFonts w:eastAsia="標楷體"/>
        </w:rPr>
        <w:t>）的概念，認為組織在同一制度場域中會受到三種壓力而趨於同質化：第一，強制性壓力（</w:t>
      </w:r>
      <w:r>
        <w:rPr>
          <w:rFonts w:eastAsia="標楷體"/>
        </w:rPr>
        <w:t>coercive pressure</w:t>
      </w:r>
      <w:r>
        <w:rPr>
          <w:rFonts w:eastAsia="標楷體"/>
        </w:rPr>
        <w:t>），來自政府法規、上級機關或資源提供者的強制要求；第二，模仿性壓力（</w:t>
      </w:r>
      <w:r>
        <w:rPr>
          <w:rFonts w:eastAsia="標楷體"/>
        </w:rPr>
        <w:t>mimetic pressure</w:t>
      </w:r>
      <w:r>
        <w:rPr>
          <w:rFonts w:eastAsia="標楷體"/>
        </w:rPr>
        <w:t>），指組織面臨不確定性時，傾向模仿其他已成功之組織的做法；第三，規範性壓力（</w:t>
      </w:r>
      <w:r>
        <w:rPr>
          <w:rFonts w:eastAsia="標楷體"/>
        </w:rPr>
        <w:t>normative pressure</w:t>
      </w:r>
      <w:r>
        <w:rPr>
          <w:rFonts w:eastAsia="標楷體"/>
        </w:rPr>
        <w:t>），源於專業團體、產業標準或教育訓練所形成的共同規範。此三種壓力機制已被廣泛應用於解釋組織行為的趨同現象。</w:t>
      </w:r>
    </w:p>
    <w:p w:rsidR="00062394" w:rsidRDefault="00933A5B">
      <w:pPr>
        <w:spacing w:before="150" w:after="150" w:line="300" w:lineRule="exact"/>
        <w:ind w:firstLine="482"/>
        <w:jc w:val="both"/>
      </w:pPr>
      <w:r>
        <w:rPr>
          <w:rFonts w:eastAsia="標楷體"/>
        </w:rPr>
        <w:t>在</w:t>
      </w:r>
      <w:r>
        <w:rPr>
          <w:rFonts w:eastAsia="標楷體"/>
        </w:rPr>
        <w:t xml:space="preserve"> ESG </w:t>
      </w:r>
      <w:r>
        <w:rPr>
          <w:rFonts w:eastAsia="標楷體"/>
        </w:rPr>
        <w:t>領域中，臺灣企業所面臨的制度壓力可對應上述三種類型。在強制性壓力方面，金管會自民國</w:t>
      </w:r>
      <w:r>
        <w:rPr>
          <w:rFonts w:eastAsia="標楷體"/>
        </w:rPr>
        <w:t xml:space="preserve"> 111 </w:t>
      </w:r>
      <w:r>
        <w:rPr>
          <w:rFonts w:eastAsia="標楷體"/>
        </w:rPr>
        <w:t>年起陸續發布「上市櫃公司永續發展路徑圖」及「上市櫃公司永續發展行動方案」（金融監督管理委員會，民</w:t>
      </w:r>
      <w:r>
        <w:rPr>
          <w:rFonts w:eastAsia="標楷體"/>
        </w:rPr>
        <w:t xml:space="preserve"> 112</w:t>
      </w:r>
      <w:r>
        <w:rPr>
          <w:rFonts w:eastAsia="標楷體"/>
        </w:rPr>
        <w:t>），強制要求上市櫃公司分階段完成溫室氣體盤查、取得第三方確信，並編製永續報告書，構成企業推動</w:t>
      </w:r>
      <w:r>
        <w:rPr>
          <w:rFonts w:eastAsia="標楷體"/>
        </w:rPr>
        <w:t xml:space="preserve"> ESG </w:t>
      </w:r>
      <w:r>
        <w:rPr>
          <w:rFonts w:eastAsia="標楷體"/>
        </w:rPr>
        <w:t>最直接的制度壓力。在模仿性壓力方面，當產業領導者率先投入</w:t>
      </w:r>
      <w:r>
        <w:rPr>
          <w:rFonts w:eastAsia="標楷體"/>
        </w:rPr>
        <w:t xml:space="preserve"> ESG </w:t>
      </w:r>
      <w:r>
        <w:rPr>
          <w:rFonts w:eastAsia="標楷體"/>
        </w:rPr>
        <w:t>並獲得市場肯定時，其他企業傾向效仿以降低不確定性。在規範性壓力方面，國際供應鏈要求（如</w:t>
      </w:r>
      <w:r>
        <w:rPr>
          <w:rFonts w:eastAsia="標楷體"/>
        </w:rPr>
        <w:t xml:space="preserve"> RBA </w:t>
      </w:r>
      <w:r>
        <w:rPr>
          <w:rFonts w:eastAsia="標楷體"/>
        </w:rPr>
        <w:t>責任商業聯盟）、永續金融評鑑，以及會計師事務所的確信標準，均對企業形成專業規範層面的壓力。</w:t>
      </w:r>
    </w:p>
    <w:p w:rsidR="00062394" w:rsidRDefault="00933A5B">
      <w:pPr>
        <w:spacing w:before="150" w:after="150" w:line="300" w:lineRule="exact"/>
        <w:ind w:firstLine="482"/>
        <w:jc w:val="both"/>
      </w:pPr>
      <w:r>
        <w:rPr>
          <w:rFonts w:eastAsia="標楷體"/>
        </w:rPr>
        <w:t>范植閎（民</w:t>
      </w:r>
      <w:r>
        <w:rPr>
          <w:rFonts w:eastAsia="標楷體"/>
        </w:rPr>
        <w:t xml:space="preserve"> 114</w:t>
      </w:r>
      <w:r>
        <w:rPr>
          <w:rFonts w:eastAsia="標楷體"/>
        </w:rPr>
        <w:t>）的研究進一步指出，制度壓力中的財務誘因（如可持續發展連結債券</w:t>
      </w:r>
      <w:r>
        <w:rPr>
          <w:rFonts w:eastAsia="標楷體"/>
        </w:rPr>
        <w:t xml:space="preserve"> SLBs</w:t>
      </w:r>
      <w:r>
        <w:rPr>
          <w:rFonts w:eastAsia="標楷體"/>
        </w:rPr>
        <w:t>）會影響企業從「象徵性服從」轉向「實質投入」的可能性，顯示制度壓力的設計方式對企業採行動機具有調節效果。胡詠晴（民</w:t>
      </w:r>
      <w:r>
        <w:rPr>
          <w:rFonts w:eastAsia="標楷體"/>
        </w:rPr>
        <w:t xml:space="preserve"> 114</w:t>
      </w:r>
      <w:r>
        <w:rPr>
          <w:rFonts w:eastAsia="標楷體"/>
        </w:rPr>
        <w:t>）以臺灣某電子業上市公司為個案的研究亦觀察到，企業的</w:t>
      </w:r>
      <w:r>
        <w:rPr>
          <w:rFonts w:eastAsia="標楷體"/>
        </w:rPr>
        <w:t xml:space="preserve"> ESG </w:t>
      </w:r>
      <w:r>
        <w:rPr>
          <w:rFonts w:eastAsia="標楷體"/>
        </w:rPr>
        <w:t>行為深受外部制度壓力的驅動，但不同壓力來源所產生的動機強度與真實程度存在差異。綜合而言，制度理論為理解企業推動</w:t>
      </w:r>
      <w:r>
        <w:rPr>
          <w:rFonts w:eastAsia="標楷體"/>
        </w:rPr>
        <w:t xml:space="preserve"> ESG </w:t>
      </w:r>
      <w:r>
        <w:rPr>
          <w:rFonts w:eastAsia="標楷體"/>
        </w:rPr>
        <w:t>的動機提供了有力的分析框架，而不同類型的制度壓力如何影響採行動機，正是本研究</w:t>
      </w:r>
      <w:r>
        <w:rPr>
          <w:rFonts w:eastAsia="標楷體"/>
        </w:rPr>
        <w:t xml:space="preserve"> RQ1 </w:t>
      </w:r>
      <w:r>
        <w:rPr>
          <w:rFonts w:eastAsia="標楷體"/>
        </w:rPr>
        <w:t>所欲探討之核心問題。</w:t>
      </w:r>
    </w:p>
    <w:p w:rsidR="00062394" w:rsidRDefault="00933A5B">
      <w:pPr>
        <w:pStyle w:val="2"/>
        <w:spacing w:before="300" w:after="300" w:line="360" w:lineRule="exact"/>
      </w:pPr>
      <w:bookmarkStart w:id="7" w:name="_Toc227942075"/>
      <w:r>
        <w:rPr>
          <w:rFonts w:eastAsia="標楷體"/>
        </w:rPr>
        <w:t>二、</w:t>
      </w:r>
      <w:r w:rsidR="005C44F0" w:rsidRPr="005C44F0">
        <w:rPr>
          <w:rFonts w:eastAsia="標楷體" w:hint="eastAsia"/>
          <w:b w:val="0"/>
          <w:bCs w:val="0"/>
        </w:rPr>
        <w:t>實質</w:t>
      </w:r>
      <w:proofErr w:type="gramStart"/>
      <w:r w:rsidR="005C44F0" w:rsidRPr="005C44F0">
        <w:rPr>
          <w:rFonts w:eastAsia="標楷體" w:hint="eastAsia"/>
          <w:b w:val="0"/>
          <w:bCs w:val="0"/>
        </w:rPr>
        <w:t>採</w:t>
      </w:r>
      <w:proofErr w:type="gramEnd"/>
      <w:r w:rsidR="005C44F0" w:rsidRPr="005C44F0">
        <w:rPr>
          <w:rFonts w:eastAsia="標楷體" w:hint="eastAsia"/>
          <w:b w:val="0"/>
          <w:bCs w:val="0"/>
        </w:rPr>
        <w:t>行與形式</w:t>
      </w:r>
      <w:proofErr w:type="gramStart"/>
      <w:r w:rsidR="005C44F0" w:rsidRPr="005C44F0">
        <w:rPr>
          <w:rFonts w:eastAsia="標楷體" w:hint="eastAsia"/>
          <w:b w:val="0"/>
          <w:bCs w:val="0"/>
        </w:rPr>
        <w:t>採</w:t>
      </w:r>
      <w:proofErr w:type="gramEnd"/>
      <w:r w:rsidR="005C44F0" w:rsidRPr="005C44F0">
        <w:rPr>
          <w:rFonts w:eastAsia="標楷體" w:hint="eastAsia"/>
          <w:b w:val="0"/>
          <w:bCs w:val="0"/>
        </w:rPr>
        <w:t>行</w:t>
      </w:r>
      <w:r w:rsidR="005C44F0" w:rsidRPr="005C44F0">
        <w:rPr>
          <w:rFonts w:eastAsia="標楷體"/>
          <w:b w:val="0"/>
        </w:rPr>
        <w:t>之區分</w:t>
      </w:r>
      <w:bookmarkEnd w:id="7"/>
    </w:p>
    <w:p w:rsidR="00062394" w:rsidRDefault="00933A5B">
      <w:pPr>
        <w:spacing w:before="150" w:after="150" w:line="300" w:lineRule="exact"/>
        <w:ind w:firstLine="482"/>
        <w:jc w:val="both"/>
      </w:pPr>
      <w:r>
        <w:rPr>
          <w:rFonts w:eastAsia="標楷體"/>
        </w:rPr>
        <w:t>制度理論中另一個重要概念為「脫</w:t>
      </w:r>
      <w:proofErr w:type="gramStart"/>
      <w:r>
        <w:rPr>
          <w:rFonts w:eastAsia="標楷體"/>
        </w:rPr>
        <w:t>鉤</w:t>
      </w:r>
      <w:proofErr w:type="gramEnd"/>
      <w:r>
        <w:rPr>
          <w:rFonts w:eastAsia="標楷體"/>
        </w:rPr>
        <w:t>」（</w:t>
      </w:r>
      <w:r>
        <w:rPr>
          <w:rFonts w:eastAsia="標楷體"/>
        </w:rPr>
        <w:t>decoupling</w:t>
      </w:r>
      <w:r>
        <w:rPr>
          <w:rFonts w:eastAsia="標楷體"/>
        </w:rPr>
        <w:t>），由</w:t>
      </w:r>
      <w:r>
        <w:rPr>
          <w:rFonts w:eastAsia="標楷體"/>
        </w:rPr>
        <w:t xml:space="preserve"> Meyer </w:t>
      </w:r>
      <w:r>
        <w:rPr>
          <w:rFonts w:eastAsia="標楷體"/>
        </w:rPr>
        <w:t>與</w:t>
      </w:r>
      <w:r>
        <w:rPr>
          <w:rFonts w:eastAsia="標楷體"/>
        </w:rPr>
        <w:t xml:space="preserve"> Rowan</w:t>
      </w:r>
      <w:r>
        <w:rPr>
          <w:rFonts w:eastAsia="標楷體"/>
        </w:rPr>
        <w:t>（</w:t>
      </w:r>
      <w:r>
        <w:rPr>
          <w:rFonts w:eastAsia="標楷體"/>
        </w:rPr>
        <w:t>1977</w:t>
      </w:r>
      <w:r>
        <w:rPr>
          <w:rFonts w:eastAsia="標楷體"/>
        </w:rPr>
        <w:t>）最早提出，意指組織為了回應制度壓力而在表面上採納某些做法或結構，但實際運作卻與之脫節。應用於</w:t>
      </w:r>
      <w:r>
        <w:rPr>
          <w:rFonts w:eastAsia="標楷體"/>
        </w:rPr>
        <w:t xml:space="preserve"> ESG </w:t>
      </w:r>
      <w:r>
        <w:rPr>
          <w:rFonts w:eastAsia="標楷體"/>
        </w:rPr>
        <w:t>領域，脫鉤現象表現為企業在對外揭露上展現積極的永續形象，但內部實際作為卻未真正落實，形成「形式採行」與「實質採行」的差異。</w:t>
      </w:r>
    </w:p>
    <w:p w:rsidR="00062394" w:rsidRDefault="00933A5B">
      <w:pPr>
        <w:spacing w:before="150" w:after="150" w:line="300" w:lineRule="exact"/>
        <w:ind w:firstLine="482"/>
        <w:jc w:val="both"/>
      </w:pPr>
      <w:r>
        <w:rPr>
          <w:rFonts w:eastAsia="標楷體"/>
        </w:rPr>
        <w:t>所謂實質採行，係指企業基於真正的永續轉型動機，將</w:t>
      </w:r>
      <w:r>
        <w:rPr>
          <w:rFonts w:eastAsia="標楷體"/>
        </w:rPr>
        <w:t xml:space="preserve"> ESG </w:t>
      </w:r>
      <w:r>
        <w:rPr>
          <w:rFonts w:eastAsia="標楷體"/>
        </w:rPr>
        <w:t>理念融入核心營運策略與管理流程，投入專責人力與資源，並設定具體可量化的目標與行動計畫。反之，形式採行則指企業主要為了符合法規要求或回應外部壓力，在永續報告書及相關揭露文件中呈現正面資訊，但實際上未將</w:t>
      </w:r>
      <w:r>
        <w:rPr>
          <w:rFonts w:eastAsia="標楷體"/>
        </w:rPr>
        <w:t xml:space="preserve"> ESG </w:t>
      </w:r>
      <w:r>
        <w:rPr>
          <w:rFonts w:eastAsia="標楷體"/>
        </w:rPr>
        <w:t>納入核心決策，資源投入有限，且缺乏具體的改善措施。</w:t>
      </w:r>
    </w:p>
    <w:p w:rsidR="00062394" w:rsidRDefault="00933A5B">
      <w:pPr>
        <w:spacing w:before="150" w:after="150" w:line="300" w:lineRule="exact"/>
        <w:ind w:firstLine="482"/>
        <w:jc w:val="both"/>
      </w:pPr>
      <w:r>
        <w:rPr>
          <w:rFonts w:eastAsia="標楷體"/>
        </w:rPr>
        <w:t>胡詠晴（民</w:t>
      </w:r>
      <w:r>
        <w:rPr>
          <w:rFonts w:eastAsia="標楷體"/>
        </w:rPr>
        <w:t xml:space="preserve"> 114</w:t>
      </w:r>
      <w:r>
        <w:rPr>
          <w:rFonts w:eastAsia="標楷體"/>
        </w:rPr>
        <w:t>）的個案研究提供了實質採行與形式採行差異的直接觀察。該研究發現，受訪企業雖已編製永續報告書並揭露相關資訊，但部分</w:t>
      </w:r>
      <w:r>
        <w:rPr>
          <w:rFonts w:eastAsia="標楷體"/>
        </w:rPr>
        <w:t xml:space="preserve"> ESG </w:t>
      </w:r>
      <w:r>
        <w:rPr>
          <w:rFonts w:eastAsia="標楷體"/>
        </w:rPr>
        <w:t>行為仍停留在「象徵性」層次，與管理層實際重視程度之間存在落差。明道增（民</w:t>
      </w:r>
      <w:r>
        <w:rPr>
          <w:rFonts w:eastAsia="標楷體"/>
        </w:rPr>
        <w:t xml:space="preserve"> 113</w:t>
      </w:r>
      <w:r>
        <w:rPr>
          <w:rFonts w:eastAsia="標楷體"/>
        </w:rPr>
        <w:t>）則從評估架構的角度出發，建置了一套適用於臺灣企業的漂綠行為評估框架，其中所列之評估指標可作為區分實質採行與形式採行的參考依據。該架構涵蓋企業在減碳目標設定、確信範圍、以及承諾與績效一致性等面向的表現，為本研究建構判斷指標表提供了重要的文</w:t>
      </w:r>
      <w:r>
        <w:rPr>
          <w:rFonts w:eastAsia="標楷體"/>
        </w:rPr>
        <w:lastRenderedPageBreak/>
        <w:t>獻基礎。</w:t>
      </w:r>
    </w:p>
    <w:p w:rsidR="00062394" w:rsidRDefault="00933A5B">
      <w:pPr>
        <w:spacing w:before="150" w:after="150" w:line="300" w:lineRule="exact"/>
        <w:ind w:firstLine="482"/>
        <w:jc w:val="both"/>
      </w:pPr>
      <w:r>
        <w:rPr>
          <w:rFonts w:eastAsia="標楷體"/>
        </w:rPr>
        <w:t>此外，</w:t>
      </w:r>
      <w:r>
        <w:rPr>
          <w:rFonts w:eastAsia="標楷體"/>
        </w:rPr>
        <w:t xml:space="preserve">Bothello </w:t>
      </w:r>
      <w:r>
        <w:rPr>
          <w:rFonts w:eastAsia="標楷體"/>
        </w:rPr>
        <w:t>等（</w:t>
      </w:r>
      <w:r>
        <w:rPr>
          <w:rFonts w:eastAsia="標楷體"/>
        </w:rPr>
        <w:t>2023</w:t>
      </w:r>
      <w:r>
        <w:rPr>
          <w:rFonts w:eastAsia="標楷體"/>
        </w:rPr>
        <w:t>）以</w:t>
      </w:r>
      <w:r>
        <w:rPr>
          <w:rFonts w:eastAsia="標楷體"/>
        </w:rPr>
        <w:t xml:space="preserve"> 3,004 </w:t>
      </w:r>
      <w:r>
        <w:rPr>
          <w:rFonts w:eastAsia="標楷體"/>
        </w:rPr>
        <w:t>家集團企業為樣本，實證發現</w:t>
      </w:r>
      <w:r>
        <w:rPr>
          <w:rFonts w:eastAsia="標楷體"/>
        </w:rPr>
        <w:t xml:space="preserve"> CSR </w:t>
      </w:r>
      <w:r>
        <w:rPr>
          <w:rFonts w:eastAsia="標楷體"/>
        </w:rPr>
        <w:t>脫鉤程度愈高之企業，其感知漂綠風險（</w:t>
      </w:r>
      <w:r>
        <w:rPr>
          <w:rFonts w:eastAsia="標楷體"/>
        </w:rPr>
        <w:t>perceived greenwashing risk</w:t>
      </w:r>
      <w:r>
        <w:rPr>
          <w:rFonts w:eastAsia="標楷體"/>
        </w:rPr>
        <w:t>）亦顯著提高，且市場績效因此受到負面衝擊。該研究直接將「形式採行」與「漂綠」之因果關聯加以驗證，並呼應本研究「採行方式</w:t>
      </w:r>
      <w:r>
        <w:rPr>
          <w:rFonts w:eastAsia="標楷體"/>
        </w:rPr>
        <w:t xml:space="preserve"> → </w:t>
      </w:r>
      <w:r>
        <w:rPr>
          <w:rFonts w:eastAsia="標楷體"/>
        </w:rPr>
        <w:t>漂綠風險」之核心命題。</w:t>
      </w:r>
    </w:p>
    <w:p w:rsidR="00062394" w:rsidRDefault="00803793">
      <w:pPr>
        <w:pStyle w:val="2"/>
        <w:spacing w:before="300" w:after="300" w:line="360" w:lineRule="exact"/>
      </w:pPr>
      <w:bookmarkStart w:id="8" w:name="_Toc227942076"/>
      <w:r>
        <w:rPr>
          <w:rFonts w:eastAsia="標楷體"/>
        </w:rPr>
        <w:t>三、</w:t>
      </w:r>
      <w:r w:rsidR="005C44F0" w:rsidRPr="005C44F0">
        <w:rPr>
          <w:rFonts w:eastAsia="標楷體"/>
          <w:b w:val="0"/>
        </w:rPr>
        <w:t>金融業</w:t>
      </w:r>
      <w:r w:rsidR="005C44F0" w:rsidRPr="005C44F0">
        <w:rPr>
          <w:rFonts w:eastAsia="標楷體"/>
          <w:b w:val="0"/>
        </w:rPr>
        <w:t xml:space="preserve"> ESG </w:t>
      </w:r>
      <w:r w:rsidR="005C44F0" w:rsidRPr="005C44F0">
        <w:rPr>
          <w:rFonts w:eastAsia="標楷體"/>
          <w:b w:val="0"/>
        </w:rPr>
        <w:t>資訊品質</w:t>
      </w:r>
      <w:proofErr w:type="gramStart"/>
      <w:r w:rsidR="005C44F0" w:rsidRPr="005C44F0">
        <w:rPr>
          <w:rFonts w:eastAsia="標楷體" w:hint="eastAsia"/>
          <w:b w:val="0"/>
          <w:bCs w:val="0"/>
        </w:rPr>
        <w:t>與漂綠風險</w:t>
      </w:r>
      <w:bookmarkEnd w:id="8"/>
      <w:proofErr w:type="gramEnd"/>
    </w:p>
    <w:p w:rsidR="00062394" w:rsidRDefault="00933A5B">
      <w:pPr>
        <w:spacing w:before="150" w:after="150" w:line="300" w:lineRule="exact"/>
        <w:ind w:firstLine="482"/>
        <w:jc w:val="both"/>
      </w:pPr>
      <w:proofErr w:type="gramStart"/>
      <w:r>
        <w:rPr>
          <w:rFonts w:eastAsia="標楷體"/>
        </w:rPr>
        <w:t>漂綠</w:t>
      </w:r>
      <w:proofErr w:type="gramEnd"/>
      <w:r>
        <w:rPr>
          <w:rFonts w:eastAsia="標楷體"/>
        </w:rPr>
        <w:t>（</w:t>
      </w:r>
      <w:r>
        <w:rPr>
          <w:rFonts w:eastAsia="標楷體"/>
        </w:rPr>
        <w:t>greenwashing</w:t>
      </w:r>
      <w:r>
        <w:rPr>
          <w:rFonts w:eastAsia="標楷體"/>
        </w:rPr>
        <w:t>）一詞最早由美國環保運動者</w:t>
      </w:r>
      <w:r>
        <w:rPr>
          <w:rFonts w:eastAsia="標楷體"/>
        </w:rPr>
        <w:t xml:space="preserve"> Jay Westerveld </w:t>
      </w:r>
      <w:r>
        <w:rPr>
          <w:rFonts w:eastAsia="標楷體"/>
        </w:rPr>
        <w:t>於</w:t>
      </w:r>
      <w:r>
        <w:rPr>
          <w:rFonts w:eastAsia="標楷體"/>
        </w:rPr>
        <w:t xml:space="preserve"> 1986 </w:t>
      </w:r>
      <w:r>
        <w:rPr>
          <w:rFonts w:eastAsia="標楷體"/>
        </w:rPr>
        <w:t>年提出，泛指企業或組織對外塑造友善環境的形象，但實際上並未採取相應的實質行動。金管會於民國</w:t>
      </w:r>
      <w:r>
        <w:rPr>
          <w:rFonts w:eastAsia="標楷體"/>
        </w:rPr>
        <w:t xml:space="preserve"> 113 </w:t>
      </w:r>
      <w:r>
        <w:rPr>
          <w:rFonts w:eastAsia="標楷體"/>
        </w:rPr>
        <w:t>年發布之「金融機構防漂綠參考指引」中，將漂綠定義為：「金融機構在永續相關之聲明、行動或陳述中，提供無法令人清楚理解或過於誇大之訊息，或僅選擇性揭露正面影響或缺乏證據支持其永續特徵之訊息，進而可能誤導金融消費者、投資人或其他市場參與者之判斷」（金融監督管理委員會，民</w:t>
      </w:r>
      <w:r>
        <w:rPr>
          <w:rFonts w:eastAsia="標楷體"/>
        </w:rPr>
        <w:t xml:space="preserve"> 113a</w:t>
      </w:r>
      <w:r>
        <w:rPr>
          <w:rFonts w:eastAsia="標楷體"/>
        </w:rPr>
        <w:t>）。此一定義雖針對金融機構，但其核心概念</w:t>
      </w:r>
      <w:r>
        <w:rPr>
          <w:rFonts w:eastAsia="標楷體"/>
        </w:rPr>
        <w:t>——</w:t>
      </w:r>
      <w:r>
        <w:rPr>
          <w:rFonts w:eastAsia="標楷體"/>
        </w:rPr>
        <w:t>資訊揭露與實質行動之間的落差</w:t>
      </w:r>
      <w:r>
        <w:rPr>
          <w:rFonts w:eastAsia="標楷體"/>
        </w:rPr>
        <w:t>——</w:t>
      </w:r>
      <w:r>
        <w:rPr>
          <w:rFonts w:eastAsia="標楷體"/>
        </w:rPr>
        <w:t>同樣適用於一般企業的</w:t>
      </w:r>
      <w:r>
        <w:rPr>
          <w:rFonts w:eastAsia="標楷體"/>
        </w:rPr>
        <w:t xml:space="preserve"> ESG </w:t>
      </w:r>
      <w:r>
        <w:rPr>
          <w:rFonts w:eastAsia="標楷體"/>
        </w:rPr>
        <w:t>實務。</w:t>
      </w:r>
    </w:p>
    <w:p w:rsidR="00062394" w:rsidRDefault="00933A5B">
      <w:pPr>
        <w:spacing w:before="150" w:after="150" w:line="300" w:lineRule="exact"/>
        <w:ind w:firstLine="482"/>
        <w:jc w:val="both"/>
      </w:pPr>
      <w:r>
        <w:rPr>
          <w:rFonts w:eastAsia="標楷體"/>
        </w:rPr>
        <w:t>在漂綠之驅動因素方面，</w:t>
      </w:r>
      <w:r>
        <w:rPr>
          <w:rFonts w:eastAsia="標楷體"/>
        </w:rPr>
        <w:t xml:space="preserve">Delmas </w:t>
      </w:r>
      <w:r>
        <w:rPr>
          <w:rFonts w:eastAsia="標楷體"/>
        </w:rPr>
        <w:t>與</w:t>
      </w:r>
      <w:r>
        <w:rPr>
          <w:rFonts w:eastAsia="標楷體"/>
        </w:rPr>
        <w:t xml:space="preserve"> Burbano</w:t>
      </w:r>
      <w:r>
        <w:rPr>
          <w:rFonts w:eastAsia="標楷體"/>
        </w:rPr>
        <w:t>（</w:t>
      </w:r>
      <w:r>
        <w:rPr>
          <w:rFonts w:eastAsia="標楷體"/>
        </w:rPr>
        <w:t>2011</w:t>
      </w:r>
      <w:r>
        <w:rPr>
          <w:rFonts w:eastAsia="標楷體"/>
        </w:rPr>
        <w:t>）提出了廣泛被引用的分析框架，將漂綠界定為企業同時具備「環境績效不佳」與「對外正面溝通」的行為，並從外部（制度與市場）、組織內部與個人決策三個層次系統性地分析其驅動因素，指出制度規範不足、資訊不對稱以及管理者有限理性等均會促成漂綠行為之發生。</w:t>
      </w:r>
      <w:r>
        <w:rPr>
          <w:rFonts w:eastAsia="標楷體"/>
        </w:rPr>
        <w:t>Marquis</w:t>
      </w:r>
      <w:r>
        <w:rPr>
          <w:rFonts w:eastAsia="標楷體"/>
        </w:rPr>
        <w:t>、</w:t>
      </w:r>
      <w:r>
        <w:rPr>
          <w:rFonts w:eastAsia="標楷體"/>
        </w:rPr>
        <w:t xml:space="preserve">Toffel </w:t>
      </w:r>
      <w:r>
        <w:rPr>
          <w:rFonts w:eastAsia="標楷體"/>
        </w:rPr>
        <w:t>與</w:t>
      </w:r>
      <w:r>
        <w:rPr>
          <w:rFonts w:eastAsia="標楷體"/>
        </w:rPr>
        <w:t xml:space="preserve"> Zhou</w:t>
      </w:r>
      <w:r>
        <w:rPr>
          <w:rFonts w:eastAsia="標楷體"/>
        </w:rPr>
        <w:t>（</w:t>
      </w:r>
      <w:r>
        <w:rPr>
          <w:rFonts w:eastAsia="標楷體"/>
        </w:rPr>
        <w:t>2016</w:t>
      </w:r>
      <w:r>
        <w:rPr>
          <w:rFonts w:eastAsia="標楷體"/>
        </w:rPr>
        <w:t>）則以</w:t>
      </w:r>
      <w:r>
        <w:rPr>
          <w:rFonts w:eastAsia="標楷體"/>
        </w:rPr>
        <w:t xml:space="preserve"> 45 </w:t>
      </w:r>
      <w:r>
        <w:rPr>
          <w:rFonts w:eastAsia="標楷體"/>
        </w:rPr>
        <w:t>個國家、</w:t>
      </w:r>
      <w:r>
        <w:rPr>
          <w:rFonts w:eastAsia="標楷體"/>
        </w:rPr>
        <w:t xml:space="preserve">4,750 </w:t>
      </w:r>
      <w:r>
        <w:rPr>
          <w:rFonts w:eastAsia="標楷體"/>
        </w:rPr>
        <w:t>家上市公司之跨國樣本進一步實證發現，在面臨揭露壓力時，企業傾向「選擇性揭露」相對無害之環境影響資訊，藉此營造透明假象而掩飾真實績效；該研究亦指出，公民社會之監督力道與全球規範之擴散，能有效抑制此類選擇性揭露。此二研究對本研究</w:t>
      </w:r>
      <w:r>
        <w:rPr>
          <w:rFonts w:eastAsia="標楷體"/>
        </w:rPr>
        <w:t xml:space="preserve"> RQ3 </w:t>
      </w:r>
      <w:r>
        <w:rPr>
          <w:rFonts w:eastAsia="標楷體"/>
        </w:rPr>
        <w:t>所關注之「揭露品質落差</w:t>
      </w:r>
      <w:r>
        <w:rPr>
          <w:rFonts w:eastAsia="標楷體"/>
        </w:rPr>
        <w:t xml:space="preserve"> → </w:t>
      </w:r>
      <w:r>
        <w:rPr>
          <w:rFonts w:eastAsia="標楷體"/>
        </w:rPr>
        <w:t>漂綠風險」具有直接啟發。</w:t>
      </w:r>
    </w:p>
    <w:p w:rsidR="00062394" w:rsidRDefault="00933A5B">
      <w:pPr>
        <w:spacing w:before="150" w:after="150" w:line="300" w:lineRule="exact"/>
        <w:ind w:firstLine="482"/>
        <w:jc w:val="both"/>
      </w:pPr>
      <w:r>
        <w:rPr>
          <w:rFonts w:eastAsia="標楷體"/>
        </w:rPr>
        <w:t>值得注意的是，漂綠與法規規避（</w:t>
      </w:r>
      <w:r>
        <w:rPr>
          <w:rFonts w:eastAsia="標楷體"/>
        </w:rPr>
        <w:t>regulatory avoidance</w:t>
      </w:r>
      <w:r>
        <w:rPr>
          <w:rFonts w:eastAsia="標楷體"/>
        </w:rPr>
        <w:t>）雖常被混淆，但兩者在本質上有根本差異。法規規避係指企業透過法律漏洞或技術手段，設法不遵守或迴避法規要求，屬於「不做」的範疇；漂綠則是企業表面上「有做」，但實際作為與對外宣稱之間存在落差，屬於「做假或做表面」的範疇。兩者之比較如表</w:t>
      </w:r>
      <w:r>
        <w:rPr>
          <w:rFonts w:eastAsia="標楷體"/>
        </w:rPr>
        <w:t xml:space="preserve"> 2 </w:t>
      </w:r>
      <w:r>
        <w:rPr>
          <w:rFonts w:eastAsia="標楷體"/>
        </w:rPr>
        <w:t>所示。</w:t>
      </w:r>
    </w:p>
    <w:p w:rsidR="00062394" w:rsidRDefault="00933A5B">
      <w:pPr>
        <w:spacing w:before="200" w:after="100" w:line="300" w:lineRule="exact"/>
        <w:jc w:val="center"/>
      </w:pPr>
      <w:r>
        <w:rPr>
          <w:rFonts w:eastAsia="標楷體"/>
          <w:b/>
          <w:bCs/>
        </w:rPr>
        <w:t>表</w:t>
      </w:r>
      <w:r>
        <w:rPr>
          <w:rFonts w:eastAsia="標楷體"/>
          <w:b/>
          <w:bCs/>
        </w:rPr>
        <w:t xml:space="preserve"> 2</w:t>
      </w:r>
      <w:r>
        <w:rPr>
          <w:rFonts w:eastAsia="標楷體"/>
          <w:b/>
          <w:bCs/>
        </w:rPr>
        <w:t xml:space="preserve">　漂綠與法規規避之比較</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35"/>
        <w:gridCol w:w="3635"/>
      </w:tblGrid>
      <w:tr w:rsidR="00062394">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vAlign w:val="center"/>
          </w:tcPr>
          <w:p w:rsidR="00062394" w:rsidRDefault="00933A5B">
            <w:pPr>
              <w:spacing w:line="280" w:lineRule="exact"/>
              <w:jc w:val="center"/>
            </w:pPr>
            <w:r>
              <w:rPr>
                <w:rFonts w:eastAsia="標楷體"/>
                <w:b/>
                <w:bCs/>
                <w:sz w:val="22"/>
                <w:szCs w:val="22"/>
              </w:rPr>
              <w:t>比較面向</w:t>
            </w:r>
          </w:p>
        </w:tc>
        <w:tc>
          <w:tcPr>
            <w:tcW w:w="3635"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vAlign w:val="center"/>
          </w:tcPr>
          <w:p w:rsidR="00062394" w:rsidRDefault="00933A5B">
            <w:pPr>
              <w:spacing w:line="280" w:lineRule="exact"/>
              <w:jc w:val="center"/>
            </w:pPr>
            <w:r>
              <w:rPr>
                <w:rFonts w:eastAsia="標楷體"/>
                <w:b/>
                <w:bCs/>
                <w:sz w:val="22"/>
                <w:szCs w:val="22"/>
              </w:rPr>
              <w:t>漂綠（</w:t>
            </w:r>
            <w:r>
              <w:rPr>
                <w:rFonts w:eastAsia="標楷體"/>
                <w:b/>
                <w:bCs/>
                <w:sz w:val="22"/>
                <w:szCs w:val="22"/>
              </w:rPr>
              <w:t>Greenwashing</w:t>
            </w:r>
            <w:r>
              <w:rPr>
                <w:rFonts w:eastAsia="標楷體"/>
                <w:b/>
                <w:bCs/>
                <w:sz w:val="22"/>
                <w:szCs w:val="22"/>
              </w:rPr>
              <w:t>）</w:t>
            </w:r>
          </w:p>
        </w:tc>
        <w:tc>
          <w:tcPr>
            <w:tcW w:w="3635"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vAlign w:val="center"/>
          </w:tcPr>
          <w:p w:rsidR="00062394" w:rsidRDefault="00933A5B">
            <w:pPr>
              <w:spacing w:line="280" w:lineRule="exact"/>
              <w:jc w:val="center"/>
            </w:pPr>
            <w:r>
              <w:rPr>
                <w:rFonts w:eastAsia="標楷體"/>
                <w:b/>
                <w:bCs/>
                <w:sz w:val="22"/>
                <w:szCs w:val="22"/>
              </w:rPr>
              <w:t>法規規避（</w:t>
            </w:r>
            <w:r>
              <w:rPr>
                <w:rFonts w:eastAsia="標楷體"/>
                <w:b/>
                <w:bCs/>
                <w:sz w:val="22"/>
                <w:szCs w:val="22"/>
              </w:rPr>
              <w:t>Regulatory Avoidance</w:t>
            </w:r>
            <w:r>
              <w:rPr>
                <w:rFonts w:eastAsia="標楷體"/>
                <w:b/>
                <w:bCs/>
                <w:sz w:val="22"/>
                <w:szCs w:val="22"/>
              </w:rPr>
              <w:t>）</w:t>
            </w:r>
          </w:p>
        </w:tc>
      </w:tr>
      <w:tr w:rsidR="00062394">
        <w:trPr>
          <w:cantSplit/>
        </w:trPr>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b/>
                <w:bCs/>
                <w:sz w:val="22"/>
                <w:szCs w:val="22"/>
              </w:rPr>
              <w:t>核心行為</w:t>
            </w:r>
          </w:p>
        </w:tc>
        <w:tc>
          <w:tcPr>
            <w:tcW w:w="363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sz w:val="22"/>
                <w:szCs w:val="22"/>
              </w:rPr>
              <w:t>有做但做假或做表面，對外誇大永續表現</w:t>
            </w:r>
          </w:p>
        </w:tc>
        <w:tc>
          <w:tcPr>
            <w:tcW w:w="363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sz w:val="22"/>
                <w:szCs w:val="22"/>
              </w:rPr>
              <w:t>設法不做，透過法律漏洞迴避義務</w:t>
            </w:r>
          </w:p>
        </w:tc>
      </w:tr>
      <w:tr w:rsidR="00062394">
        <w:trPr>
          <w:cantSplit/>
        </w:trPr>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b/>
                <w:bCs/>
                <w:sz w:val="22"/>
                <w:szCs w:val="22"/>
              </w:rPr>
              <w:t>對外表現</w:t>
            </w:r>
          </w:p>
        </w:tc>
        <w:tc>
          <w:tcPr>
            <w:tcW w:w="363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sz w:val="22"/>
                <w:szCs w:val="22"/>
              </w:rPr>
              <w:t>積極揭露</w:t>
            </w:r>
            <w:r>
              <w:rPr>
                <w:rFonts w:eastAsia="標楷體"/>
                <w:sz w:val="22"/>
                <w:szCs w:val="22"/>
              </w:rPr>
              <w:t xml:space="preserve"> ESG </w:t>
            </w:r>
            <w:r>
              <w:rPr>
                <w:rFonts w:eastAsia="標楷體"/>
                <w:sz w:val="22"/>
                <w:szCs w:val="22"/>
              </w:rPr>
              <w:t>資訊，塑造永續形象</w:t>
            </w:r>
          </w:p>
        </w:tc>
        <w:tc>
          <w:tcPr>
            <w:tcW w:w="363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sz w:val="22"/>
                <w:szCs w:val="22"/>
              </w:rPr>
              <w:t>低調迴避，盡量不揭露或延遲揭露</w:t>
            </w:r>
          </w:p>
        </w:tc>
      </w:tr>
      <w:tr w:rsidR="00062394">
        <w:trPr>
          <w:cantSplit/>
        </w:trPr>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b/>
                <w:bCs/>
                <w:sz w:val="22"/>
                <w:szCs w:val="22"/>
              </w:rPr>
              <w:t>實際作為</w:t>
            </w:r>
          </w:p>
        </w:tc>
        <w:tc>
          <w:tcPr>
            <w:tcW w:w="363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sz w:val="22"/>
                <w:szCs w:val="22"/>
              </w:rPr>
              <w:t>揭露內容與實際績效存在落差</w:t>
            </w:r>
          </w:p>
        </w:tc>
        <w:tc>
          <w:tcPr>
            <w:tcW w:w="363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sz w:val="22"/>
                <w:szCs w:val="22"/>
              </w:rPr>
              <w:t>未依規定執行</w:t>
            </w:r>
            <w:r>
              <w:rPr>
                <w:rFonts w:eastAsia="標楷體"/>
                <w:sz w:val="22"/>
                <w:szCs w:val="22"/>
              </w:rPr>
              <w:t xml:space="preserve"> ESG </w:t>
            </w:r>
            <w:r>
              <w:rPr>
                <w:rFonts w:eastAsia="標楷體"/>
                <w:sz w:val="22"/>
                <w:szCs w:val="22"/>
              </w:rPr>
              <w:t>相關作業</w:t>
            </w:r>
          </w:p>
        </w:tc>
      </w:tr>
      <w:tr w:rsidR="00062394">
        <w:trPr>
          <w:cantSplit/>
        </w:trPr>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b/>
                <w:bCs/>
                <w:sz w:val="22"/>
                <w:szCs w:val="22"/>
              </w:rPr>
              <w:t>合法性</w:t>
            </w:r>
          </w:p>
        </w:tc>
        <w:tc>
          <w:tcPr>
            <w:tcW w:w="363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sz w:val="22"/>
                <w:szCs w:val="22"/>
              </w:rPr>
              <w:t>形式上可能合法，但有道德與誠信疑慮</w:t>
            </w:r>
          </w:p>
        </w:tc>
        <w:tc>
          <w:tcPr>
            <w:tcW w:w="363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sz w:val="22"/>
                <w:szCs w:val="22"/>
              </w:rPr>
              <w:t>可能合法（鑽漏洞）或違法</w:t>
            </w:r>
          </w:p>
        </w:tc>
      </w:tr>
      <w:tr w:rsidR="00062394">
        <w:trPr>
          <w:cantSplit/>
        </w:trPr>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b/>
                <w:bCs/>
                <w:sz w:val="22"/>
                <w:szCs w:val="22"/>
              </w:rPr>
              <w:t>誤導對象</w:t>
            </w:r>
          </w:p>
        </w:tc>
        <w:tc>
          <w:tcPr>
            <w:tcW w:w="363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sz w:val="22"/>
                <w:szCs w:val="22"/>
              </w:rPr>
              <w:t>投資人、消費者、利害關係人</w:t>
            </w:r>
          </w:p>
        </w:tc>
        <w:tc>
          <w:tcPr>
            <w:tcW w:w="363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sz w:val="22"/>
                <w:szCs w:val="22"/>
              </w:rPr>
              <w:t>主管機關</w:t>
            </w:r>
          </w:p>
        </w:tc>
      </w:tr>
      <w:tr w:rsidR="00062394">
        <w:trPr>
          <w:cantSplit/>
        </w:trPr>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b/>
                <w:bCs/>
                <w:sz w:val="22"/>
                <w:szCs w:val="22"/>
              </w:rPr>
              <w:t xml:space="preserve">ESG </w:t>
            </w:r>
            <w:r>
              <w:rPr>
                <w:rFonts w:eastAsia="標楷體"/>
                <w:b/>
                <w:bCs/>
                <w:sz w:val="22"/>
                <w:szCs w:val="22"/>
              </w:rPr>
              <w:t>報告書</w:t>
            </w:r>
          </w:p>
        </w:tc>
        <w:tc>
          <w:tcPr>
            <w:tcW w:w="363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sz w:val="22"/>
                <w:szCs w:val="22"/>
              </w:rPr>
              <w:t>有編製，但內容可能誇大或選擇性揭露</w:t>
            </w:r>
          </w:p>
        </w:tc>
        <w:tc>
          <w:tcPr>
            <w:tcW w:w="363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sz w:val="22"/>
                <w:szCs w:val="22"/>
              </w:rPr>
              <w:t>未編製，或未依規定期限申報</w:t>
            </w:r>
          </w:p>
        </w:tc>
      </w:tr>
      <w:tr w:rsidR="00062394">
        <w:trPr>
          <w:cantSplit/>
        </w:trPr>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b/>
                <w:bCs/>
                <w:sz w:val="22"/>
                <w:szCs w:val="22"/>
              </w:rPr>
              <w:lastRenderedPageBreak/>
              <w:t>本研究定位</w:t>
            </w:r>
          </w:p>
        </w:tc>
        <w:tc>
          <w:tcPr>
            <w:tcW w:w="363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sz w:val="22"/>
                <w:szCs w:val="22"/>
              </w:rPr>
              <w:t xml:space="preserve">✓ </w:t>
            </w:r>
            <w:r>
              <w:rPr>
                <w:rFonts w:eastAsia="標楷體"/>
                <w:sz w:val="22"/>
                <w:szCs w:val="22"/>
              </w:rPr>
              <w:t>本研究聚焦於此</w:t>
            </w:r>
          </w:p>
        </w:tc>
        <w:tc>
          <w:tcPr>
            <w:tcW w:w="3635"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062394" w:rsidRDefault="00933A5B">
            <w:pPr>
              <w:spacing w:line="280" w:lineRule="exact"/>
            </w:pPr>
            <w:r>
              <w:rPr>
                <w:rFonts w:eastAsia="標楷體"/>
                <w:sz w:val="22"/>
                <w:szCs w:val="22"/>
              </w:rPr>
              <w:t>不在本研究範圍內</w:t>
            </w:r>
          </w:p>
        </w:tc>
      </w:tr>
    </w:tbl>
    <w:p w:rsidR="00062394" w:rsidRDefault="00933A5B">
      <w:pPr>
        <w:spacing w:before="100" w:after="200" w:line="300" w:lineRule="exact"/>
        <w:jc w:val="center"/>
      </w:pPr>
      <w:r>
        <w:rPr>
          <w:rFonts w:eastAsia="標楷體"/>
          <w:sz w:val="22"/>
          <w:szCs w:val="22"/>
        </w:rPr>
        <w:t>資料來源：本研究整理。</w:t>
      </w:r>
    </w:p>
    <w:p w:rsidR="00062394" w:rsidRDefault="00933A5B">
      <w:pPr>
        <w:spacing w:before="150" w:after="150" w:line="300" w:lineRule="exact"/>
        <w:ind w:firstLine="482"/>
        <w:jc w:val="both"/>
      </w:pPr>
      <w:r>
        <w:rPr>
          <w:rFonts w:eastAsia="標楷體"/>
        </w:rPr>
        <w:t>如表</w:t>
      </w:r>
      <w:r>
        <w:rPr>
          <w:rFonts w:eastAsia="標楷體"/>
        </w:rPr>
        <w:t xml:space="preserve"> 2 </w:t>
      </w:r>
      <w:r>
        <w:rPr>
          <w:rFonts w:eastAsia="標楷體"/>
        </w:rPr>
        <w:t>所示，本研究所聚焦的對象為已推動</w:t>
      </w:r>
      <w:r>
        <w:rPr>
          <w:rFonts w:eastAsia="標楷體"/>
        </w:rPr>
        <w:t xml:space="preserve"> ESG </w:t>
      </w:r>
      <w:r>
        <w:rPr>
          <w:rFonts w:eastAsia="標楷體"/>
        </w:rPr>
        <w:t>的企業（即已編製永續報告書、已申報</w:t>
      </w:r>
      <w:r>
        <w:rPr>
          <w:rFonts w:eastAsia="標楷體"/>
        </w:rPr>
        <w:t xml:space="preserve"> ESG </w:t>
      </w:r>
      <w:r>
        <w:rPr>
          <w:rFonts w:eastAsia="標楷體"/>
        </w:rPr>
        <w:t>資訊者），探討的是其採行方式是否實質，以及形式採行是否導致漂綠風險。未依規定編製永續報告書或未申報之企業，屬於法規規避的範疇，不在本研究的討論範圍內。此一區分有助於明確界定本研究之研究邊界，使後續分析聚焦於「有做但做假」的漂綠議題，而非「完全不做」的法規規避問題。</w:t>
      </w:r>
    </w:p>
    <w:p w:rsidR="00062394" w:rsidRDefault="00933A5B">
      <w:pPr>
        <w:spacing w:before="150" w:after="150" w:line="300" w:lineRule="exact"/>
        <w:ind w:firstLine="482"/>
        <w:jc w:val="both"/>
      </w:pPr>
      <w:r>
        <w:rPr>
          <w:rFonts w:eastAsia="標楷體"/>
        </w:rPr>
        <w:t>在</w:t>
      </w:r>
      <w:r>
        <w:rPr>
          <w:rFonts w:eastAsia="標楷體"/>
        </w:rPr>
        <w:t xml:space="preserve"> ESG </w:t>
      </w:r>
      <w:r>
        <w:rPr>
          <w:rFonts w:eastAsia="標楷體"/>
        </w:rPr>
        <w:t>資訊品質的衡量方面，鄭杭葭（民</w:t>
      </w:r>
      <w:r>
        <w:rPr>
          <w:rFonts w:eastAsia="標楷體"/>
        </w:rPr>
        <w:t xml:space="preserve"> 112</w:t>
      </w:r>
      <w:r>
        <w:rPr>
          <w:rFonts w:eastAsia="標楷體"/>
        </w:rPr>
        <w:t>）以臺灣經濟新報社（</w:t>
      </w:r>
      <w:r>
        <w:rPr>
          <w:rFonts w:eastAsia="標楷體"/>
        </w:rPr>
        <w:t>TEJ</w:t>
      </w:r>
      <w:r>
        <w:rPr>
          <w:rFonts w:eastAsia="標楷體"/>
        </w:rPr>
        <w:t>）所建構之</w:t>
      </w:r>
      <w:r>
        <w:rPr>
          <w:rFonts w:eastAsia="標楷體"/>
        </w:rPr>
        <w:t xml:space="preserve"> TESG </w:t>
      </w:r>
      <w:r>
        <w:rPr>
          <w:rFonts w:eastAsia="標楷體"/>
        </w:rPr>
        <w:t>永續資料庫為基礎，利用企業</w:t>
      </w:r>
      <w:r>
        <w:rPr>
          <w:rFonts w:eastAsia="標楷體"/>
        </w:rPr>
        <w:t xml:space="preserve"> ESG </w:t>
      </w:r>
      <w:r>
        <w:rPr>
          <w:rFonts w:eastAsia="標楷體"/>
        </w:rPr>
        <w:t>資訊揭露的「揭露分數」與「議題分數」之間的落差，作為衡量企業</w:t>
      </w:r>
      <w:r>
        <w:rPr>
          <w:rFonts w:eastAsia="標楷體"/>
        </w:rPr>
        <w:t xml:space="preserve"> ESG </w:t>
      </w:r>
      <w:r>
        <w:rPr>
          <w:rFonts w:eastAsia="標楷體"/>
        </w:rPr>
        <w:t>資訊品質的指標。其研究發現，部分企業的揭露分數很高（意即揭露的「量」充足），但議題分數卻偏低（意即揭露的「質」不佳），兩者之間的落差越大，代表漂綠風險越高。此一發現為本研究</w:t>
      </w:r>
      <w:r>
        <w:rPr>
          <w:rFonts w:eastAsia="標楷體"/>
        </w:rPr>
        <w:t xml:space="preserve"> RQ3 </w:t>
      </w:r>
      <w:r>
        <w:rPr>
          <w:rFonts w:eastAsia="標楷體"/>
        </w:rPr>
        <w:t>所探討之「不同採行方式與漂綠風險的關聯」提供了實證基礎與量化方法。</w:t>
      </w:r>
    </w:p>
    <w:p w:rsidR="00062394" w:rsidRDefault="00933A5B">
      <w:pPr>
        <w:pStyle w:val="2"/>
        <w:spacing w:before="300" w:after="300" w:line="360" w:lineRule="exact"/>
      </w:pPr>
      <w:bookmarkStart w:id="9" w:name="_Toc227942077"/>
      <w:r>
        <w:rPr>
          <w:rFonts w:eastAsia="標楷體"/>
        </w:rPr>
        <w:t>四、文獻小結與研究缺口</w:t>
      </w:r>
      <w:bookmarkEnd w:id="9"/>
    </w:p>
    <w:p w:rsidR="00062394" w:rsidRDefault="00933A5B">
      <w:pPr>
        <w:spacing w:before="150" w:after="150" w:line="300" w:lineRule="exact"/>
        <w:ind w:firstLine="482"/>
        <w:jc w:val="both"/>
      </w:pPr>
      <w:r>
        <w:rPr>
          <w:rFonts w:eastAsia="標楷體"/>
        </w:rPr>
        <w:t>綜合以上文獻探討，可以歸納出以下發現：第一，制度理論提供了理解企業推動</w:t>
      </w:r>
      <w:r>
        <w:rPr>
          <w:rFonts w:eastAsia="標楷體"/>
        </w:rPr>
        <w:t xml:space="preserve"> ESG </w:t>
      </w:r>
      <w:r>
        <w:rPr>
          <w:rFonts w:eastAsia="標楷體"/>
        </w:rPr>
        <w:t>動機的有力框架，臺灣企業所面臨的強制性、模仿性與規範性壓力，構成其採行</w:t>
      </w:r>
      <w:r>
        <w:rPr>
          <w:rFonts w:eastAsia="標楷體"/>
        </w:rPr>
        <w:t xml:space="preserve"> ESG </w:t>
      </w:r>
      <w:r>
        <w:rPr>
          <w:rFonts w:eastAsia="標楷體"/>
        </w:rPr>
        <w:t>的外部驅動力（</w:t>
      </w:r>
      <w:r>
        <w:rPr>
          <w:rFonts w:eastAsia="標楷體"/>
        </w:rPr>
        <w:t>DiMaggio &amp; Powell, 1983</w:t>
      </w:r>
      <w:r>
        <w:rPr>
          <w:rFonts w:eastAsia="標楷體"/>
        </w:rPr>
        <w:t>；金融監督管理委員會，民</w:t>
      </w:r>
      <w:r>
        <w:rPr>
          <w:rFonts w:eastAsia="標楷體"/>
        </w:rPr>
        <w:t xml:space="preserve"> 112</w:t>
      </w:r>
      <w:r>
        <w:rPr>
          <w:rFonts w:eastAsia="標楷體"/>
        </w:rPr>
        <w:t>）。第二，企業在回應制度壓力時，可能產生實質採行或形式採行的差異，此一現象可從制度理論中的「脫鉤」概念加以解釋（胡詠晴，民</w:t>
      </w:r>
      <w:r>
        <w:rPr>
          <w:rFonts w:eastAsia="標楷體"/>
        </w:rPr>
        <w:t xml:space="preserve"> 114</w:t>
      </w:r>
      <w:r>
        <w:rPr>
          <w:rFonts w:eastAsia="標楷體"/>
        </w:rPr>
        <w:t>；明道增，民</w:t>
      </w:r>
      <w:r>
        <w:rPr>
          <w:rFonts w:eastAsia="標楷體"/>
        </w:rPr>
        <w:t xml:space="preserve"> 113</w:t>
      </w:r>
      <w:r>
        <w:rPr>
          <w:rFonts w:eastAsia="標楷體"/>
        </w:rPr>
        <w:t>）。第三，形式採行的企業，其</w:t>
      </w:r>
      <w:r>
        <w:rPr>
          <w:rFonts w:eastAsia="標楷體"/>
        </w:rPr>
        <w:t xml:space="preserve"> ESG </w:t>
      </w:r>
      <w:r>
        <w:rPr>
          <w:rFonts w:eastAsia="標楷體"/>
        </w:rPr>
        <w:t>資訊品質較低，漂綠風險較高，可透過揭露分數與議題分數的落差加以衡量（鄭杭葭，民</w:t>
      </w:r>
      <w:r>
        <w:rPr>
          <w:rFonts w:eastAsia="標楷體"/>
        </w:rPr>
        <w:t xml:space="preserve"> 112</w:t>
      </w:r>
      <w:r>
        <w:rPr>
          <w:rFonts w:eastAsia="標楷體"/>
        </w:rPr>
        <w:t>）。</w:t>
      </w:r>
    </w:p>
    <w:p w:rsidR="00062394" w:rsidRDefault="00933A5B">
      <w:pPr>
        <w:spacing w:before="150" w:after="150" w:line="300" w:lineRule="exact"/>
        <w:ind w:firstLine="482"/>
        <w:jc w:val="both"/>
      </w:pPr>
      <w:r>
        <w:rPr>
          <w:rFonts w:eastAsia="標楷體"/>
        </w:rPr>
        <w:t>然而，現有文獻在以下方面仍存在研究缺口：其一，多數研究僅探討因果鏈中的單一環節（如壓力與行為、或行為與漂綠），鮮少有研究從制度理論的視角，系統性地串聯「制度壓力</w:t>
      </w:r>
      <w:r>
        <w:rPr>
          <w:rFonts w:eastAsia="標楷體"/>
        </w:rPr>
        <w:t>→</w:t>
      </w:r>
      <w:r>
        <w:rPr>
          <w:rFonts w:eastAsia="標楷體"/>
        </w:rPr>
        <w:t>採行動機</w:t>
      </w:r>
      <w:r>
        <w:rPr>
          <w:rFonts w:eastAsia="標楷體"/>
        </w:rPr>
        <w:t>→</w:t>
      </w:r>
      <w:r>
        <w:rPr>
          <w:rFonts w:eastAsia="標楷體"/>
        </w:rPr>
        <w:t>採行方式</w:t>
      </w:r>
      <w:r>
        <w:rPr>
          <w:rFonts w:eastAsia="標楷體"/>
        </w:rPr>
        <w:t>→</w:t>
      </w:r>
      <w:r>
        <w:rPr>
          <w:rFonts w:eastAsia="標楷體"/>
        </w:rPr>
        <w:t>漂綠風險」的完整因果鏈。其二，現有研究對於「實質採行」與「形式採行」的區分多停留在概念層次，缺乏以公開次級資料為基礎的可操作化判斷指標。其三，以臺灣金融業為對象，結合制度理論與漂綠風險進行探索性分析之研究，在國內文獻中尚屬闕如。本研究旨在填補上述缺口，透過建構因果分析架構與判斷指標表，為此一議題提供初步的探索性貢獻。</w:t>
      </w:r>
    </w:p>
    <w:p w:rsidR="00DA61B4" w:rsidRDefault="00DA61B4">
      <w:pPr>
        <w:widowControl/>
        <w:rPr>
          <w:rFonts w:eastAsia="標楷體"/>
          <w:b/>
          <w:bCs/>
          <w:sz w:val="28"/>
          <w:szCs w:val="28"/>
        </w:rPr>
      </w:pPr>
      <w:r>
        <w:rPr>
          <w:rFonts w:eastAsia="標楷體"/>
        </w:rPr>
        <w:br w:type="page"/>
      </w:r>
    </w:p>
    <w:p w:rsidR="00062394" w:rsidRDefault="00933A5B">
      <w:pPr>
        <w:pStyle w:val="1"/>
      </w:pPr>
      <w:bookmarkStart w:id="10" w:name="_Toc227942078"/>
      <w:r>
        <w:rPr>
          <w:rFonts w:eastAsia="標楷體"/>
        </w:rPr>
        <w:lastRenderedPageBreak/>
        <w:t>參、研究架構與預期貢獻</w:t>
      </w:r>
      <w:bookmarkEnd w:id="10"/>
    </w:p>
    <w:p w:rsidR="00062394" w:rsidRDefault="00933A5B">
      <w:pPr>
        <w:spacing w:before="150" w:after="150" w:line="300" w:lineRule="exact"/>
        <w:ind w:firstLine="482"/>
        <w:jc w:val="both"/>
      </w:pPr>
      <w:r>
        <w:rPr>
          <w:rFonts w:eastAsia="標楷體"/>
        </w:rPr>
        <w:t>本研究以制度理論為基礎，聚焦於探討臺灣企業在不同制度壓力下推動</w:t>
      </w:r>
      <w:r>
        <w:rPr>
          <w:rFonts w:eastAsia="標楷體"/>
        </w:rPr>
        <w:t xml:space="preserve"> ESG </w:t>
      </w:r>
      <w:r>
        <w:rPr>
          <w:rFonts w:eastAsia="標楷體"/>
        </w:rPr>
        <w:t>的動機差異，以及該動機如何影響採行方式，進而產生不同程度的漂綠風險。在學術面，本研究填補現有文獻缺乏從制度理論視角系統性探討</w:t>
      </w:r>
      <w:r>
        <w:rPr>
          <w:rFonts w:eastAsia="標楷體"/>
        </w:rPr>
        <w:t xml:space="preserve"> ESG </w:t>
      </w:r>
      <w:r>
        <w:rPr>
          <w:rFonts w:eastAsia="標楷體"/>
        </w:rPr>
        <w:t>採行行為與漂綠風險關聯的缺口，並嘗試建構「制度壓力</w:t>
      </w:r>
      <w:r>
        <w:rPr>
          <w:rFonts w:eastAsia="標楷體"/>
        </w:rPr>
        <w:t>→</w:t>
      </w:r>
      <w:r>
        <w:rPr>
          <w:rFonts w:eastAsia="標楷體"/>
        </w:rPr>
        <w:t>採行動機</w:t>
      </w:r>
      <w:r>
        <w:rPr>
          <w:rFonts w:eastAsia="標楷體"/>
        </w:rPr>
        <w:t>→</w:t>
      </w:r>
      <w:r>
        <w:rPr>
          <w:rFonts w:eastAsia="標楷體"/>
        </w:rPr>
        <w:t>採行方式</w:t>
      </w:r>
      <w:r>
        <w:rPr>
          <w:rFonts w:eastAsia="標楷體"/>
        </w:rPr>
        <w:t xml:space="preserve">→ESG </w:t>
      </w:r>
      <w:r>
        <w:rPr>
          <w:rFonts w:eastAsia="標楷體"/>
        </w:rPr>
        <w:t>資訊品質與漂綠風險」的因果分析架構。在實務面，研究結果可提供臺灣主管機關及企業參考，協助辨識哪些採行動機與情境較易產生漂綠風險，進而提出更具針對性的防範策略。</w:t>
      </w:r>
    </w:p>
    <w:p w:rsidR="00062394" w:rsidRDefault="00933A5B">
      <w:pPr>
        <w:spacing w:before="150" w:after="150" w:line="300" w:lineRule="exact"/>
        <w:ind w:firstLine="482"/>
        <w:jc w:val="both"/>
      </w:pPr>
      <w:r>
        <w:rPr>
          <w:rFonts w:eastAsia="標楷體"/>
        </w:rPr>
        <w:t>為使「實質採行」與「形式採行」的區分具有可操作性，本研究綜合鄭杭葭（民</w:t>
      </w:r>
      <w:r>
        <w:rPr>
          <w:rFonts w:eastAsia="標楷體"/>
        </w:rPr>
        <w:t xml:space="preserve"> 112</w:t>
      </w:r>
      <w:r>
        <w:rPr>
          <w:rFonts w:eastAsia="標楷體"/>
        </w:rPr>
        <w:t>）之</w:t>
      </w:r>
      <w:r>
        <w:rPr>
          <w:rFonts w:eastAsia="標楷體"/>
        </w:rPr>
        <w:t xml:space="preserve"> TESG </w:t>
      </w:r>
      <w:r>
        <w:rPr>
          <w:rFonts w:eastAsia="標楷體"/>
        </w:rPr>
        <w:t>指標分析、明道增（民</w:t>
      </w:r>
      <w:r>
        <w:rPr>
          <w:rFonts w:eastAsia="標楷體"/>
        </w:rPr>
        <w:t xml:space="preserve"> 113</w:t>
      </w:r>
      <w:r>
        <w:rPr>
          <w:rFonts w:eastAsia="標楷體"/>
        </w:rPr>
        <w:t>）之漂綠評估架構，以及胡詠晴（民</w:t>
      </w:r>
      <w:r>
        <w:rPr>
          <w:rFonts w:eastAsia="標楷體"/>
        </w:rPr>
        <w:t xml:space="preserve"> 114</w:t>
      </w:r>
      <w:r>
        <w:rPr>
          <w:rFonts w:eastAsia="標楷體"/>
        </w:rPr>
        <w:t>）之個案觀察，歸納出以下六項判斷指標（如表</w:t>
      </w:r>
      <w:r>
        <w:rPr>
          <w:rFonts w:eastAsia="標楷體"/>
        </w:rPr>
        <w:t xml:space="preserve"> 1</w:t>
      </w:r>
      <w:r>
        <w:rPr>
          <w:rFonts w:eastAsia="標楷體"/>
        </w:rPr>
        <w:t>）。各指標均以公開可取得之次級資料為判斷依據，以確保研究之可驗證性。</w:t>
      </w:r>
    </w:p>
    <w:p w:rsidR="00062394" w:rsidRDefault="00933A5B">
      <w:pPr>
        <w:spacing w:before="200" w:after="100" w:line="300" w:lineRule="exact"/>
        <w:jc w:val="center"/>
      </w:pPr>
      <w:r>
        <w:rPr>
          <w:rFonts w:eastAsia="標楷體"/>
          <w:b/>
          <w:bCs/>
        </w:rPr>
        <w:t>表</w:t>
      </w:r>
      <w:r>
        <w:rPr>
          <w:rFonts w:eastAsia="標楷體"/>
          <w:b/>
          <w:bCs/>
        </w:rPr>
        <w:t xml:space="preserve"> 1</w:t>
      </w:r>
      <w:r>
        <w:rPr>
          <w:rFonts w:eastAsia="標楷體"/>
          <w:b/>
          <w:bCs/>
        </w:rPr>
        <w:t xml:space="preserve">　實質採行與形式採行之判斷指標表</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490"/>
        <w:gridCol w:w="1900"/>
        <w:gridCol w:w="1900"/>
        <w:gridCol w:w="1450"/>
        <w:gridCol w:w="1550"/>
      </w:tblGrid>
      <w:tr w:rsidR="00062394">
        <w:trPr>
          <w:tblHeader/>
        </w:trPr>
        <w:tc>
          <w:tcPr>
            <w:tcW w:w="78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vAlign w:val="center"/>
          </w:tcPr>
          <w:p w:rsidR="00062394" w:rsidRDefault="00933A5B">
            <w:pPr>
              <w:spacing w:line="280" w:lineRule="exact"/>
              <w:jc w:val="center"/>
            </w:pPr>
            <w:r>
              <w:rPr>
                <w:rFonts w:eastAsia="標楷體"/>
                <w:b/>
                <w:bCs/>
                <w:sz w:val="22"/>
                <w:szCs w:val="22"/>
              </w:rPr>
              <w:t>面向</w:t>
            </w:r>
          </w:p>
        </w:tc>
        <w:tc>
          <w:tcPr>
            <w:tcW w:w="149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vAlign w:val="center"/>
          </w:tcPr>
          <w:p w:rsidR="00062394" w:rsidRDefault="00933A5B">
            <w:pPr>
              <w:spacing w:line="280" w:lineRule="exact"/>
              <w:jc w:val="center"/>
            </w:pPr>
            <w:r>
              <w:rPr>
                <w:rFonts w:eastAsia="標楷體"/>
                <w:b/>
                <w:bCs/>
                <w:sz w:val="22"/>
                <w:szCs w:val="22"/>
              </w:rPr>
              <w:t>指標</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vAlign w:val="center"/>
          </w:tcPr>
          <w:p w:rsidR="00062394" w:rsidRDefault="00933A5B">
            <w:pPr>
              <w:spacing w:line="280" w:lineRule="exact"/>
              <w:jc w:val="center"/>
            </w:pPr>
            <w:r>
              <w:rPr>
                <w:rFonts w:eastAsia="標楷體"/>
                <w:b/>
                <w:bCs/>
                <w:sz w:val="22"/>
                <w:szCs w:val="22"/>
              </w:rPr>
              <w:t>實質採行特徵</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vAlign w:val="center"/>
          </w:tcPr>
          <w:p w:rsidR="00062394" w:rsidRDefault="00933A5B">
            <w:pPr>
              <w:spacing w:line="280" w:lineRule="exact"/>
              <w:jc w:val="center"/>
            </w:pPr>
            <w:r>
              <w:rPr>
                <w:rFonts w:eastAsia="標楷體"/>
                <w:b/>
                <w:bCs/>
                <w:sz w:val="22"/>
                <w:szCs w:val="22"/>
              </w:rPr>
              <w:t>形式採行特徵</w:t>
            </w:r>
          </w:p>
        </w:tc>
        <w:tc>
          <w:tcPr>
            <w:tcW w:w="145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vAlign w:val="center"/>
          </w:tcPr>
          <w:p w:rsidR="00062394" w:rsidRDefault="00933A5B">
            <w:pPr>
              <w:spacing w:line="280" w:lineRule="exact"/>
              <w:jc w:val="center"/>
            </w:pPr>
            <w:r>
              <w:rPr>
                <w:rFonts w:eastAsia="標楷體"/>
                <w:b/>
                <w:bCs/>
                <w:sz w:val="22"/>
                <w:szCs w:val="22"/>
              </w:rPr>
              <w:t>資料來源</w:t>
            </w:r>
          </w:p>
        </w:tc>
        <w:tc>
          <w:tcPr>
            <w:tcW w:w="155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vAlign w:val="center"/>
          </w:tcPr>
          <w:p w:rsidR="00062394" w:rsidRDefault="00933A5B">
            <w:pPr>
              <w:spacing w:line="280" w:lineRule="exact"/>
              <w:jc w:val="center"/>
            </w:pPr>
            <w:r>
              <w:rPr>
                <w:rFonts w:eastAsia="標楷體"/>
                <w:b/>
                <w:bCs/>
                <w:sz w:val="22"/>
                <w:szCs w:val="22"/>
              </w:rPr>
              <w:t>文獻依據</w:t>
            </w:r>
          </w:p>
        </w:tc>
      </w:tr>
      <w:tr w:rsidR="00DA61B4" w:rsidTr="00EA0E93">
        <w:trPr>
          <w:cantSplit/>
        </w:trPr>
        <w:tc>
          <w:tcPr>
            <w:tcW w:w="780" w:type="dxa"/>
            <w:vMerge w:val="restart"/>
            <w:tcBorders>
              <w:top w:val="single" w:sz="6" w:space="0" w:color="000000"/>
              <w:left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b/>
                <w:bCs/>
                <w:sz w:val="22"/>
                <w:szCs w:val="22"/>
              </w:rPr>
              <w:t>揭露面</w:t>
            </w:r>
          </w:p>
        </w:tc>
        <w:tc>
          <w:tcPr>
            <w:tcW w:w="149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 xml:space="preserve">① ESG </w:t>
            </w:r>
            <w:r>
              <w:rPr>
                <w:rFonts w:eastAsia="標楷體"/>
                <w:sz w:val="22"/>
                <w:szCs w:val="22"/>
              </w:rPr>
              <w:t>資訊揭露完整度</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 xml:space="preserve">97 </w:t>
            </w:r>
            <w:r>
              <w:rPr>
                <w:rFonts w:eastAsia="標楷體"/>
                <w:sz w:val="22"/>
                <w:szCs w:val="22"/>
              </w:rPr>
              <w:t>項指標填報率高（</w:t>
            </w:r>
            <w:r>
              <w:rPr>
                <w:rFonts w:eastAsia="標楷體"/>
                <w:sz w:val="22"/>
                <w:szCs w:val="22"/>
              </w:rPr>
              <w:t>&gt;80%</w:t>
            </w:r>
            <w:r>
              <w:rPr>
                <w:rFonts w:eastAsia="標楷體"/>
                <w:sz w:val="22"/>
                <w:szCs w:val="22"/>
              </w:rPr>
              <w:t>）</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僅填必填項目，選填項大量空白</w:t>
            </w:r>
          </w:p>
        </w:tc>
        <w:tc>
          <w:tcPr>
            <w:tcW w:w="14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證交所</w:t>
            </w:r>
            <w:r>
              <w:rPr>
                <w:rFonts w:eastAsia="標楷體"/>
                <w:sz w:val="22"/>
                <w:szCs w:val="22"/>
              </w:rPr>
              <w:t xml:space="preserve"> ESG </w:t>
            </w:r>
            <w:r>
              <w:rPr>
                <w:rFonts w:eastAsia="標楷體"/>
                <w:sz w:val="22"/>
                <w:szCs w:val="22"/>
              </w:rPr>
              <w:t>數位平台</w:t>
            </w:r>
          </w:p>
        </w:tc>
        <w:tc>
          <w:tcPr>
            <w:tcW w:w="15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鄭杭葭</w:t>
            </w:r>
          </w:p>
        </w:tc>
      </w:tr>
      <w:tr w:rsidR="00DA61B4" w:rsidTr="00EA0E93">
        <w:trPr>
          <w:cantSplit/>
        </w:trPr>
        <w:tc>
          <w:tcPr>
            <w:tcW w:w="780" w:type="dxa"/>
            <w:vMerge/>
            <w:tcBorders>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p>
        </w:tc>
        <w:tc>
          <w:tcPr>
            <w:tcW w:w="149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 xml:space="preserve">② </w:t>
            </w:r>
            <w:r>
              <w:rPr>
                <w:rFonts w:eastAsia="標楷體"/>
                <w:sz w:val="22"/>
                <w:szCs w:val="22"/>
              </w:rPr>
              <w:t>揭露「質」與「量」一致性</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 xml:space="preserve">TESG </w:t>
            </w:r>
            <w:r>
              <w:rPr>
                <w:rFonts w:eastAsia="標楷體"/>
                <w:sz w:val="22"/>
                <w:szCs w:val="22"/>
              </w:rPr>
              <w:t>揭露分數與議題分數差距小</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揭露分數高但議題分數低（落差大）</w:t>
            </w:r>
          </w:p>
        </w:tc>
        <w:tc>
          <w:tcPr>
            <w:tcW w:w="14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 xml:space="preserve">TEJ TESG </w:t>
            </w:r>
            <w:r>
              <w:rPr>
                <w:rFonts w:eastAsia="標楷體"/>
                <w:sz w:val="22"/>
                <w:szCs w:val="22"/>
              </w:rPr>
              <w:t>資料庫</w:t>
            </w:r>
          </w:p>
        </w:tc>
        <w:tc>
          <w:tcPr>
            <w:tcW w:w="15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鄭杭葭</w:t>
            </w:r>
          </w:p>
        </w:tc>
      </w:tr>
      <w:tr w:rsidR="00DA61B4" w:rsidTr="00EA0E93">
        <w:trPr>
          <w:cantSplit/>
        </w:trPr>
        <w:tc>
          <w:tcPr>
            <w:tcW w:w="780" w:type="dxa"/>
            <w:vMerge w:val="restart"/>
            <w:tcBorders>
              <w:top w:val="single" w:sz="6" w:space="0" w:color="000000"/>
              <w:left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b/>
                <w:bCs/>
                <w:sz w:val="22"/>
                <w:szCs w:val="22"/>
              </w:rPr>
              <w:t>確信面</w:t>
            </w:r>
          </w:p>
        </w:tc>
        <w:tc>
          <w:tcPr>
            <w:tcW w:w="149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 xml:space="preserve">③ </w:t>
            </w:r>
            <w:r>
              <w:rPr>
                <w:rFonts w:eastAsia="標楷體"/>
                <w:sz w:val="22"/>
                <w:szCs w:val="22"/>
              </w:rPr>
              <w:t>是否取得第三方確信</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有取得確信（會計師或查驗機構）</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未取得確信，或僅做最低限度</w:t>
            </w:r>
          </w:p>
        </w:tc>
        <w:tc>
          <w:tcPr>
            <w:tcW w:w="14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公開資訊觀測站</w:t>
            </w:r>
          </w:p>
        </w:tc>
        <w:tc>
          <w:tcPr>
            <w:tcW w:w="15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金管會</w:t>
            </w:r>
          </w:p>
        </w:tc>
      </w:tr>
      <w:tr w:rsidR="00DA61B4" w:rsidTr="00EA0E93">
        <w:trPr>
          <w:cantSplit/>
        </w:trPr>
        <w:tc>
          <w:tcPr>
            <w:tcW w:w="780" w:type="dxa"/>
            <w:vMerge/>
            <w:tcBorders>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p>
        </w:tc>
        <w:tc>
          <w:tcPr>
            <w:tcW w:w="149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 xml:space="preserve">④ </w:t>
            </w:r>
            <w:r>
              <w:rPr>
                <w:rFonts w:eastAsia="標楷體"/>
                <w:sz w:val="22"/>
                <w:szCs w:val="22"/>
              </w:rPr>
              <w:t>確信範圍</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涵蓋完整範疇（</w:t>
            </w:r>
            <w:r>
              <w:rPr>
                <w:rFonts w:eastAsia="標楷體"/>
                <w:sz w:val="22"/>
                <w:szCs w:val="22"/>
              </w:rPr>
              <w:t>Scope 1+2+3</w:t>
            </w:r>
            <w:r>
              <w:rPr>
                <w:rFonts w:eastAsia="標楷體"/>
                <w:sz w:val="22"/>
                <w:szCs w:val="22"/>
              </w:rPr>
              <w:t>）</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僅涵蓋</w:t>
            </w:r>
            <w:r>
              <w:rPr>
                <w:rFonts w:eastAsia="標楷體"/>
                <w:sz w:val="22"/>
                <w:szCs w:val="22"/>
              </w:rPr>
              <w:t xml:space="preserve"> Scope 1 </w:t>
            </w:r>
            <w:r>
              <w:rPr>
                <w:rFonts w:eastAsia="標楷體"/>
                <w:sz w:val="22"/>
                <w:szCs w:val="22"/>
              </w:rPr>
              <w:t>或部分範疇</w:t>
            </w:r>
          </w:p>
        </w:tc>
        <w:tc>
          <w:tcPr>
            <w:tcW w:w="14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永續報告書</w:t>
            </w:r>
          </w:p>
        </w:tc>
        <w:tc>
          <w:tcPr>
            <w:tcW w:w="15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明道增</w:t>
            </w:r>
          </w:p>
        </w:tc>
      </w:tr>
      <w:tr w:rsidR="00DA61B4" w:rsidTr="00EA0E93">
        <w:trPr>
          <w:cantSplit/>
        </w:trPr>
        <w:tc>
          <w:tcPr>
            <w:tcW w:w="780" w:type="dxa"/>
            <w:vMerge w:val="restart"/>
            <w:tcBorders>
              <w:top w:val="single" w:sz="6" w:space="0" w:color="000000"/>
              <w:left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b/>
                <w:bCs/>
                <w:sz w:val="22"/>
                <w:szCs w:val="22"/>
              </w:rPr>
              <w:t>行動面</w:t>
            </w:r>
          </w:p>
        </w:tc>
        <w:tc>
          <w:tcPr>
            <w:tcW w:w="149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 xml:space="preserve">⑤ </w:t>
            </w:r>
            <w:r>
              <w:rPr>
                <w:rFonts w:eastAsia="標楷體"/>
                <w:sz w:val="22"/>
                <w:szCs w:val="22"/>
              </w:rPr>
              <w:t>減碳目標具體性</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有明確量化目標、基準年、行動計畫</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口號式承諾（如「邁向淨零」），無具體數字或時程</w:t>
            </w:r>
          </w:p>
        </w:tc>
        <w:tc>
          <w:tcPr>
            <w:tcW w:w="14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永續報告書</w:t>
            </w:r>
          </w:p>
        </w:tc>
        <w:tc>
          <w:tcPr>
            <w:tcW w:w="15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胡詠晴、明道增</w:t>
            </w:r>
          </w:p>
        </w:tc>
      </w:tr>
      <w:tr w:rsidR="00DA61B4" w:rsidTr="00EA0E93">
        <w:trPr>
          <w:cantSplit/>
        </w:trPr>
        <w:tc>
          <w:tcPr>
            <w:tcW w:w="780" w:type="dxa"/>
            <w:vMerge/>
            <w:tcBorders>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p>
        </w:tc>
        <w:tc>
          <w:tcPr>
            <w:tcW w:w="149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 xml:space="preserve">⑥ </w:t>
            </w:r>
            <w:r>
              <w:rPr>
                <w:rFonts w:eastAsia="標楷體"/>
                <w:sz w:val="22"/>
                <w:szCs w:val="22"/>
              </w:rPr>
              <w:t>承諾與績效一致性</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前一年目標有達成或有進展</w:t>
            </w:r>
          </w:p>
        </w:tc>
        <w:tc>
          <w:tcPr>
            <w:tcW w:w="1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年年喊同樣口號，績效數據無改善</w:t>
            </w:r>
          </w:p>
        </w:tc>
        <w:tc>
          <w:tcPr>
            <w:tcW w:w="14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比對歷年永續報告書</w:t>
            </w:r>
          </w:p>
        </w:tc>
        <w:tc>
          <w:tcPr>
            <w:tcW w:w="15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rsidR="00DA61B4" w:rsidRDefault="00DA61B4">
            <w:pPr>
              <w:spacing w:line="280" w:lineRule="exact"/>
            </w:pPr>
            <w:r>
              <w:rPr>
                <w:rFonts w:eastAsia="標楷體"/>
                <w:sz w:val="22"/>
                <w:szCs w:val="22"/>
              </w:rPr>
              <w:t>明道增</w:t>
            </w:r>
          </w:p>
        </w:tc>
      </w:tr>
    </w:tbl>
    <w:p w:rsidR="00062394" w:rsidRDefault="00933A5B">
      <w:pPr>
        <w:spacing w:before="100" w:after="200" w:line="300" w:lineRule="exact"/>
        <w:jc w:val="center"/>
      </w:pPr>
      <w:r>
        <w:rPr>
          <w:rFonts w:eastAsia="標楷體"/>
          <w:sz w:val="22"/>
          <w:szCs w:val="22"/>
        </w:rPr>
        <w:t>資料來源：本研究整理自鄭杭葭（民</w:t>
      </w:r>
      <w:r>
        <w:rPr>
          <w:rFonts w:eastAsia="標楷體"/>
          <w:sz w:val="22"/>
          <w:szCs w:val="22"/>
        </w:rPr>
        <w:t xml:space="preserve"> 112</w:t>
      </w:r>
      <w:r>
        <w:rPr>
          <w:rFonts w:eastAsia="標楷體"/>
          <w:sz w:val="22"/>
          <w:szCs w:val="22"/>
        </w:rPr>
        <w:t>）、明道增（民</w:t>
      </w:r>
      <w:r>
        <w:rPr>
          <w:rFonts w:eastAsia="標楷體"/>
          <w:sz w:val="22"/>
          <w:szCs w:val="22"/>
        </w:rPr>
        <w:t xml:space="preserve"> 113</w:t>
      </w:r>
      <w:r>
        <w:rPr>
          <w:rFonts w:eastAsia="標楷體"/>
          <w:sz w:val="22"/>
          <w:szCs w:val="22"/>
        </w:rPr>
        <w:t>）、胡詠晴（民</w:t>
      </w:r>
      <w:r>
        <w:rPr>
          <w:rFonts w:eastAsia="標楷體"/>
          <w:sz w:val="22"/>
          <w:szCs w:val="22"/>
        </w:rPr>
        <w:t xml:space="preserve"> 114</w:t>
      </w:r>
      <w:r>
        <w:rPr>
          <w:rFonts w:eastAsia="標楷體"/>
          <w:sz w:val="22"/>
          <w:szCs w:val="22"/>
        </w:rPr>
        <w:t>）及金管會（民</w:t>
      </w:r>
      <w:r>
        <w:rPr>
          <w:rFonts w:eastAsia="標楷體"/>
          <w:sz w:val="22"/>
          <w:szCs w:val="22"/>
        </w:rPr>
        <w:t xml:space="preserve"> 113b</w:t>
      </w:r>
      <w:r>
        <w:rPr>
          <w:rFonts w:eastAsia="標楷體"/>
          <w:sz w:val="22"/>
          <w:szCs w:val="22"/>
        </w:rPr>
        <w:t>）。</w:t>
      </w:r>
    </w:p>
    <w:p w:rsidR="00062394" w:rsidRDefault="00933A5B">
      <w:pPr>
        <w:spacing w:before="150" w:after="150" w:line="300" w:lineRule="exact"/>
        <w:ind w:firstLine="482"/>
        <w:jc w:val="both"/>
      </w:pPr>
      <w:r>
        <w:rPr>
          <w:rFonts w:eastAsia="標楷體"/>
        </w:rPr>
        <w:t>為驗證上述判斷指標表之適用性，本研究擬選取金融業作為示範性分析之對象產業。選擇金融業之理由如下：第一，金融業屬金管會強制要求取得永續報告書第三方確信之產業，其</w:t>
      </w:r>
      <w:r>
        <w:rPr>
          <w:rFonts w:eastAsia="標楷體"/>
        </w:rPr>
        <w:t xml:space="preserve"> ESG </w:t>
      </w:r>
      <w:r>
        <w:rPr>
          <w:rFonts w:eastAsia="標楷體"/>
        </w:rPr>
        <w:t>資訊揭露最為完整且標準化，有利於指標</w:t>
      </w:r>
      <w:r>
        <w:rPr>
          <w:rFonts w:eastAsia="標楷體"/>
        </w:rPr>
        <w:t>③</w:t>
      </w:r>
      <w:r>
        <w:rPr>
          <w:rFonts w:eastAsia="標楷體"/>
        </w:rPr>
        <w:t>與指標</w:t>
      </w:r>
      <w:r>
        <w:rPr>
          <w:rFonts w:eastAsia="標楷體"/>
        </w:rPr>
        <w:t>④</w:t>
      </w:r>
      <w:r>
        <w:rPr>
          <w:rFonts w:eastAsia="標楷體"/>
        </w:rPr>
        <w:t>之判斷；第二，金融業編製永續報告書之歷史最長，歷年資料可供比對，有利於指標</w:t>
      </w:r>
      <w:r>
        <w:rPr>
          <w:rFonts w:eastAsia="標楷體"/>
        </w:rPr>
        <w:t>⑥</w:t>
      </w:r>
      <w:r>
        <w:rPr>
          <w:rFonts w:eastAsia="標楷體"/>
        </w:rPr>
        <w:t>之縱貫分析；第三，金融業同時面臨法規強制（金管會永續發展行動方案）、國際規範（</w:t>
      </w:r>
      <w:r>
        <w:rPr>
          <w:rFonts w:eastAsia="標楷體"/>
        </w:rPr>
        <w:t xml:space="preserve">TCFD </w:t>
      </w:r>
      <w:r>
        <w:rPr>
          <w:rFonts w:eastAsia="標楷體"/>
        </w:rPr>
        <w:t>氣候相關財務揭露）與同業競爭（永續金融評鑑）等多元制度壓力，恰好對應本研究</w:t>
      </w:r>
      <w:r>
        <w:rPr>
          <w:rFonts w:eastAsia="標楷體"/>
        </w:rPr>
        <w:t xml:space="preserve"> RQ1 </w:t>
      </w:r>
      <w:r>
        <w:rPr>
          <w:rFonts w:eastAsia="標楷體"/>
        </w:rPr>
        <w:t>所探討之不同壓力類型。</w:t>
      </w:r>
    </w:p>
    <w:p w:rsidR="00062394" w:rsidRDefault="00933A5B">
      <w:pPr>
        <w:spacing w:before="150" w:after="150" w:line="300" w:lineRule="exact"/>
        <w:ind w:firstLine="482"/>
        <w:jc w:val="both"/>
      </w:pPr>
      <w:r>
        <w:rPr>
          <w:rFonts w:eastAsia="標楷體"/>
        </w:rPr>
        <w:lastRenderedPageBreak/>
        <w:t>以臺灣金融業為對象之實證研究亦支持上述選擇。</w:t>
      </w:r>
      <w:r>
        <w:rPr>
          <w:rFonts w:eastAsia="標楷體"/>
        </w:rPr>
        <w:t xml:space="preserve">Hsiao </w:t>
      </w:r>
      <w:r>
        <w:rPr>
          <w:rFonts w:eastAsia="標楷體"/>
        </w:rPr>
        <w:t>與</w:t>
      </w:r>
      <w:r>
        <w:rPr>
          <w:rFonts w:eastAsia="標楷體"/>
        </w:rPr>
        <w:t xml:space="preserve"> Shiu</w:t>
      </w:r>
      <w:r>
        <w:rPr>
          <w:rFonts w:eastAsia="標楷體"/>
        </w:rPr>
        <w:t>（</w:t>
      </w:r>
      <w:r>
        <w:rPr>
          <w:rFonts w:eastAsia="標楷體"/>
        </w:rPr>
        <w:t>2025</w:t>
      </w:r>
      <w:r>
        <w:rPr>
          <w:rFonts w:eastAsia="標楷體"/>
        </w:rPr>
        <w:t>）以臺灣</w:t>
      </w:r>
      <w:r>
        <w:rPr>
          <w:rFonts w:eastAsia="標楷體"/>
        </w:rPr>
        <w:t xml:space="preserve"> 80 </w:t>
      </w:r>
      <w:r>
        <w:rPr>
          <w:rFonts w:eastAsia="標楷體"/>
        </w:rPr>
        <w:t>家金融機構為樣本，運用內容分析法建構</w:t>
      </w:r>
      <w:r>
        <w:rPr>
          <w:rFonts w:eastAsia="標楷體"/>
        </w:rPr>
        <w:t xml:space="preserve"> TCFD </w:t>
      </w:r>
      <w:r>
        <w:rPr>
          <w:rFonts w:eastAsia="標楷體"/>
        </w:rPr>
        <w:t>遵循度資料集，實證發現</w:t>
      </w:r>
      <w:r>
        <w:rPr>
          <w:rFonts w:eastAsia="標楷體"/>
        </w:rPr>
        <w:t xml:space="preserve"> TCFD </w:t>
      </w:r>
      <w:r>
        <w:rPr>
          <w:rFonts w:eastAsia="標楷體"/>
        </w:rPr>
        <w:t>遵循度較高之金融機構在減碳實務上表現較佳，包括較高之</w:t>
      </w:r>
      <w:r>
        <w:rPr>
          <w:rFonts w:eastAsia="標楷體"/>
        </w:rPr>
        <w:t xml:space="preserve"> SBTi </w:t>
      </w:r>
      <w:r>
        <w:rPr>
          <w:rFonts w:eastAsia="標楷體"/>
        </w:rPr>
        <w:t>參與率、較完整之範疇三排放揭露，以及範疇一及二排放強度之顯著下降；該研究並將此一正向關係歸因於臺灣強制揭露機制下之利害關係人監督效應。此一實證結果不僅直接支持本研究選取金融業之適切性，亦顯示金融業確實具備充分且可驗證之公開資料，可用於區分實質採行與形式採行。</w:t>
      </w:r>
    </w:p>
    <w:p w:rsidR="00062394" w:rsidRDefault="00933A5B">
      <w:pPr>
        <w:spacing w:before="150" w:after="150" w:line="300" w:lineRule="exact"/>
        <w:ind w:firstLine="482"/>
        <w:jc w:val="both"/>
      </w:pPr>
      <w:r>
        <w:rPr>
          <w:rFonts w:eastAsia="標楷體"/>
        </w:rPr>
        <w:t>具體而言，本研究擬從臺灣上市金控公司中挑選</w:t>
      </w:r>
      <w:r>
        <w:rPr>
          <w:rFonts w:eastAsia="標楷體"/>
        </w:rPr>
        <w:t xml:space="preserve"> 2 </w:t>
      </w:r>
      <w:r>
        <w:rPr>
          <w:rFonts w:eastAsia="標楷體"/>
        </w:rPr>
        <w:t>至</w:t>
      </w:r>
      <w:r>
        <w:rPr>
          <w:rFonts w:eastAsia="標楷體"/>
        </w:rPr>
        <w:t xml:space="preserve"> 3 </w:t>
      </w:r>
      <w:r>
        <w:rPr>
          <w:rFonts w:eastAsia="標楷體"/>
        </w:rPr>
        <w:t>家作為分析對象，透過其公開之永續報告書、</w:t>
      </w:r>
      <w:r>
        <w:rPr>
          <w:rFonts w:eastAsia="標楷體"/>
        </w:rPr>
        <w:t xml:space="preserve">ESG </w:t>
      </w:r>
      <w:r>
        <w:rPr>
          <w:rFonts w:eastAsia="標楷體"/>
        </w:rPr>
        <w:t>數位平台申報資料及公開資訊觀測站之確信紀錄，以表</w:t>
      </w:r>
      <w:r>
        <w:rPr>
          <w:rFonts w:eastAsia="標楷體"/>
        </w:rPr>
        <w:t xml:space="preserve"> 1 </w:t>
      </w:r>
      <w:r>
        <w:rPr>
          <w:rFonts w:eastAsia="標楷體"/>
        </w:rPr>
        <w:t>之六項指標逐一檢視，初步判斷各公司之</w:t>
      </w:r>
      <w:r>
        <w:rPr>
          <w:rFonts w:eastAsia="標楷體"/>
        </w:rPr>
        <w:t xml:space="preserve"> ESG </w:t>
      </w:r>
      <w:r>
        <w:rPr>
          <w:rFonts w:eastAsia="標楷體"/>
        </w:rPr>
        <w:t>採行方式屬於實質採行或形式採行，並據此探討不同採行方式與漂綠風險之關聯。選取之原則為：至少包含一家在永續金融評鑑或天下永續公民獎中表現優異之金控（作為實質採行之候選），以及一家規模較小或永續揭露歷史較短之金控（作為形式採行之候選），以形成對比分析之基礎。</w:t>
      </w:r>
    </w:p>
    <w:p w:rsidR="00062394" w:rsidRDefault="00933A5B">
      <w:r>
        <w:br w:type="page"/>
      </w:r>
    </w:p>
    <w:p w:rsidR="00062394" w:rsidRDefault="00933A5B">
      <w:pPr>
        <w:pStyle w:val="1"/>
      </w:pPr>
      <w:bookmarkStart w:id="11" w:name="_Toc227942079"/>
      <w:r>
        <w:rPr>
          <w:rFonts w:eastAsia="標楷體"/>
        </w:rPr>
        <w:lastRenderedPageBreak/>
        <w:t>參考文獻</w:t>
      </w:r>
      <w:bookmarkEnd w:id="11"/>
    </w:p>
    <w:p w:rsidR="00062394" w:rsidRDefault="00933A5B">
      <w:pPr>
        <w:spacing w:before="80" w:after="80" w:line="300" w:lineRule="exact"/>
        <w:ind w:left="480" w:hanging="480"/>
        <w:jc w:val="both"/>
      </w:pPr>
      <w:r>
        <w:rPr>
          <w:rFonts w:eastAsia="標楷體"/>
        </w:rPr>
        <w:t>金融監督管理委員會（民</w:t>
      </w:r>
      <w:r>
        <w:rPr>
          <w:rFonts w:eastAsia="標楷體"/>
        </w:rPr>
        <w:t xml:space="preserve"> 112 </w:t>
      </w:r>
      <w:r>
        <w:rPr>
          <w:rFonts w:eastAsia="標楷體"/>
        </w:rPr>
        <w:t>年</w:t>
      </w:r>
      <w:r>
        <w:rPr>
          <w:rFonts w:eastAsia="標楷體"/>
        </w:rPr>
        <w:t xml:space="preserve"> 3 </w:t>
      </w:r>
      <w:r>
        <w:rPr>
          <w:rFonts w:eastAsia="標楷體"/>
        </w:rPr>
        <w:t>月</w:t>
      </w:r>
      <w:r>
        <w:rPr>
          <w:rFonts w:eastAsia="標楷體"/>
        </w:rPr>
        <w:t xml:space="preserve"> 28 </w:t>
      </w:r>
      <w:r>
        <w:rPr>
          <w:rFonts w:eastAsia="標楷體"/>
        </w:rPr>
        <w:t>日）。金管會發布「上市櫃公司永續發展行動方案（</w:t>
      </w:r>
      <w:r>
        <w:rPr>
          <w:rFonts w:eastAsia="標楷體"/>
        </w:rPr>
        <w:t xml:space="preserve">2023 </w:t>
      </w:r>
      <w:r>
        <w:rPr>
          <w:rFonts w:eastAsia="標楷體"/>
        </w:rPr>
        <w:t>年）」【新聞稿】。金融監督管理委員會全球資訊網。取自</w:t>
      </w:r>
      <w:r>
        <w:rPr>
          <w:rFonts w:eastAsia="標楷體"/>
        </w:rPr>
        <w:t xml:space="preserve"> https://www.fsc.gov.tw/ch/home.jsp?id=96&amp;parentpath=0,2&amp;mcustomize=news_view.jsp&amp;dataserno=202303280001&amp;dtable=News</w:t>
      </w:r>
    </w:p>
    <w:p w:rsidR="00F700BC" w:rsidRDefault="00933A5B" w:rsidP="00F700BC">
      <w:pPr>
        <w:spacing w:before="40" w:after="160" w:line="300" w:lineRule="exact"/>
        <w:ind w:left="480"/>
        <w:jc w:val="both"/>
        <w:rPr>
          <w:rFonts w:eastAsia="標楷體"/>
          <w:iCs/>
          <w:color w:val="A5A5A5" w:themeColor="accent3"/>
          <w:sz w:val="22"/>
          <w:szCs w:val="22"/>
        </w:rPr>
      </w:pPr>
      <w:r w:rsidRPr="00623949">
        <w:rPr>
          <w:rFonts w:eastAsia="標楷體"/>
          <w:iCs/>
          <w:color w:val="A5A5A5" w:themeColor="accent3"/>
          <w:sz w:val="22"/>
          <w:szCs w:val="22"/>
        </w:rPr>
        <w:t>→</w:t>
      </w:r>
      <w:r w:rsidR="00623949" w:rsidRPr="00623949">
        <w:rPr>
          <w:rFonts w:eastAsia="標楷體"/>
          <w:b/>
          <w:bCs/>
          <w:iCs/>
          <w:color w:val="A5A5A5" w:themeColor="accent3"/>
          <w:sz w:val="22"/>
          <w:szCs w:val="22"/>
        </w:rPr>
        <w:t>用在</w:t>
      </w:r>
      <w:r w:rsidR="00623949" w:rsidRPr="00623949">
        <w:rPr>
          <w:rFonts w:eastAsia="標楷體"/>
          <w:b/>
          <w:bCs/>
          <w:iCs/>
          <w:color w:val="A5A5A5" w:themeColor="accent3"/>
          <w:sz w:val="22"/>
          <w:szCs w:val="22"/>
        </w:rPr>
        <w:t xml:space="preserve"> RQ1</w:t>
      </w:r>
      <w:r w:rsidR="00623949" w:rsidRPr="00623949">
        <w:rPr>
          <w:rFonts w:eastAsia="標楷體"/>
          <w:b/>
          <w:bCs/>
          <w:iCs/>
          <w:color w:val="A5A5A5" w:themeColor="accent3"/>
          <w:sz w:val="22"/>
          <w:szCs w:val="22"/>
        </w:rPr>
        <w:t>：這份新聞稿寫了金管會怎麼要求上市櫃公司做</w:t>
      </w:r>
      <w:r w:rsidR="00623949" w:rsidRPr="00623949">
        <w:rPr>
          <w:rFonts w:eastAsia="標楷體"/>
          <w:b/>
          <w:bCs/>
          <w:iCs/>
          <w:color w:val="A5A5A5" w:themeColor="accent3"/>
          <w:sz w:val="22"/>
          <w:szCs w:val="22"/>
        </w:rPr>
        <w:t xml:space="preserve"> ESG</w:t>
      </w:r>
      <w:r w:rsidR="00623949" w:rsidRPr="00623949">
        <w:rPr>
          <w:rFonts w:eastAsia="標楷體"/>
          <w:b/>
          <w:bCs/>
          <w:iCs/>
          <w:color w:val="A5A5A5" w:themeColor="accent3"/>
          <w:sz w:val="22"/>
          <w:szCs w:val="22"/>
        </w:rPr>
        <w:t>，是我講「臺灣企業面對的強制壓力」時最主要的證據</w:t>
      </w:r>
    </w:p>
    <w:p w:rsidR="00F700BC" w:rsidRDefault="00F700BC" w:rsidP="00F700BC">
      <w:pPr>
        <w:spacing w:before="80" w:after="80" w:line="300" w:lineRule="exact"/>
        <w:jc w:val="both"/>
        <w:rPr>
          <w:rFonts w:eastAsia="標楷體"/>
        </w:rPr>
      </w:pPr>
    </w:p>
    <w:p w:rsidR="00062394" w:rsidRPr="00F700BC" w:rsidRDefault="00933A5B" w:rsidP="00F700BC">
      <w:pPr>
        <w:spacing w:before="80" w:after="80" w:line="300" w:lineRule="exact"/>
        <w:ind w:left="480" w:hanging="480"/>
        <w:jc w:val="both"/>
        <w:rPr>
          <w:rFonts w:eastAsia="標楷體"/>
        </w:rPr>
      </w:pPr>
      <w:r>
        <w:rPr>
          <w:rFonts w:eastAsia="標楷體"/>
        </w:rPr>
        <w:t>金融監督管理委員會（民</w:t>
      </w:r>
      <w:r>
        <w:rPr>
          <w:rFonts w:eastAsia="標楷體"/>
        </w:rPr>
        <w:t xml:space="preserve"> 113a </w:t>
      </w:r>
      <w:r>
        <w:rPr>
          <w:rFonts w:eastAsia="標楷體"/>
        </w:rPr>
        <w:t>年</w:t>
      </w:r>
      <w:r>
        <w:rPr>
          <w:rFonts w:eastAsia="標楷體"/>
        </w:rPr>
        <w:t xml:space="preserve"> 5 </w:t>
      </w:r>
      <w:r>
        <w:rPr>
          <w:rFonts w:eastAsia="標楷體"/>
        </w:rPr>
        <w:t>月</w:t>
      </w:r>
      <w:r>
        <w:rPr>
          <w:rFonts w:eastAsia="標楷體"/>
        </w:rPr>
        <w:t xml:space="preserve"> 30 </w:t>
      </w:r>
      <w:r>
        <w:rPr>
          <w:rFonts w:eastAsia="標楷體"/>
        </w:rPr>
        <w:t>日）。金管會發布「金融機構防漂綠參考指引」，提醒金融業注意避免可能涉及的「漂綠」行為【新聞稿】。金融監督管理委員會全球資訊網。取自</w:t>
      </w:r>
      <w:r>
        <w:rPr>
          <w:rFonts w:eastAsia="標楷體"/>
        </w:rPr>
        <w:t xml:space="preserve"> https://www.fsc.gov.tw/ch/home.jsp?id=96&amp;parentpath=0,2&amp;mcustomize=news_view.jsp&amp;dataserno=202405300001&amp;dtable=News</w:t>
      </w:r>
    </w:p>
    <w:p w:rsidR="00062394" w:rsidRPr="00F700BC" w:rsidRDefault="00933A5B">
      <w:pPr>
        <w:spacing w:before="40" w:after="160" w:line="300" w:lineRule="exact"/>
        <w:ind w:left="480"/>
        <w:jc w:val="both"/>
        <w:rPr>
          <w:rFonts w:eastAsia="標楷體"/>
          <w:b/>
          <w:iCs/>
          <w:color w:val="A5A5A5" w:themeColor="accent3"/>
          <w:sz w:val="22"/>
          <w:szCs w:val="22"/>
        </w:rPr>
      </w:pPr>
      <w:r w:rsidRPr="00F700BC">
        <w:rPr>
          <w:rFonts w:eastAsia="標楷體"/>
          <w:b/>
          <w:iCs/>
          <w:color w:val="A5A5A5" w:themeColor="accent3"/>
          <w:sz w:val="22"/>
          <w:szCs w:val="22"/>
        </w:rPr>
        <w:t xml:space="preserve">→ </w:t>
      </w:r>
      <w:r w:rsidR="00F700BC" w:rsidRPr="00F700BC">
        <w:rPr>
          <w:rFonts w:eastAsia="標楷體"/>
          <w:b/>
          <w:iCs/>
          <w:color w:val="A5A5A5" w:themeColor="accent3"/>
          <w:sz w:val="22"/>
          <w:szCs w:val="22"/>
        </w:rPr>
        <w:t>用在</w:t>
      </w:r>
      <w:r w:rsidR="00F700BC" w:rsidRPr="00F700BC">
        <w:rPr>
          <w:rFonts w:eastAsia="標楷體"/>
          <w:b/>
          <w:iCs/>
          <w:color w:val="A5A5A5" w:themeColor="accent3"/>
          <w:sz w:val="22"/>
          <w:szCs w:val="22"/>
        </w:rPr>
        <w:t xml:space="preserve"> RQ3</w:t>
      </w:r>
      <w:r w:rsidR="00F700BC" w:rsidRPr="00F700BC">
        <w:rPr>
          <w:rFonts w:eastAsia="標楷體"/>
          <w:b/>
          <w:iCs/>
          <w:color w:val="A5A5A5" w:themeColor="accent3"/>
          <w:sz w:val="22"/>
          <w:szCs w:val="22"/>
        </w:rPr>
        <w:t>：這份新聞稿裡有金管會官方給「</w:t>
      </w:r>
      <w:proofErr w:type="gramStart"/>
      <w:r w:rsidR="00F700BC" w:rsidRPr="00F700BC">
        <w:rPr>
          <w:rFonts w:eastAsia="標楷體"/>
          <w:b/>
          <w:iCs/>
          <w:color w:val="A5A5A5" w:themeColor="accent3"/>
          <w:sz w:val="22"/>
          <w:szCs w:val="22"/>
        </w:rPr>
        <w:t>漂綠</w:t>
      </w:r>
      <w:proofErr w:type="gramEnd"/>
      <w:r w:rsidR="00F700BC" w:rsidRPr="00F700BC">
        <w:rPr>
          <w:rFonts w:eastAsia="標楷體"/>
          <w:b/>
          <w:iCs/>
          <w:color w:val="A5A5A5" w:themeColor="accent3"/>
          <w:sz w:val="22"/>
          <w:szCs w:val="22"/>
        </w:rPr>
        <w:t>」下的定義，我在講</w:t>
      </w:r>
      <w:proofErr w:type="gramStart"/>
      <w:r w:rsidR="00F700BC" w:rsidRPr="00F700BC">
        <w:rPr>
          <w:rFonts w:eastAsia="標楷體"/>
          <w:b/>
          <w:iCs/>
          <w:color w:val="A5A5A5" w:themeColor="accent3"/>
          <w:sz w:val="22"/>
          <w:szCs w:val="22"/>
        </w:rPr>
        <w:t>漂綠是</w:t>
      </w:r>
      <w:proofErr w:type="gramEnd"/>
      <w:r w:rsidR="00F700BC" w:rsidRPr="00F700BC">
        <w:rPr>
          <w:rFonts w:eastAsia="標楷體"/>
          <w:b/>
          <w:iCs/>
          <w:color w:val="A5A5A5" w:themeColor="accent3"/>
          <w:sz w:val="22"/>
          <w:szCs w:val="22"/>
        </w:rPr>
        <w:t>什麼的時候直接引用它，比</w:t>
      </w:r>
      <w:r w:rsidR="00D40088">
        <w:rPr>
          <w:rFonts w:eastAsia="標楷體" w:hint="eastAsia"/>
          <w:b/>
          <w:iCs/>
          <w:color w:val="A5A5A5" w:themeColor="accent3"/>
          <w:sz w:val="22"/>
          <w:szCs w:val="22"/>
        </w:rPr>
        <w:t>我</w:t>
      </w:r>
      <w:r w:rsidR="00F700BC" w:rsidRPr="00F700BC">
        <w:rPr>
          <w:rFonts w:eastAsia="標楷體"/>
          <w:b/>
          <w:iCs/>
          <w:color w:val="A5A5A5" w:themeColor="accent3"/>
          <w:sz w:val="22"/>
          <w:szCs w:val="22"/>
        </w:rPr>
        <w:t>自己寫更有公信力</w:t>
      </w:r>
    </w:p>
    <w:p w:rsidR="00062394" w:rsidRDefault="00933A5B">
      <w:pPr>
        <w:spacing w:before="80" w:after="80" w:line="300" w:lineRule="exact"/>
        <w:ind w:left="480" w:hanging="480"/>
        <w:jc w:val="both"/>
      </w:pPr>
      <w:r>
        <w:rPr>
          <w:rFonts w:eastAsia="標楷體"/>
        </w:rPr>
        <w:t>金融監督管理委員會（民</w:t>
      </w:r>
      <w:r>
        <w:rPr>
          <w:rFonts w:eastAsia="標楷體"/>
        </w:rPr>
        <w:t xml:space="preserve"> 113b </w:t>
      </w:r>
      <w:r>
        <w:rPr>
          <w:rFonts w:eastAsia="標楷體"/>
        </w:rPr>
        <w:t>年</w:t>
      </w:r>
      <w:r>
        <w:rPr>
          <w:rFonts w:eastAsia="標楷體"/>
        </w:rPr>
        <w:t xml:space="preserve"> 10 </w:t>
      </w:r>
      <w:r>
        <w:rPr>
          <w:rFonts w:eastAsia="標楷體"/>
        </w:rPr>
        <w:t>月</w:t>
      </w:r>
      <w:r>
        <w:rPr>
          <w:rFonts w:eastAsia="標楷體"/>
        </w:rPr>
        <w:t xml:space="preserve"> 17 </w:t>
      </w:r>
      <w:r>
        <w:rPr>
          <w:rFonts w:eastAsia="標楷體"/>
        </w:rPr>
        <w:t>日）。金管會提醒全體上市櫃公司明（</w:t>
      </w:r>
      <w:r>
        <w:rPr>
          <w:rFonts w:eastAsia="標楷體"/>
        </w:rPr>
        <w:t>114</w:t>
      </w:r>
      <w:r>
        <w:rPr>
          <w:rFonts w:eastAsia="標楷體"/>
        </w:rPr>
        <w:t>）年起均應編製永續報告書【新聞稿】。金融監督管理委員會全球資訊網。取自</w:t>
      </w:r>
      <w:r>
        <w:rPr>
          <w:rFonts w:eastAsia="標楷體"/>
        </w:rPr>
        <w:t xml:space="preserve"> https://www.fsc.gov.tw/ch/home.jsp?id=96&amp;parentpath=0,2&amp;mcustomize=news_view.jsp&amp;dataserno=202410170001&amp;dtable=News</w:t>
      </w:r>
    </w:p>
    <w:p w:rsidR="00062394" w:rsidRPr="00495682" w:rsidRDefault="00933A5B">
      <w:pPr>
        <w:spacing w:before="40" w:after="160" w:line="300" w:lineRule="exact"/>
        <w:ind w:left="480"/>
        <w:jc w:val="both"/>
        <w:rPr>
          <w:rFonts w:eastAsia="標楷體"/>
          <w:b/>
          <w:iCs/>
          <w:color w:val="A5A5A5" w:themeColor="accent3"/>
          <w:sz w:val="22"/>
          <w:szCs w:val="22"/>
        </w:rPr>
      </w:pPr>
      <w:r w:rsidRPr="00495682">
        <w:rPr>
          <w:rFonts w:eastAsia="標楷體"/>
          <w:b/>
          <w:iCs/>
          <w:color w:val="A5A5A5" w:themeColor="accent3"/>
          <w:sz w:val="22"/>
          <w:szCs w:val="22"/>
        </w:rPr>
        <w:t xml:space="preserve">→ </w:t>
      </w:r>
      <w:r w:rsidRPr="00495682">
        <w:rPr>
          <w:rFonts w:eastAsia="標楷體"/>
          <w:b/>
          <w:iCs/>
          <w:color w:val="A5A5A5" w:themeColor="accent3"/>
          <w:sz w:val="22"/>
          <w:szCs w:val="22"/>
        </w:rPr>
        <w:t>研究背景：</w:t>
      </w:r>
      <w:r w:rsidR="00495682" w:rsidRPr="00495682">
        <w:rPr>
          <w:rFonts w:eastAsia="標楷體"/>
          <w:b/>
          <w:iCs/>
          <w:color w:val="A5A5A5" w:themeColor="accent3"/>
          <w:sz w:val="22"/>
          <w:szCs w:val="22"/>
        </w:rPr>
        <w:t>這份裡面有「全體上市櫃公司</w:t>
      </w:r>
      <w:r w:rsidR="00495682" w:rsidRPr="00495682">
        <w:rPr>
          <w:rFonts w:eastAsia="標楷體"/>
          <w:b/>
          <w:iCs/>
          <w:color w:val="A5A5A5" w:themeColor="accent3"/>
          <w:sz w:val="22"/>
          <w:szCs w:val="22"/>
        </w:rPr>
        <w:t xml:space="preserve"> 114 </w:t>
      </w:r>
      <w:r w:rsidR="00495682" w:rsidRPr="00495682">
        <w:rPr>
          <w:rFonts w:eastAsia="標楷體"/>
          <w:b/>
          <w:iCs/>
          <w:color w:val="A5A5A5" w:themeColor="accent3"/>
          <w:sz w:val="22"/>
          <w:szCs w:val="22"/>
        </w:rPr>
        <w:t>年起都要申報」的時程表，還有目前只有</w:t>
      </w:r>
      <w:r w:rsidR="00495682" w:rsidRPr="00495682">
        <w:rPr>
          <w:rFonts w:eastAsia="標楷體"/>
          <w:b/>
          <w:iCs/>
          <w:color w:val="A5A5A5" w:themeColor="accent3"/>
          <w:sz w:val="22"/>
          <w:szCs w:val="22"/>
        </w:rPr>
        <w:t xml:space="preserve"> 56% </w:t>
      </w:r>
      <w:r w:rsidR="00495682" w:rsidRPr="00495682">
        <w:rPr>
          <w:rFonts w:eastAsia="標楷體"/>
          <w:b/>
          <w:iCs/>
          <w:color w:val="A5A5A5" w:themeColor="accent3"/>
          <w:sz w:val="22"/>
          <w:szCs w:val="22"/>
        </w:rPr>
        <w:t>完成申報的數字，我</w:t>
      </w:r>
      <w:r w:rsidR="00D457FC">
        <w:rPr>
          <w:rFonts w:eastAsia="標楷體" w:hint="eastAsia"/>
          <w:b/>
          <w:iCs/>
          <w:color w:val="A5A5A5" w:themeColor="accent3"/>
          <w:sz w:val="22"/>
          <w:szCs w:val="22"/>
        </w:rPr>
        <w:t>想要</w:t>
      </w:r>
      <w:r w:rsidR="00495682" w:rsidRPr="00495682">
        <w:rPr>
          <w:rFonts w:eastAsia="標楷體"/>
          <w:b/>
          <w:iCs/>
          <w:color w:val="A5A5A5" w:themeColor="accent3"/>
          <w:sz w:val="22"/>
          <w:szCs w:val="22"/>
        </w:rPr>
        <w:t>拿來</w:t>
      </w:r>
      <w:proofErr w:type="gramStart"/>
      <w:r w:rsidR="00495682" w:rsidRPr="00495682">
        <w:rPr>
          <w:rFonts w:eastAsia="標楷體"/>
          <w:b/>
          <w:iCs/>
          <w:color w:val="A5A5A5" w:themeColor="accent3"/>
          <w:sz w:val="22"/>
          <w:szCs w:val="22"/>
        </w:rPr>
        <w:t>證明漂綠問題</w:t>
      </w:r>
      <w:proofErr w:type="gramEnd"/>
      <w:r w:rsidR="00495682" w:rsidRPr="00495682">
        <w:rPr>
          <w:rFonts w:eastAsia="標楷體"/>
          <w:b/>
          <w:iCs/>
          <w:color w:val="A5A5A5" w:themeColor="accent3"/>
          <w:sz w:val="22"/>
          <w:szCs w:val="22"/>
        </w:rPr>
        <w:t>真的存在、而且很多企業還沒做好</w:t>
      </w:r>
    </w:p>
    <w:p w:rsidR="00062394" w:rsidRDefault="00933A5B">
      <w:pPr>
        <w:spacing w:before="80" w:after="80" w:line="300" w:lineRule="exact"/>
        <w:ind w:left="480" w:hanging="480"/>
        <w:jc w:val="both"/>
      </w:pPr>
      <w:proofErr w:type="gramStart"/>
      <w:r>
        <w:rPr>
          <w:rFonts w:eastAsia="標楷體"/>
        </w:rPr>
        <w:t>明道增</w:t>
      </w:r>
      <w:proofErr w:type="gramEnd"/>
      <w:r>
        <w:rPr>
          <w:rFonts w:eastAsia="標楷體"/>
        </w:rPr>
        <w:t>（民</w:t>
      </w:r>
      <w:r>
        <w:rPr>
          <w:rFonts w:eastAsia="標楷體"/>
        </w:rPr>
        <w:t xml:space="preserve"> 113</w:t>
      </w:r>
      <w:r>
        <w:rPr>
          <w:rFonts w:eastAsia="標楷體"/>
        </w:rPr>
        <w:t>）。建置企業漂綠行為評估框架之研究（碩士論文）。取自</w:t>
      </w:r>
      <w:r>
        <w:rPr>
          <w:rFonts w:eastAsia="標楷體"/>
        </w:rPr>
        <w:t xml:space="preserve"> https://tdr.lib.ntu.edu.tw/retrieve/2eff16aa-d4ba-47c9-b77e-f3043a01f1b0/ntu-112-2.pdf</w:t>
      </w:r>
    </w:p>
    <w:p w:rsidR="000D346D" w:rsidRDefault="00933A5B" w:rsidP="000D346D">
      <w:pPr>
        <w:spacing w:before="40" w:after="160" w:line="300" w:lineRule="exact"/>
        <w:ind w:left="480"/>
        <w:jc w:val="both"/>
        <w:rPr>
          <w:rFonts w:eastAsia="標楷體" w:hint="eastAsia"/>
          <w:b/>
          <w:iCs/>
          <w:color w:val="A5A5A5" w:themeColor="accent3"/>
          <w:sz w:val="22"/>
          <w:szCs w:val="22"/>
        </w:rPr>
      </w:pPr>
      <w:r w:rsidRPr="000D346D">
        <w:rPr>
          <w:rFonts w:eastAsia="標楷體"/>
          <w:b/>
          <w:iCs/>
          <w:color w:val="A5A5A5" w:themeColor="accent3"/>
          <w:sz w:val="22"/>
          <w:szCs w:val="22"/>
        </w:rPr>
        <w:t xml:space="preserve">→ </w:t>
      </w:r>
      <w:r w:rsidR="000D346D" w:rsidRPr="000D346D">
        <w:rPr>
          <w:rFonts w:eastAsia="標楷體"/>
          <w:b/>
          <w:iCs/>
          <w:color w:val="A5A5A5" w:themeColor="accent3"/>
          <w:sz w:val="22"/>
          <w:szCs w:val="22"/>
        </w:rPr>
        <w:t>用在</w:t>
      </w:r>
      <w:r w:rsidR="000D346D" w:rsidRPr="000D346D">
        <w:rPr>
          <w:rFonts w:eastAsia="標楷體"/>
          <w:b/>
          <w:iCs/>
          <w:color w:val="A5A5A5" w:themeColor="accent3"/>
          <w:sz w:val="22"/>
          <w:szCs w:val="22"/>
        </w:rPr>
        <w:t xml:space="preserve"> RQ2</w:t>
      </w:r>
      <w:r w:rsidR="000D346D" w:rsidRPr="000D346D">
        <w:rPr>
          <w:rFonts w:eastAsia="標楷體"/>
          <w:b/>
          <w:iCs/>
          <w:color w:val="A5A5A5" w:themeColor="accent3"/>
          <w:sz w:val="22"/>
          <w:szCs w:val="22"/>
        </w:rPr>
        <w:t>、</w:t>
      </w:r>
      <w:r w:rsidR="000D346D" w:rsidRPr="000D346D">
        <w:rPr>
          <w:rFonts w:eastAsia="標楷體"/>
          <w:b/>
          <w:iCs/>
          <w:color w:val="A5A5A5" w:themeColor="accent3"/>
          <w:sz w:val="22"/>
          <w:szCs w:val="22"/>
        </w:rPr>
        <w:t>RQ3</w:t>
      </w:r>
      <w:r w:rsidR="000D346D" w:rsidRPr="000D346D">
        <w:rPr>
          <w:rFonts w:eastAsia="標楷體"/>
          <w:b/>
          <w:iCs/>
          <w:color w:val="A5A5A5" w:themeColor="accent3"/>
          <w:sz w:val="22"/>
          <w:szCs w:val="22"/>
        </w:rPr>
        <w:t>：他做了一套臺灣企業</w:t>
      </w:r>
      <w:proofErr w:type="gramStart"/>
      <w:r w:rsidR="000D346D" w:rsidRPr="000D346D">
        <w:rPr>
          <w:rFonts w:eastAsia="標楷體"/>
          <w:b/>
          <w:iCs/>
          <w:color w:val="A5A5A5" w:themeColor="accent3"/>
          <w:sz w:val="22"/>
          <w:szCs w:val="22"/>
        </w:rPr>
        <w:t>的漂綠評分</w:t>
      </w:r>
      <w:proofErr w:type="gramEnd"/>
      <w:r w:rsidR="000D346D" w:rsidRPr="000D346D">
        <w:rPr>
          <w:rFonts w:eastAsia="標楷體"/>
          <w:b/>
          <w:iCs/>
          <w:color w:val="A5A5A5" w:themeColor="accent3"/>
          <w:sz w:val="22"/>
          <w:szCs w:val="22"/>
        </w:rPr>
        <w:t>方法，我</w:t>
      </w:r>
      <w:r w:rsidR="009F4E80">
        <w:rPr>
          <w:rFonts w:eastAsia="標楷體" w:hint="eastAsia"/>
          <w:b/>
          <w:iCs/>
          <w:color w:val="A5A5A5" w:themeColor="accent3"/>
          <w:sz w:val="22"/>
          <w:szCs w:val="22"/>
        </w:rPr>
        <w:t>想要根據他整理的</w:t>
      </w:r>
      <w:r w:rsidR="000D346D" w:rsidRPr="000D346D">
        <w:rPr>
          <w:rFonts w:eastAsia="標楷體"/>
          <w:b/>
          <w:iCs/>
          <w:color w:val="A5A5A5" w:themeColor="accent3"/>
          <w:sz w:val="22"/>
          <w:szCs w:val="22"/>
        </w:rPr>
        <w:t xml:space="preserve">3 </w:t>
      </w:r>
      <w:proofErr w:type="gramStart"/>
      <w:r w:rsidR="009F4E80">
        <w:rPr>
          <w:rFonts w:eastAsia="標楷體"/>
          <w:b/>
          <w:iCs/>
          <w:color w:val="A5A5A5" w:themeColor="accent3"/>
          <w:sz w:val="22"/>
          <w:szCs w:val="22"/>
        </w:rPr>
        <w:t>個</w:t>
      </w:r>
      <w:proofErr w:type="gramEnd"/>
      <w:r w:rsidR="009F4E80">
        <w:rPr>
          <w:rFonts w:eastAsia="標楷體"/>
          <w:b/>
          <w:iCs/>
          <w:color w:val="A5A5A5" w:themeColor="accent3"/>
          <w:sz w:val="22"/>
          <w:szCs w:val="22"/>
        </w:rPr>
        <w:t>判斷指標（確信範圍、減碳目標、承諾是否兌現）</w:t>
      </w:r>
      <w:r w:rsidR="009F4E80">
        <w:rPr>
          <w:rFonts w:eastAsia="標楷體" w:hint="eastAsia"/>
          <w:b/>
          <w:iCs/>
          <w:color w:val="A5A5A5" w:themeColor="accent3"/>
          <w:sz w:val="22"/>
          <w:szCs w:val="22"/>
        </w:rPr>
        <w:t>製作成一個表格</w:t>
      </w:r>
    </w:p>
    <w:p w:rsidR="00062394" w:rsidRPr="000D346D" w:rsidRDefault="00933A5B" w:rsidP="000D346D">
      <w:pPr>
        <w:spacing w:before="80" w:after="80" w:line="300" w:lineRule="exact"/>
        <w:ind w:left="480" w:hanging="480"/>
        <w:jc w:val="both"/>
        <w:rPr>
          <w:rFonts w:eastAsia="標楷體"/>
        </w:rPr>
      </w:pPr>
      <w:proofErr w:type="gramStart"/>
      <w:r>
        <w:rPr>
          <w:rFonts w:eastAsia="標楷體"/>
        </w:rPr>
        <w:t>范</w:t>
      </w:r>
      <w:proofErr w:type="gramEnd"/>
      <w:r>
        <w:rPr>
          <w:rFonts w:eastAsia="標楷體"/>
        </w:rPr>
        <w:t>植</w:t>
      </w:r>
      <w:proofErr w:type="gramStart"/>
      <w:r>
        <w:rPr>
          <w:rFonts w:eastAsia="標楷體"/>
        </w:rPr>
        <w:t>閎</w:t>
      </w:r>
      <w:proofErr w:type="gramEnd"/>
      <w:r>
        <w:rPr>
          <w:rFonts w:eastAsia="標楷體"/>
        </w:rPr>
        <w:t>（民</w:t>
      </w:r>
      <w:r>
        <w:rPr>
          <w:rFonts w:eastAsia="標楷體"/>
        </w:rPr>
        <w:t xml:space="preserve"> 114</w:t>
      </w:r>
      <w:r>
        <w:rPr>
          <w:rFonts w:eastAsia="標楷體"/>
        </w:rPr>
        <w:t>）。可持續發展連結債券對企業之碳排績效、市場價值及漂綠風險之影響：實證研究（碩士論文）。取自</w:t>
      </w:r>
      <w:r>
        <w:rPr>
          <w:rFonts w:eastAsia="標楷體"/>
        </w:rPr>
        <w:t xml:space="preserve"> https://tdr.lib.ntu.edu.tw/retrieve/ef6eb6b7-6f7d-41a7-88c7-651d60d54430/ntu-113-2.pdf</w:t>
      </w:r>
    </w:p>
    <w:p w:rsidR="00C45B22" w:rsidRPr="00C45B22" w:rsidRDefault="00933A5B">
      <w:pPr>
        <w:spacing w:before="40" w:after="160" w:line="300" w:lineRule="exact"/>
        <w:ind w:left="480"/>
        <w:jc w:val="both"/>
        <w:rPr>
          <w:rFonts w:eastAsia="標楷體" w:hint="eastAsia"/>
          <w:b/>
          <w:iCs/>
          <w:color w:val="A5A5A5" w:themeColor="accent3"/>
          <w:sz w:val="22"/>
          <w:szCs w:val="22"/>
        </w:rPr>
      </w:pPr>
      <w:r w:rsidRPr="00C45B22">
        <w:rPr>
          <w:rFonts w:eastAsia="標楷體"/>
          <w:b/>
          <w:iCs/>
          <w:color w:val="A5A5A5" w:themeColor="accent3"/>
          <w:sz w:val="22"/>
          <w:szCs w:val="22"/>
        </w:rPr>
        <w:t xml:space="preserve">→ </w:t>
      </w:r>
      <w:r w:rsidR="00C45B22" w:rsidRPr="00C45B22">
        <w:rPr>
          <w:rFonts w:eastAsia="標楷體"/>
          <w:bCs/>
          <w:iCs/>
          <w:color w:val="A5A5A5" w:themeColor="accent3"/>
          <w:sz w:val="22"/>
          <w:szCs w:val="22"/>
        </w:rPr>
        <w:t>用在</w:t>
      </w:r>
      <w:r w:rsidR="00C45B22" w:rsidRPr="00C45B22">
        <w:rPr>
          <w:rFonts w:eastAsia="標楷體"/>
          <w:bCs/>
          <w:iCs/>
          <w:color w:val="A5A5A5" w:themeColor="accent3"/>
          <w:sz w:val="22"/>
          <w:szCs w:val="22"/>
        </w:rPr>
        <w:t xml:space="preserve"> RQ1</w:t>
      </w:r>
      <w:r w:rsidR="00C45B22" w:rsidRPr="00C45B22">
        <w:rPr>
          <w:rFonts w:eastAsia="標楷體"/>
          <w:bCs/>
          <w:iCs/>
          <w:color w:val="A5A5A5" w:themeColor="accent3"/>
          <w:sz w:val="22"/>
          <w:szCs w:val="22"/>
        </w:rPr>
        <w:t>、</w:t>
      </w:r>
      <w:r w:rsidR="00C45B22" w:rsidRPr="00C45B22">
        <w:rPr>
          <w:rFonts w:eastAsia="標楷體"/>
          <w:bCs/>
          <w:iCs/>
          <w:color w:val="A5A5A5" w:themeColor="accent3"/>
          <w:sz w:val="22"/>
          <w:szCs w:val="22"/>
        </w:rPr>
        <w:t>RQ2</w:t>
      </w:r>
      <w:r w:rsidR="00C45B22" w:rsidRPr="00C45B22">
        <w:rPr>
          <w:rFonts w:eastAsia="標楷體"/>
          <w:bCs/>
          <w:iCs/>
          <w:color w:val="A5A5A5" w:themeColor="accent3"/>
          <w:sz w:val="22"/>
          <w:szCs w:val="22"/>
        </w:rPr>
        <w:t>：他的研究發現，當政府用「可持續發展連結債券」這種財務工具當誘因時，企業會從應付了事變成認真做</w:t>
      </w:r>
      <w:r w:rsidR="00C45B22" w:rsidRPr="00C45B22">
        <w:rPr>
          <w:rFonts w:eastAsia="標楷體"/>
          <w:bCs/>
          <w:iCs/>
          <w:color w:val="A5A5A5" w:themeColor="accent3"/>
          <w:sz w:val="22"/>
          <w:szCs w:val="22"/>
        </w:rPr>
        <w:t xml:space="preserve"> ESG</w:t>
      </w:r>
      <w:r w:rsidR="00C45B22" w:rsidRPr="00C45B22">
        <w:rPr>
          <w:rFonts w:eastAsia="標楷體"/>
          <w:bCs/>
          <w:iCs/>
          <w:color w:val="A5A5A5" w:themeColor="accent3"/>
          <w:sz w:val="22"/>
          <w:szCs w:val="22"/>
        </w:rPr>
        <w:t>。這正好是</w:t>
      </w:r>
      <w:r w:rsidR="00C45B22" w:rsidRPr="00C45B22">
        <w:rPr>
          <w:rFonts w:eastAsia="標楷體"/>
          <w:bCs/>
          <w:iCs/>
          <w:color w:val="A5A5A5" w:themeColor="accent3"/>
          <w:sz w:val="22"/>
          <w:szCs w:val="22"/>
        </w:rPr>
        <w:t xml:space="preserve"> RQ1 </w:t>
      </w:r>
      <w:r w:rsidR="00C45B22" w:rsidRPr="00C45B22">
        <w:rPr>
          <w:rFonts w:eastAsia="標楷體"/>
          <w:bCs/>
          <w:iCs/>
          <w:color w:val="A5A5A5" w:themeColor="accent3"/>
          <w:sz w:val="22"/>
          <w:szCs w:val="22"/>
        </w:rPr>
        <w:t>問「壓力如何影響動機」的具體例子</w:t>
      </w:r>
    </w:p>
    <w:p w:rsidR="00062394" w:rsidRDefault="00933A5B">
      <w:pPr>
        <w:spacing w:before="80" w:after="80" w:line="300" w:lineRule="exact"/>
        <w:ind w:left="480" w:hanging="480"/>
        <w:jc w:val="both"/>
      </w:pPr>
      <w:proofErr w:type="gramStart"/>
      <w:r>
        <w:rPr>
          <w:rFonts w:eastAsia="標楷體"/>
        </w:rPr>
        <w:t>胡詠晴</w:t>
      </w:r>
      <w:proofErr w:type="gramEnd"/>
      <w:r>
        <w:rPr>
          <w:rFonts w:eastAsia="標楷體"/>
        </w:rPr>
        <w:t>(</w:t>
      </w:r>
      <w:r>
        <w:rPr>
          <w:rFonts w:eastAsia="標楷體"/>
        </w:rPr>
        <w:t>民</w:t>
      </w:r>
      <w:r>
        <w:rPr>
          <w:rFonts w:eastAsia="標楷體"/>
        </w:rPr>
        <w:t xml:space="preserve"> 114)</w:t>
      </w:r>
      <w:r>
        <w:rPr>
          <w:rFonts w:eastAsia="標楷體"/>
        </w:rPr>
        <w:t>。</w:t>
      </w:r>
      <w:r>
        <w:rPr>
          <w:rFonts w:eastAsia="標楷體"/>
        </w:rPr>
        <w:t xml:space="preserve">ESG </w:t>
      </w:r>
      <w:r>
        <w:rPr>
          <w:rFonts w:eastAsia="標楷體"/>
        </w:rPr>
        <w:t>對企業永續的發展與限制</w:t>
      </w:r>
      <w:r>
        <w:rPr>
          <w:rFonts w:eastAsia="標楷體"/>
        </w:rPr>
        <w:t>—</w:t>
      </w:r>
      <w:r>
        <w:rPr>
          <w:rFonts w:eastAsia="標楷體"/>
        </w:rPr>
        <w:t>以某電子業上市公司為例（碩士論文）。取自</w:t>
      </w:r>
      <w:r>
        <w:rPr>
          <w:rFonts w:eastAsia="標楷體"/>
        </w:rPr>
        <w:t xml:space="preserve"> https://tdr.lib.ntu.edu.tw/jspui/retrieve/a258b606-8ab4-4e4b-afbf-c23d96eefdc5/ntu-113-1.pdf</w:t>
      </w:r>
    </w:p>
    <w:p w:rsidR="00BB12F1" w:rsidRDefault="00933A5B">
      <w:pPr>
        <w:spacing w:before="40" w:after="160" w:line="300" w:lineRule="exact"/>
        <w:ind w:left="480"/>
        <w:jc w:val="both"/>
        <w:rPr>
          <w:rFonts w:hint="eastAsia"/>
        </w:rPr>
      </w:pPr>
      <w:r w:rsidRPr="00BB12F1">
        <w:rPr>
          <w:rFonts w:eastAsia="標楷體"/>
          <w:b/>
          <w:iCs/>
          <w:color w:val="A5A5A5" w:themeColor="accent3"/>
          <w:sz w:val="22"/>
          <w:szCs w:val="22"/>
        </w:rPr>
        <w:t xml:space="preserve">→ </w:t>
      </w:r>
      <w:r w:rsidR="00BB12F1" w:rsidRPr="00BB12F1">
        <w:rPr>
          <w:rFonts w:eastAsia="標楷體"/>
          <w:b/>
          <w:iCs/>
          <w:color w:val="A5A5A5" w:themeColor="accent3"/>
          <w:sz w:val="22"/>
          <w:szCs w:val="22"/>
        </w:rPr>
        <w:t>用在</w:t>
      </w:r>
      <w:r w:rsidR="00BB12F1" w:rsidRPr="00BB12F1">
        <w:rPr>
          <w:rFonts w:eastAsia="標楷體"/>
          <w:b/>
          <w:iCs/>
          <w:color w:val="A5A5A5" w:themeColor="accent3"/>
          <w:sz w:val="22"/>
          <w:szCs w:val="22"/>
        </w:rPr>
        <w:t xml:space="preserve"> RQ1</w:t>
      </w:r>
      <w:r w:rsidR="00BB12F1" w:rsidRPr="00BB12F1">
        <w:rPr>
          <w:rFonts w:eastAsia="標楷體"/>
          <w:b/>
          <w:iCs/>
          <w:color w:val="A5A5A5" w:themeColor="accent3"/>
          <w:sz w:val="22"/>
          <w:szCs w:val="22"/>
        </w:rPr>
        <w:t>、</w:t>
      </w:r>
      <w:r w:rsidR="00BB12F1" w:rsidRPr="00BB12F1">
        <w:rPr>
          <w:rFonts w:eastAsia="標楷體"/>
          <w:b/>
          <w:iCs/>
          <w:color w:val="A5A5A5" w:themeColor="accent3"/>
          <w:sz w:val="22"/>
          <w:szCs w:val="22"/>
        </w:rPr>
        <w:t>RQ2</w:t>
      </w:r>
      <w:r w:rsidR="003B1243">
        <w:rPr>
          <w:rFonts w:eastAsia="標楷體"/>
          <w:b/>
          <w:iCs/>
          <w:color w:val="A5A5A5" w:themeColor="accent3"/>
          <w:sz w:val="22"/>
          <w:szCs w:val="22"/>
        </w:rPr>
        <w:t>：</w:t>
      </w:r>
      <w:r w:rsidR="003B1243">
        <w:rPr>
          <w:rFonts w:eastAsia="標楷體" w:hint="eastAsia"/>
          <w:b/>
          <w:iCs/>
          <w:color w:val="A5A5A5" w:themeColor="accent3"/>
          <w:sz w:val="22"/>
          <w:szCs w:val="22"/>
        </w:rPr>
        <w:t>這篇的作者</w:t>
      </w:r>
      <w:r w:rsidR="00BB12F1" w:rsidRPr="00BB12F1">
        <w:rPr>
          <w:rFonts w:eastAsia="標楷體"/>
          <w:b/>
          <w:iCs/>
          <w:color w:val="A5A5A5" w:themeColor="accent3"/>
          <w:sz w:val="22"/>
          <w:szCs w:val="22"/>
        </w:rPr>
        <w:t>訪談了一家臺灣電子業上市公司，直接觀察到該公司的</w:t>
      </w:r>
      <w:r w:rsidR="00BB12F1" w:rsidRPr="00BB12F1">
        <w:rPr>
          <w:rFonts w:eastAsia="標楷體"/>
          <w:b/>
          <w:iCs/>
          <w:color w:val="A5A5A5" w:themeColor="accent3"/>
          <w:sz w:val="22"/>
          <w:szCs w:val="22"/>
        </w:rPr>
        <w:t xml:space="preserve"> ESG </w:t>
      </w:r>
      <w:r w:rsidR="00BB12F1" w:rsidRPr="00BB12F1">
        <w:rPr>
          <w:rFonts w:eastAsia="標楷體"/>
          <w:b/>
          <w:iCs/>
          <w:color w:val="A5A5A5" w:themeColor="accent3"/>
          <w:sz w:val="22"/>
          <w:szCs w:val="22"/>
        </w:rPr>
        <w:t>有些是做樣子給外面看、有些是真的在做。這是「實質</w:t>
      </w:r>
      <w:proofErr w:type="gramStart"/>
      <w:r w:rsidR="00BB12F1" w:rsidRPr="00BB12F1">
        <w:rPr>
          <w:rFonts w:eastAsia="標楷體"/>
          <w:b/>
          <w:iCs/>
          <w:color w:val="A5A5A5" w:themeColor="accent3"/>
          <w:sz w:val="22"/>
          <w:szCs w:val="22"/>
        </w:rPr>
        <w:t>採</w:t>
      </w:r>
      <w:proofErr w:type="gramEnd"/>
      <w:r w:rsidR="00BB12F1" w:rsidRPr="00BB12F1">
        <w:rPr>
          <w:rFonts w:eastAsia="標楷體"/>
          <w:b/>
          <w:iCs/>
          <w:color w:val="A5A5A5" w:themeColor="accent3"/>
          <w:sz w:val="22"/>
          <w:szCs w:val="22"/>
        </w:rPr>
        <w:t>行</w:t>
      </w:r>
      <w:r w:rsidR="00BB12F1" w:rsidRPr="00BB12F1">
        <w:rPr>
          <w:rFonts w:eastAsia="標楷體"/>
          <w:b/>
          <w:iCs/>
          <w:color w:val="A5A5A5" w:themeColor="accent3"/>
          <w:sz w:val="22"/>
          <w:szCs w:val="22"/>
        </w:rPr>
        <w:t xml:space="preserve"> vs </w:t>
      </w:r>
      <w:r w:rsidR="00BB12F1" w:rsidRPr="00BB12F1">
        <w:rPr>
          <w:rFonts w:eastAsia="標楷體"/>
          <w:b/>
          <w:iCs/>
          <w:color w:val="A5A5A5" w:themeColor="accent3"/>
          <w:sz w:val="22"/>
          <w:szCs w:val="22"/>
        </w:rPr>
        <w:t>形式</w:t>
      </w:r>
      <w:proofErr w:type="gramStart"/>
      <w:r w:rsidR="00BB12F1" w:rsidRPr="00BB12F1">
        <w:rPr>
          <w:rFonts w:eastAsia="標楷體"/>
          <w:b/>
          <w:iCs/>
          <w:color w:val="A5A5A5" w:themeColor="accent3"/>
          <w:sz w:val="22"/>
          <w:szCs w:val="22"/>
        </w:rPr>
        <w:t>採</w:t>
      </w:r>
      <w:proofErr w:type="gramEnd"/>
      <w:r w:rsidR="00BB12F1" w:rsidRPr="00BB12F1">
        <w:rPr>
          <w:rFonts w:eastAsia="標楷體"/>
          <w:b/>
          <w:iCs/>
          <w:color w:val="A5A5A5" w:themeColor="accent3"/>
          <w:sz w:val="22"/>
          <w:szCs w:val="22"/>
        </w:rPr>
        <w:t>行」最直接的臺灣案例</w:t>
      </w:r>
    </w:p>
    <w:p w:rsidR="00062394" w:rsidRDefault="00933A5B">
      <w:pPr>
        <w:spacing w:before="80" w:after="80" w:line="300" w:lineRule="exact"/>
        <w:ind w:left="480" w:hanging="480"/>
        <w:jc w:val="both"/>
      </w:pPr>
      <w:r>
        <w:rPr>
          <w:rFonts w:eastAsia="標楷體"/>
        </w:rPr>
        <w:t>鄭杭</w:t>
      </w:r>
      <w:proofErr w:type="gramStart"/>
      <w:r>
        <w:rPr>
          <w:rFonts w:eastAsia="標楷體"/>
        </w:rPr>
        <w:t>葭</w:t>
      </w:r>
      <w:proofErr w:type="gramEnd"/>
      <w:r>
        <w:rPr>
          <w:rFonts w:eastAsia="標楷體"/>
        </w:rPr>
        <w:t>（民</w:t>
      </w:r>
      <w:r>
        <w:rPr>
          <w:rFonts w:eastAsia="標楷體"/>
        </w:rPr>
        <w:t xml:space="preserve"> 112</w:t>
      </w:r>
      <w:r>
        <w:rPr>
          <w:rFonts w:eastAsia="標楷體"/>
        </w:rPr>
        <w:t>）。企業</w:t>
      </w:r>
      <w:r>
        <w:rPr>
          <w:rFonts w:eastAsia="標楷體"/>
        </w:rPr>
        <w:t xml:space="preserve"> ESG </w:t>
      </w:r>
      <w:r>
        <w:rPr>
          <w:rFonts w:eastAsia="標楷體"/>
        </w:rPr>
        <w:t>資訊質與量間落差之影響因素探討（碩士論文）。取自</w:t>
      </w:r>
      <w:r>
        <w:rPr>
          <w:rFonts w:eastAsia="標楷體"/>
        </w:rPr>
        <w:t xml:space="preserve"> https://ah.lib.nccu.edu.tw/bitstream/140.119/147750/1/305201.pdf</w:t>
      </w:r>
    </w:p>
    <w:p w:rsidR="00062394" w:rsidRPr="00207CAC" w:rsidRDefault="00933A5B">
      <w:pPr>
        <w:spacing w:before="40" w:after="160" w:line="300" w:lineRule="exact"/>
        <w:ind w:left="480"/>
        <w:jc w:val="both"/>
        <w:rPr>
          <w:rFonts w:eastAsia="標楷體"/>
          <w:b/>
          <w:iCs/>
          <w:color w:val="A5A5A5" w:themeColor="accent3"/>
          <w:sz w:val="22"/>
          <w:szCs w:val="22"/>
        </w:rPr>
      </w:pPr>
      <w:r w:rsidRPr="00207CAC">
        <w:rPr>
          <w:rFonts w:eastAsia="標楷體"/>
          <w:b/>
          <w:iCs/>
          <w:color w:val="A5A5A5" w:themeColor="accent3"/>
          <w:sz w:val="22"/>
          <w:szCs w:val="22"/>
        </w:rPr>
        <w:t xml:space="preserve">→ </w:t>
      </w:r>
      <w:r w:rsidR="00207CAC" w:rsidRPr="00207CAC">
        <w:rPr>
          <w:rFonts w:eastAsia="標楷體"/>
          <w:b/>
          <w:iCs/>
          <w:color w:val="A5A5A5" w:themeColor="accent3"/>
          <w:sz w:val="22"/>
          <w:szCs w:val="22"/>
        </w:rPr>
        <w:t>用在</w:t>
      </w:r>
      <w:r w:rsidR="00207CAC" w:rsidRPr="00207CAC">
        <w:rPr>
          <w:rFonts w:eastAsia="標楷體"/>
          <w:b/>
          <w:iCs/>
          <w:color w:val="A5A5A5" w:themeColor="accent3"/>
          <w:sz w:val="22"/>
          <w:szCs w:val="22"/>
        </w:rPr>
        <w:t xml:space="preserve"> RQ3</w:t>
      </w:r>
      <w:r w:rsidR="00207CAC" w:rsidRPr="00207CAC">
        <w:rPr>
          <w:rFonts w:eastAsia="標楷體"/>
          <w:b/>
          <w:iCs/>
          <w:color w:val="A5A5A5" w:themeColor="accent3"/>
          <w:sz w:val="22"/>
          <w:szCs w:val="22"/>
        </w:rPr>
        <w:t>：她發現企業揭露的「量」多不代表「質」好</w:t>
      </w:r>
      <w:proofErr w:type="gramStart"/>
      <w:r w:rsidR="00207CAC" w:rsidRPr="00207CAC">
        <w:rPr>
          <w:rFonts w:eastAsia="標楷體"/>
          <w:b/>
          <w:iCs/>
          <w:color w:val="A5A5A5" w:themeColor="accent3"/>
          <w:sz w:val="22"/>
          <w:szCs w:val="22"/>
        </w:rPr>
        <w:t>——</w:t>
      </w:r>
      <w:proofErr w:type="gramEnd"/>
      <w:r w:rsidR="00207CAC" w:rsidRPr="00207CAC">
        <w:rPr>
          <w:rFonts w:eastAsia="標楷體"/>
          <w:b/>
          <w:iCs/>
          <w:color w:val="A5A5A5" w:themeColor="accent3"/>
          <w:sz w:val="22"/>
          <w:szCs w:val="22"/>
        </w:rPr>
        <w:t>有些公司揭露</w:t>
      </w:r>
      <w:proofErr w:type="gramStart"/>
      <w:r w:rsidR="00207CAC" w:rsidRPr="00207CAC">
        <w:rPr>
          <w:rFonts w:eastAsia="標楷體"/>
          <w:b/>
          <w:iCs/>
          <w:color w:val="A5A5A5" w:themeColor="accent3"/>
          <w:sz w:val="22"/>
          <w:szCs w:val="22"/>
        </w:rPr>
        <w:t>一大堆但議</w:t>
      </w:r>
      <w:r w:rsidR="00207CAC" w:rsidRPr="00207CAC">
        <w:rPr>
          <w:rFonts w:eastAsia="標楷體"/>
          <w:b/>
          <w:iCs/>
          <w:color w:val="A5A5A5" w:themeColor="accent3"/>
          <w:sz w:val="22"/>
          <w:szCs w:val="22"/>
        </w:rPr>
        <w:lastRenderedPageBreak/>
        <w:t>題</w:t>
      </w:r>
      <w:proofErr w:type="gramEnd"/>
      <w:r w:rsidR="00207CAC" w:rsidRPr="00207CAC">
        <w:rPr>
          <w:rFonts w:eastAsia="標楷體"/>
          <w:b/>
          <w:iCs/>
          <w:color w:val="A5A5A5" w:themeColor="accent3"/>
          <w:sz w:val="22"/>
          <w:szCs w:val="22"/>
        </w:rPr>
        <w:t>分數很低。這個「量多質差</w:t>
      </w:r>
      <w:r w:rsidR="00207CAC" w:rsidRPr="00207CAC">
        <w:rPr>
          <w:rFonts w:eastAsia="標楷體"/>
          <w:b/>
          <w:iCs/>
          <w:color w:val="A5A5A5" w:themeColor="accent3"/>
          <w:sz w:val="22"/>
          <w:szCs w:val="22"/>
        </w:rPr>
        <w:t xml:space="preserve"> = </w:t>
      </w:r>
      <w:proofErr w:type="gramStart"/>
      <w:r w:rsidR="00207CAC" w:rsidRPr="00207CAC">
        <w:rPr>
          <w:rFonts w:eastAsia="標楷體"/>
          <w:b/>
          <w:iCs/>
          <w:color w:val="A5A5A5" w:themeColor="accent3"/>
          <w:sz w:val="22"/>
          <w:szCs w:val="22"/>
        </w:rPr>
        <w:t>漂綠</w:t>
      </w:r>
      <w:proofErr w:type="gramEnd"/>
      <w:r w:rsidR="00207CAC" w:rsidRPr="00207CAC">
        <w:rPr>
          <w:rFonts w:eastAsia="標楷體"/>
          <w:b/>
          <w:iCs/>
          <w:color w:val="A5A5A5" w:themeColor="accent3"/>
          <w:sz w:val="22"/>
          <w:szCs w:val="22"/>
        </w:rPr>
        <w:t>」的衡量方法，我直接拿來當</w:t>
      </w:r>
      <w:r w:rsidR="00207CAC" w:rsidRPr="00207CAC">
        <w:rPr>
          <w:rFonts w:eastAsia="標楷體"/>
          <w:b/>
          <w:iCs/>
          <w:color w:val="A5A5A5" w:themeColor="accent3"/>
          <w:sz w:val="22"/>
          <w:szCs w:val="22"/>
        </w:rPr>
        <w:t xml:space="preserve"> RQ3 </w:t>
      </w:r>
      <w:r w:rsidR="00207CAC" w:rsidRPr="00207CAC">
        <w:rPr>
          <w:rFonts w:eastAsia="標楷體"/>
          <w:b/>
          <w:iCs/>
          <w:color w:val="A5A5A5" w:themeColor="accent3"/>
          <w:sz w:val="22"/>
          <w:szCs w:val="22"/>
        </w:rPr>
        <w:t>的核心判斷邏輯</w:t>
      </w:r>
    </w:p>
    <w:p w:rsidR="00062394" w:rsidRDefault="00933A5B">
      <w:pPr>
        <w:spacing w:before="80" w:after="80" w:line="300" w:lineRule="exact"/>
        <w:ind w:left="480" w:hanging="480"/>
        <w:jc w:val="both"/>
      </w:pPr>
      <w:proofErr w:type="spellStart"/>
      <w:r>
        <w:rPr>
          <w:rFonts w:eastAsia="標楷體"/>
        </w:rPr>
        <w:t>Bothello</w:t>
      </w:r>
      <w:proofErr w:type="spellEnd"/>
      <w:r>
        <w:rPr>
          <w:rFonts w:eastAsia="標楷體"/>
        </w:rPr>
        <w:t>, J., Ioannou, I., Porumb, V.-A., &amp; Zengin-Karaibrahimoglu, Y. (2023). CSR decoupling within business groups and the risk of perceived greenwashing. Strategic Management Journal, 44(13), 3217-3251. https://doi.org/10.1002/smj.3532</w:t>
      </w:r>
    </w:p>
    <w:p w:rsidR="009C626C" w:rsidRPr="0037377E" w:rsidRDefault="00933A5B">
      <w:pPr>
        <w:spacing w:before="40" w:after="160" w:line="300" w:lineRule="exact"/>
        <w:ind w:left="480"/>
        <w:jc w:val="both"/>
        <w:rPr>
          <w:rFonts w:eastAsia="標楷體" w:hint="eastAsia"/>
          <w:b/>
          <w:iCs/>
          <w:color w:val="A5A5A5" w:themeColor="accent3"/>
          <w:sz w:val="22"/>
          <w:szCs w:val="22"/>
        </w:rPr>
      </w:pPr>
      <w:r w:rsidRPr="0037377E">
        <w:rPr>
          <w:rFonts w:eastAsia="標楷體"/>
          <w:b/>
          <w:iCs/>
          <w:color w:val="A5A5A5" w:themeColor="accent3"/>
          <w:sz w:val="22"/>
          <w:szCs w:val="22"/>
        </w:rPr>
        <w:t xml:space="preserve">→ </w:t>
      </w:r>
      <w:r w:rsidR="0037377E" w:rsidRPr="0037377E">
        <w:rPr>
          <w:rFonts w:eastAsia="標楷體"/>
          <w:b/>
          <w:iCs/>
          <w:color w:val="A5A5A5" w:themeColor="accent3"/>
          <w:sz w:val="22"/>
          <w:szCs w:val="22"/>
        </w:rPr>
        <w:t>用在</w:t>
      </w:r>
      <w:r w:rsidR="0037377E" w:rsidRPr="0037377E">
        <w:rPr>
          <w:rFonts w:eastAsia="標楷體"/>
          <w:b/>
          <w:iCs/>
          <w:color w:val="A5A5A5" w:themeColor="accent3"/>
          <w:sz w:val="22"/>
          <w:szCs w:val="22"/>
        </w:rPr>
        <w:t xml:space="preserve"> RQ2</w:t>
      </w:r>
      <w:r w:rsidR="0037377E" w:rsidRPr="0037377E">
        <w:rPr>
          <w:rFonts w:eastAsia="標楷體"/>
          <w:b/>
          <w:iCs/>
          <w:color w:val="A5A5A5" w:themeColor="accent3"/>
          <w:sz w:val="22"/>
          <w:szCs w:val="22"/>
        </w:rPr>
        <w:t>、</w:t>
      </w:r>
      <w:r w:rsidR="0037377E" w:rsidRPr="0037377E">
        <w:rPr>
          <w:rFonts w:eastAsia="標楷體"/>
          <w:b/>
          <w:iCs/>
          <w:color w:val="A5A5A5" w:themeColor="accent3"/>
          <w:sz w:val="22"/>
          <w:szCs w:val="22"/>
        </w:rPr>
        <w:t>RQ3</w:t>
      </w:r>
      <w:r w:rsidR="0037377E">
        <w:rPr>
          <w:rFonts w:eastAsia="標楷體"/>
          <w:b/>
          <w:iCs/>
          <w:color w:val="A5A5A5" w:themeColor="accent3"/>
          <w:sz w:val="22"/>
          <w:szCs w:val="22"/>
        </w:rPr>
        <w:t>：這篇</w:t>
      </w:r>
      <w:r w:rsidR="0037377E" w:rsidRPr="0037377E">
        <w:rPr>
          <w:rFonts w:eastAsia="標楷體"/>
          <w:b/>
          <w:iCs/>
          <w:color w:val="A5A5A5" w:themeColor="accent3"/>
          <w:sz w:val="22"/>
          <w:szCs w:val="22"/>
        </w:rPr>
        <w:t>期刊的研究證明：企業嘴上講的</w:t>
      </w:r>
      <w:r w:rsidR="0037377E" w:rsidRPr="0037377E">
        <w:rPr>
          <w:rFonts w:eastAsia="標楷體"/>
          <w:b/>
          <w:iCs/>
          <w:color w:val="A5A5A5" w:themeColor="accent3"/>
          <w:sz w:val="22"/>
          <w:szCs w:val="22"/>
        </w:rPr>
        <w:t xml:space="preserve"> ESG </w:t>
      </w:r>
      <w:r w:rsidR="0037377E" w:rsidRPr="0037377E">
        <w:rPr>
          <w:rFonts w:eastAsia="標楷體"/>
          <w:b/>
          <w:iCs/>
          <w:color w:val="A5A5A5" w:themeColor="accent3"/>
          <w:sz w:val="22"/>
          <w:szCs w:val="22"/>
        </w:rPr>
        <w:t>跟實際做的差距越大，被市場認定</w:t>
      </w:r>
      <w:proofErr w:type="gramStart"/>
      <w:r w:rsidR="0037377E" w:rsidRPr="0037377E">
        <w:rPr>
          <w:rFonts w:eastAsia="標楷體"/>
          <w:b/>
          <w:iCs/>
          <w:color w:val="A5A5A5" w:themeColor="accent3"/>
          <w:sz w:val="22"/>
          <w:szCs w:val="22"/>
        </w:rPr>
        <w:t>為漂綠的</w:t>
      </w:r>
      <w:proofErr w:type="gramEnd"/>
      <w:r w:rsidR="0037377E" w:rsidRPr="0037377E">
        <w:rPr>
          <w:rFonts w:eastAsia="標楷體"/>
          <w:b/>
          <w:iCs/>
          <w:color w:val="A5A5A5" w:themeColor="accent3"/>
          <w:sz w:val="22"/>
          <w:szCs w:val="22"/>
        </w:rPr>
        <w:t>風險就越高。這就是我整條因果鏈（形式</w:t>
      </w:r>
      <w:proofErr w:type="gramStart"/>
      <w:r w:rsidR="0037377E" w:rsidRPr="0037377E">
        <w:rPr>
          <w:rFonts w:eastAsia="標楷體"/>
          <w:b/>
          <w:iCs/>
          <w:color w:val="A5A5A5" w:themeColor="accent3"/>
          <w:sz w:val="22"/>
          <w:szCs w:val="22"/>
        </w:rPr>
        <w:t>採</w:t>
      </w:r>
      <w:proofErr w:type="gramEnd"/>
      <w:r w:rsidR="0037377E" w:rsidRPr="0037377E">
        <w:rPr>
          <w:rFonts w:eastAsia="標楷體"/>
          <w:b/>
          <w:iCs/>
          <w:color w:val="A5A5A5" w:themeColor="accent3"/>
          <w:sz w:val="22"/>
          <w:szCs w:val="22"/>
        </w:rPr>
        <w:t>行</w:t>
      </w:r>
      <w:r w:rsidR="0037377E" w:rsidRPr="0037377E">
        <w:rPr>
          <w:rFonts w:eastAsia="標楷體"/>
          <w:b/>
          <w:iCs/>
          <w:color w:val="A5A5A5" w:themeColor="accent3"/>
          <w:sz w:val="22"/>
          <w:szCs w:val="22"/>
        </w:rPr>
        <w:t xml:space="preserve"> → </w:t>
      </w:r>
      <w:r w:rsidR="00083ED6">
        <w:rPr>
          <w:rFonts w:eastAsia="標楷體"/>
          <w:b/>
          <w:iCs/>
          <w:color w:val="A5A5A5" w:themeColor="accent3"/>
          <w:sz w:val="22"/>
          <w:szCs w:val="22"/>
        </w:rPr>
        <w:t>漂綠）的直接</w:t>
      </w:r>
      <w:r w:rsidR="0037377E" w:rsidRPr="0037377E">
        <w:rPr>
          <w:rFonts w:eastAsia="標楷體"/>
          <w:b/>
          <w:iCs/>
          <w:color w:val="A5A5A5" w:themeColor="accent3"/>
          <w:sz w:val="22"/>
          <w:szCs w:val="22"/>
        </w:rPr>
        <w:t>證據</w:t>
      </w:r>
    </w:p>
    <w:p w:rsidR="00062394" w:rsidRDefault="00933A5B">
      <w:pPr>
        <w:spacing w:before="80" w:after="80" w:line="300" w:lineRule="exact"/>
        <w:ind w:left="480" w:hanging="480"/>
        <w:jc w:val="both"/>
      </w:pPr>
      <w:proofErr w:type="spellStart"/>
      <w:r>
        <w:rPr>
          <w:rFonts w:eastAsia="標楷體"/>
        </w:rPr>
        <w:t>Delmas</w:t>
      </w:r>
      <w:proofErr w:type="spellEnd"/>
      <w:r>
        <w:rPr>
          <w:rFonts w:eastAsia="標楷體"/>
        </w:rPr>
        <w:t>, M. A., &amp; Burbano, V. C. (2011). The drivers of greenwashing. California Management Review, 54(1), 64-87. https://doi.org/10.1525/cmr.2011.54.1.64</w:t>
      </w:r>
    </w:p>
    <w:p w:rsidR="009C626C" w:rsidRPr="00BF4A75" w:rsidRDefault="00933A5B">
      <w:pPr>
        <w:spacing w:before="40" w:after="160" w:line="300" w:lineRule="exact"/>
        <w:ind w:left="480"/>
        <w:jc w:val="both"/>
        <w:rPr>
          <w:rFonts w:eastAsia="標楷體" w:hint="eastAsia"/>
          <w:b/>
          <w:iCs/>
          <w:color w:val="A5A5A5" w:themeColor="accent3"/>
          <w:sz w:val="22"/>
          <w:szCs w:val="22"/>
        </w:rPr>
      </w:pPr>
      <w:r w:rsidRPr="00BF4A75">
        <w:rPr>
          <w:rFonts w:eastAsia="標楷體"/>
          <w:b/>
          <w:iCs/>
          <w:color w:val="A5A5A5" w:themeColor="accent3"/>
          <w:sz w:val="22"/>
          <w:szCs w:val="22"/>
        </w:rPr>
        <w:t xml:space="preserve">→ </w:t>
      </w:r>
      <w:proofErr w:type="spellStart"/>
      <w:r w:rsidR="00F63577" w:rsidRPr="00BF4A75">
        <w:rPr>
          <w:rFonts w:eastAsia="標楷體"/>
          <w:b/>
          <w:iCs/>
          <w:color w:val="A5A5A5" w:themeColor="accent3"/>
          <w:sz w:val="22"/>
          <w:szCs w:val="22"/>
        </w:rPr>
        <w:t>Delmas</w:t>
      </w:r>
      <w:proofErr w:type="spellEnd"/>
      <w:r w:rsidR="00F63577" w:rsidRPr="00BF4A75">
        <w:rPr>
          <w:rFonts w:eastAsia="標楷體"/>
          <w:b/>
          <w:iCs/>
          <w:color w:val="A5A5A5" w:themeColor="accent3"/>
          <w:sz w:val="22"/>
          <w:szCs w:val="22"/>
        </w:rPr>
        <w:t xml:space="preserve"> &amp; </w:t>
      </w:r>
      <w:proofErr w:type="spellStart"/>
      <w:r w:rsidR="00F63577" w:rsidRPr="00BF4A75">
        <w:rPr>
          <w:rFonts w:eastAsia="標楷體"/>
          <w:b/>
          <w:iCs/>
          <w:color w:val="A5A5A5" w:themeColor="accent3"/>
          <w:sz w:val="22"/>
          <w:szCs w:val="22"/>
        </w:rPr>
        <w:t>Burbano</w:t>
      </w:r>
      <w:proofErr w:type="spellEnd"/>
      <w:r w:rsidR="00F63577" w:rsidRPr="00BF4A75">
        <w:rPr>
          <w:rFonts w:eastAsia="標楷體"/>
          <w:b/>
          <w:iCs/>
          <w:color w:val="A5A5A5" w:themeColor="accent3"/>
          <w:sz w:val="22"/>
          <w:szCs w:val="22"/>
        </w:rPr>
        <w:t>（</w:t>
      </w:r>
      <w:r w:rsidR="00F63577" w:rsidRPr="00BF4A75">
        <w:rPr>
          <w:rFonts w:eastAsia="標楷體"/>
          <w:b/>
          <w:iCs/>
          <w:color w:val="A5A5A5" w:themeColor="accent3"/>
          <w:sz w:val="22"/>
          <w:szCs w:val="22"/>
        </w:rPr>
        <w:t>2011</w:t>
      </w:r>
      <w:r w:rsidR="00F63577" w:rsidRPr="00BF4A75">
        <w:rPr>
          <w:rFonts w:eastAsia="標楷體"/>
          <w:b/>
          <w:iCs/>
          <w:color w:val="A5A5A5" w:themeColor="accent3"/>
          <w:sz w:val="22"/>
          <w:szCs w:val="22"/>
        </w:rPr>
        <w:t>）</w:t>
      </w:r>
      <w:r w:rsidR="00F63577" w:rsidRPr="00BF4A75">
        <w:rPr>
          <w:rFonts w:eastAsia="標楷體"/>
          <w:b/>
          <w:iCs/>
          <w:color w:val="A5A5A5" w:themeColor="accent3"/>
          <w:sz w:val="22"/>
          <w:szCs w:val="22"/>
        </w:rPr>
        <w:t xml:space="preserve">→ </w:t>
      </w:r>
      <w:r w:rsidR="00F63577" w:rsidRPr="00BF4A75">
        <w:rPr>
          <w:rFonts w:eastAsia="標楷體"/>
          <w:b/>
          <w:bCs/>
          <w:iCs/>
          <w:color w:val="A5A5A5" w:themeColor="accent3"/>
          <w:sz w:val="22"/>
          <w:szCs w:val="22"/>
        </w:rPr>
        <w:t>用在</w:t>
      </w:r>
      <w:r w:rsidR="00F63577" w:rsidRPr="00BF4A75">
        <w:rPr>
          <w:rFonts w:eastAsia="標楷體"/>
          <w:b/>
          <w:bCs/>
          <w:iCs/>
          <w:color w:val="A5A5A5" w:themeColor="accent3"/>
          <w:sz w:val="22"/>
          <w:szCs w:val="22"/>
        </w:rPr>
        <w:t xml:space="preserve"> RQ3</w:t>
      </w:r>
      <w:r w:rsidR="00F63577" w:rsidRPr="00BF4A75">
        <w:rPr>
          <w:rFonts w:eastAsia="標楷體"/>
          <w:b/>
          <w:bCs/>
          <w:iCs/>
          <w:color w:val="A5A5A5" w:themeColor="accent3"/>
          <w:sz w:val="22"/>
          <w:szCs w:val="22"/>
        </w:rPr>
        <w:t>：這篇</w:t>
      </w:r>
      <w:proofErr w:type="gramStart"/>
      <w:r w:rsidR="00F63577" w:rsidRPr="00BF4A75">
        <w:rPr>
          <w:rFonts w:eastAsia="標楷體"/>
          <w:b/>
          <w:bCs/>
          <w:iCs/>
          <w:color w:val="A5A5A5" w:themeColor="accent3"/>
          <w:sz w:val="22"/>
          <w:szCs w:val="22"/>
        </w:rPr>
        <w:t>是漂綠研究</w:t>
      </w:r>
      <w:proofErr w:type="gramEnd"/>
      <w:r w:rsidR="00F63577" w:rsidRPr="00BF4A75">
        <w:rPr>
          <w:rFonts w:eastAsia="標楷體"/>
          <w:b/>
          <w:bCs/>
          <w:iCs/>
          <w:color w:val="A5A5A5" w:themeColor="accent3"/>
          <w:sz w:val="22"/>
          <w:szCs w:val="22"/>
        </w:rPr>
        <w:t>的經典，把「為什麼企業</w:t>
      </w:r>
      <w:proofErr w:type="gramStart"/>
      <w:r w:rsidR="00F63577" w:rsidRPr="00BF4A75">
        <w:rPr>
          <w:rFonts w:eastAsia="標楷體"/>
          <w:b/>
          <w:bCs/>
          <w:iCs/>
          <w:color w:val="A5A5A5" w:themeColor="accent3"/>
          <w:sz w:val="22"/>
          <w:szCs w:val="22"/>
        </w:rPr>
        <w:t>會漂綠</w:t>
      </w:r>
      <w:proofErr w:type="gramEnd"/>
      <w:r w:rsidR="00F63577" w:rsidRPr="00BF4A75">
        <w:rPr>
          <w:rFonts w:eastAsia="標楷體"/>
          <w:b/>
          <w:bCs/>
          <w:iCs/>
          <w:color w:val="A5A5A5" w:themeColor="accent3"/>
          <w:sz w:val="22"/>
          <w:szCs w:val="22"/>
        </w:rPr>
        <w:t>」拆成外部環境、組織</w:t>
      </w:r>
      <w:proofErr w:type="gramStart"/>
      <w:r w:rsidR="00F63577" w:rsidRPr="00BF4A75">
        <w:rPr>
          <w:rFonts w:eastAsia="標楷體"/>
          <w:b/>
          <w:bCs/>
          <w:iCs/>
          <w:color w:val="A5A5A5" w:themeColor="accent3"/>
          <w:sz w:val="22"/>
          <w:szCs w:val="22"/>
        </w:rPr>
        <w:t>內部、</w:t>
      </w:r>
      <w:proofErr w:type="gramEnd"/>
      <w:r w:rsidR="00F63577" w:rsidRPr="00BF4A75">
        <w:rPr>
          <w:rFonts w:eastAsia="標楷體"/>
          <w:b/>
          <w:bCs/>
          <w:iCs/>
          <w:color w:val="A5A5A5" w:themeColor="accent3"/>
          <w:sz w:val="22"/>
          <w:szCs w:val="22"/>
        </w:rPr>
        <w:t>個人決策三個層次。我在</w:t>
      </w:r>
      <w:proofErr w:type="gramStart"/>
      <w:r w:rsidR="00F63577" w:rsidRPr="00BF4A75">
        <w:rPr>
          <w:rFonts w:eastAsia="標楷體"/>
          <w:b/>
          <w:bCs/>
          <w:iCs/>
          <w:color w:val="A5A5A5" w:themeColor="accent3"/>
          <w:sz w:val="22"/>
          <w:szCs w:val="22"/>
        </w:rPr>
        <w:t>寫漂綠成因</w:t>
      </w:r>
      <w:proofErr w:type="gramEnd"/>
      <w:r w:rsidR="00F63577" w:rsidRPr="00BF4A75">
        <w:rPr>
          <w:rFonts w:eastAsia="標楷體"/>
          <w:b/>
          <w:bCs/>
          <w:iCs/>
          <w:color w:val="A5A5A5" w:themeColor="accent3"/>
          <w:sz w:val="22"/>
          <w:szCs w:val="22"/>
        </w:rPr>
        <w:t>時直接用這個架構</w:t>
      </w:r>
    </w:p>
    <w:p w:rsidR="00062394" w:rsidRDefault="00933A5B">
      <w:pPr>
        <w:spacing w:before="80" w:after="80" w:line="300" w:lineRule="exact"/>
        <w:ind w:left="480" w:hanging="480"/>
        <w:jc w:val="both"/>
      </w:pPr>
      <w:r>
        <w:rPr>
          <w:rFonts w:eastAsia="標楷體"/>
        </w:rPr>
        <w:t>DiMaggio, P. J., &amp; Powell, W. W. (1983). The iron cage revisited: Institutional isomorphism and collective rationality in organizational fields. American Sociological Review, 48(2), 147-160.</w:t>
      </w:r>
    </w:p>
    <w:p w:rsidR="009C626C" w:rsidRDefault="00933A5B">
      <w:pPr>
        <w:spacing w:before="40" w:after="160" w:line="300" w:lineRule="exact"/>
        <w:ind w:left="480"/>
        <w:jc w:val="both"/>
        <w:rPr>
          <w:rFonts w:hint="eastAsia"/>
        </w:rPr>
      </w:pPr>
      <w:r w:rsidRPr="00C2691F">
        <w:rPr>
          <w:rFonts w:eastAsia="標楷體"/>
          <w:b/>
          <w:iCs/>
          <w:color w:val="A5A5A5" w:themeColor="accent3"/>
          <w:sz w:val="22"/>
          <w:szCs w:val="22"/>
        </w:rPr>
        <w:t xml:space="preserve">→ </w:t>
      </w:r>
      <w:r w:rsidRPr="00C2691F">
        <w:rPr>
          <w:rFonts w:eastAsia="標楷體"/>
          <w:b/>
          <w:iCs/>
          <w:color w:val="A5A5A5" w:themeColor="accent3"/>
          <w:sz w:val="22"/>
          <w:szCs w:val="22"/>
        </w:rPr>
        <w:t>對應</w:t>
      </w:r>
      <w:r w:rsidRPr="00C2691F">
        <w:rPr>
          <w:rFonts w:eastAsia="標楷體"/>
          <w:b/>
          <w:iCs/>
          <w:color w:val="A5A5A5" w:themeColor="accent3"/>
          <w:sz w:val="22"/>
          <w:szCs w:val="22"/>
        </w:rPr>
        <w:t xml:space="preserve"> RQ1</w:t>
      </w:r>
      <w:r w:rsidRPr="00C2691F">
        <w:rPr>
          <w:rFonts w:eastAsia="標楷體"/>
          <w:b/>
          <w:iCs/>
          <w:color w:val="A5A5A5" w:themeColor="accent3"/>
          <w:sz w:val="22"/>
          <w:szCs w:val="22"/>
        </w:rPr>
        <w:t>：制度理論經典文獻，提出強制性（</w:t>
      </w:r>
      <w:r w:rsidRPr="00C2691F">
        <w:rPr>
          <w:rFonts w:eastAsia="標楷體"/>
          <w:b/>
          <w:iCs/>
          <w:color w:val="A5A5A5" w:themeColor="accent3"/>
          <w:sz w:val="22"/>
          <w:szCs w:val="22"/>
        </w:rPr>
        <w:t>coercive</w:t>
      </w:r>
      <w:r w:rsidRPr="00C2691F">
        <w:rPr>
          <w:rFonts w:eastAsia="標楷體"/>
          <w:b/>
          <w:iCs/>
          <w:color w:val="A5A5A5" w:themeColor="accent3"/>
          <w:sz w:val="22"/>
          <w:szCs w:val="22"/>
        </w:rPr>
        <w:t>）、模仿性（</w:t>
      </w:r>
      <w:r w:rsidRPr="00C2691F">
        <w:rPr>
          <w:rFonts w:eastAsia="標楷體"/>
          <w:b/>
          <w:iCs/>
          <w:color w:val="A5A5A5" w:themeColor="accent3"/>
          <w:sz w:val="22"/>
          <w:szCs w:val="22"/>
        </w:rPr>
        <w:t>mimetic</w:t>
      </w:r>
      <w:r w:rsidRPr="00C2691F">
        <w:rPr>
          <w:rFonts w:eastAsia="標楷體"/>
          <w:b/>
          <w:iCs/>
          <w:color w:val="A5A5A5" w:themeColor="accent3"/>
          <w:sz w:val="22"/>
          <w:szCs w:val="22"/>
        </w:rPr>
        <w:t>）、規範性（</w:t>
      </w:r>
      <w:r w:rsidRPr="00C2691F">
        <w:rPr>
          <w:rFonts w:eastAsia="標楷體"/>
          <w:b/>
          <w:iCs/>
          <w:color w:val="A5A5A5" w:themeColor="accent3"/>
          <w:sz w:val="22"/>
          <w:szCs w:val="22"/>
        </w:rPr>
        <w:t>normative</w:t>
      </w:r>
      <w:r w:rsidRPr="00C2691F">
        <w:rPr>
          <w:rFonts w:eastAsia="標楷體"/>
          <w:b/>
          <w:iCs/>
          <w:color w:val="A5A5A5" w:themeColor="accent3"/>
          <w:sz w:val="22"/>
          <w:szCs w:val="22"/>
        </w:rPr>
        <w:t>）三種制度壓力的原始概念框架</w:t>
      </w:r>
    </w:p>
    <w:p w:rsidR="00062394" w:rsidRDefault="00933A5B">
      <w:pPr>
        <w:spacing w:before="80" w:after="80" w:line="300" w:lineRule="exact"/>
        <w:ind w:left="480" w:hanging="480"/>
        <w:jc w:val="both"/>
      </w:pPr>
      <w:r>
        <w:rPr>
          <w:rFonts w:eastAsia="標楷體"/>
        </w:rPr>
        <w:t>Hsiao, C.-Y., &amp; Shiu, Y.-M. (2025). TCFD compliance and decarbonization practices: Evidence from Taiwan’s financial institutions. Corporate Social Responsibility and Environmental Management. Advance online publication. https://doi.org/10.1002/csr.70308</w:t>
      </w:r>
    </w:p>
    <w:p w:rsidR="009C626C" w:rsidRPr="00BF4A75" w:rsidRDefault="00933A5B">
      <w:pPr>
        <w:spacing w:before="40" w:after="160" w:line="300" w:lineRule="exact"/>
        <w:ind w:left="480"/>
        <w:jc w:val="both"/>
        <w:rPr>
          <w:rFonts w:eastAsia="標楷體" w:hint="eastAsia"/>
          <w:b/>
          <w:iCs/>
          <w:color w:val="A5A5A5" w:themeColor="accent3"/>
          <w:sz w:val="22"/>
          <w:szCs w:val="22"/>
        </w:rPr>
      </w:pPr>
      <w:r w:rsidRPr="00C2691F">
        <w:rPr>
          <w:rFonts w:eastAsia="標楷體"/>
          <w:b/>
          <w:iCs/>
          <w:color w:val="A5A5A5" w:themeColor="accent3"/>
          <w:sz w:val="22"/>
          <w:szCs w:val="22"/>
        </w:rPr>
        <w:t xml:space="preserve">→ </w:t>
      </w:r>
      <w:r w:rsidR="00BF4A75" w:rsidRPr="00BF4A75">
        <w:rPr>
          <w:rFonts w:eastAsia="標楷體"/>
          <w:b/>
          <w:iCs/>
          <w:color w:val="A5A5A5" w:themeColor="accent3"/>
          <w:sz w:val="22"/>
          <w:szCs w:val="22"/>
        </w:rPr>
        <w:t>用在</w:t>
      </w:r>
      <w:r w:rsidR="00BF4A75" w:rsidRPr="00BF4A75">
        <w:rPr>
          <w:rFonts w:eastAsia="標楷體"/>
          <w:b/>
          <w:iCs/>
          <w:color w:val="A5A5A5" w:themeColor="accent3"/>
          <w:sz w:val="22"/>
          <w:szCs w:val="22"/>
        </w:rPr>
        <w:t xml:space="preserve"> RQ1 </w:t>
      </w:r>
      <w:r w:rsidR="00BF4A75" w:rsidRPr="00BF4A75">
        <w:rPr>
          <w:rFonts w:eastAsia="標楷體"/>
          <w:b/>
          <w:iCs/>
          <w:color w:val="A5A5A5" w:themeColor="accent3"/>
          <w:sz w:val="22"/>
          <w:szCs w:val="22"/>
        </w:rPr>
        <w:t>與研究架構：他們用臺灣</w:t>
      </w:r>
      <w:r w:rsidR="00BF4A75" w:rsidRPr="00BF4A75">
        <w:rPr>
          <w:rFonts w:eastAsia="標楷體"/>
          <w:b/>
          <w:iCs/>
          <w:color w:val="A5A5A5" w:themeColor="accent3"/>
          <w:sz w:val="22"/>
          <w:szCs w:val="22"/>
        </w:rPr>
        <w:t xml:space="preserve"> 80 </w:t>
      </w:r>
      <w:r w:rsidR="00BF4A75" w:rsidRPr="00BF4A75">
        <w:rPr>
          <w:rFonts w:eastAsia="標楷體"/>
          <w:b/>
          <w:iCs/>
          <w:color w:val="A5A5A5" w:themeColor="accent3"/>
          <w:sz w:val="22"/>
          <w:szCs w:val="22"/>
        </w:rPr>
        <w:t>家金融機構的公開資料就能</w:t>
      </w:r>
      <w:proofErr w:type="gramStart"/>
      <w:r w:rsidR="00BF4A75" w:rsidRPr="00BF4A75">
        <w:rPr>
          <w:rFonts w:eastAsia="標楷體"/>
          <w:b/>
          <w:iCs/>
          <w:color w:val="A5A5A5" w:themeColor="accent3"/>
          <w:sz w:val="22"/>
          <w:szCs w:val="22"/>
        </w:rPr>
        <w:t>衡量減碳表現</w:t>
      </w:r>
      <w:proofErr w:type="gramEnd"/>
      <w:r w:rsidR="00BF4A75" w:rsidRPr="00BF4A75">
        <w:rPr>
          <w:rFonts w:eastAsia="標楷體"/>
          <w:b/>
          <w:iCs/>
          <w:color w:val="A5A5A5" w:themeColor="accent3"/>
          <w:sz w:val="22"/>
          <w:szCs w:val="22"/>
        </w:rPr>
        <w:t>跟揭露品質。這篇證明我的研究方法（用公開資料分析金融業）是可行的，也支持我挑金融業當研究對象是對的</w:t>
      </w:r>
    </w:p>
    <w:p w:rsidR="00062394" w:rsidRDefault="00933A5B">
      <w:pPr>
        <w:spacing w:before="80" w:after="80" w:line="300" w:lineRule="exact"/>
        <w:ind w:left="480" w:hanging="480"/>
        <w:jc w:val="both"/>
      </w:pPr>
      <w:r>
        <w:rPr>
          <w:rFonts w:eastAsia="標楷體"/>
        </w:rPr>
        <w:t>Marquis, C., Toffel, M. W., &amp; Zhou, Y. (2016). Scrutiny, norms, and selective disclosure: A global study of greenwashing. Organization Science, 27(2), 483-504. https://doi.org/10.1287/orsc.2015.1039</w:t>
      </w:r>
    </w:p>
    <w:p w:rsidR="009C626C" w:rsidRDefault="00933A5B">
      <w:pPr>
        <w:spacing w:before="40" w:after="160" w:line="300" w:lineRule="exact"/>
        <w:ind w:left="480"/>
        <w:jc w:val="both"/>
        <w:rPr>
          <w:rFonts w:hint="eastAsia"/>
        </w:rPr>
      </w:pPr>
      <w:r w:rsidRPr="0038600F">
        <w:rPr>
          <w:rFonts w:eastAsia="標楷體"/>
          <w:b/>
          <w:iCs/>
          <w:color w:val="A5A5A5" w:themeColor="accent3"/>
          <w:sz w:val="22"/>
          <w:szCs w:val="22"/>
        </w:rPr>
        <w:t xml:space="preserve">→ </w:t>
      </w:r>
      <w:r w:rsidR="0038600F" w:rsidRPr="0038600F">
        <w:rPr>
          <w:rFonts w:eastAsia="標楷體"/>
          <w:b/>
          <w:iCs/>
          <w:color w:val="A5A5A5" w:themeColor="accent3"/>
          <w:sz w:val="22"/>
          <w:szCs w:val="22"/>
        </w:rPr>
        <w:t>用在</w:t>
      </w:r>
      <w:r w:rsidR="0038600F" w:rsidRPr="0038600F">
        <w:rPr>
          <w:rFonts w:eastAsia="標楷體"/>
          <w:b/>
          <w:iCs/>
          <w:color w:val="A5A5A5" w:themeColor="accent3"/>
          <w:sz w:val="22"/>
          <w:szCs w:val="22"/>
        </w:rPr>
        <w:t xml:space="preserve"> RQ3</w:t>
      </w:r>
      <w:r w:rsidR="0038600F" w:rsidRPr="0038600F">
        <w:rPr>
          <w:rFonts w:eastAsia="標楷體"/>
          <w:b/>
          <w:iCs/>
          <w:color w:val="A5A5A5" w:themeColor="accent3"/>
          <w:sz w:val="22"/>
          <w:szCs w:val="22"/>
        </w:rPr>
        <w:t>：</w:t>
      </w:r>
      <w:proofErr w:type="gramStart"/>
      <w:r w:rsidR="0038600F" w:rsidRPr="0038600F">
        <w:rPr>
          <w:rFonts w:eastAsia="標楷體"/>
          <w:b/>
          <w:iCs/>
          <w:color w:val="A5A5A5" w:themeColor="accent3"/>
          <w:sz w:val="22"/>
          <w:szCs w:val="22"/>
        </w:rPr>
        <w:t>這篇用全球</w:t>
      </w:r>
      <w:proofErr w:type="gramEnd"/>
      <w:r w:rsidR="0038600F" w:rsidRPr="0038600F">
        <w:rPr>
          <w:rFonts w:eastAsia="標楷體"/>
          <w:b/>
          <w:iCs/>
          <w:color w:val="A5A5A5" w:themeColor="accent3"/>
          <w:sz w:val="22"/>
          <w:szCs w:val="22"/>
        </w:rPr>
        <w:t xml:space="preserve"> 4,750 </w:t>
      </w:r>
      <w:r w:rsidR="0038600F" w:rsidRPr="0038600F">
        <w:rPr>
          <w:rFonts w:eastAsia="標楷體"/>
          <w:b/>
          <w:iCs/>
          <w:color w:val="A5A5A5" w:themeColor="accent3"/>
          <w:sz w:val="22"/>
          <w:szCs w:val="22"/>
        </w:rPr>
        <w:t>家公司的資料證明：企業在壓力下會故意只揭露好看的、藏起不好看的</w:t>
      </w:r>
      <w:proofErr w:type="gramStart"/>
      <w:r w:rsidR="0038600F" w:rsidRPr="0038600F">
        <w:rPr>
          <w:rFonts w:eastAsia="標楷體"/>
          <w:b/>
          <w:iCs/>
          <w:color w:val="A5A5A5" w:themeColor="accent3"/>
          <w:sz w:val="22"/>
          <w:szCs w:val="22"/>
        </w:rPr>
        <w:t>——</w:t>
      </w:r>
      <w:proofErr w:type="gramEnd"/>
      <w:r w:rsidR="0038600F" w:rsidRPr="0038600F">
        <w:rPr>
          <w:rFonts w:eastAsia="標楷體"/>
          <w:b/>
          <w:iCs/>
          <w:color w:val="A5A5A5" w:themeColor="accent3"/>
          <w:sz w:val="22"/>
          <w:szCs w:val="22"/>
        </w:rPr>
        <w:t>這就是「選擇性揭露」。這個概念是我</w:t>
      </w:r>
      <w:r w:rsidR="0038600F" w:rsidRPr="0038600F">
        <w:rPr>
          <w:rFonts w:eastAsia="標楷體"/>
          <w:b/>
          <w:iCs/>
          <w:color w:val="A5A5A5" w:themeColor="accent3"/>
          <w:sz w:val="22"/>
          <w:szCs w:val="22"/>
        </w:rPr>
        <w:t xml:space="preserve"> RQ3 </w:t>
      </w:r>
      <w:r w:rsidR="0038600F" w:rsidRPr="0038600F">
        <w:rPr>
          <w:rFonts w:eastAsia="標楷體"/>
          <w:b/>
          <w:iCs/>
          <w:color w:val="A5A5A5" w:themeColor="accent3"/>
          <w:sz w:val="22"/>
          <w:szCs w:val="22"/>
        </w:rPr>
        <w:t>講揭露品質落差時的理論基礎</w:t>
      </w:r>
    </w:p>
    <w:p w:rsidR="00062394" w:rsidRDefault="00933A5B">
      <w:pPr>
        <w:spacing w:before="80" w:after="80" w:line="300" w:lineRule="exact"/>
        <w:ind w:left="480" w:hanging="480"/>
        <w:jc w:val="both"/>
      </w:pPr>
      <w:r>
        <w:rPr>
          <w:rFonts w:eastAsia="標楷體"/>
        </w:rPr>
        <w:t>Meyer, J. W., &amp; Rowan, B. (1977). Institutionalized organizations: Formal structure as myth and ceremony. American Journal of Sociology, 83(2), 340-363.</w:t>
      </w:r>
    </w:p>
    <w:p w:rsidR="00062394" w:rsidRPr="00413B8D" w:rsidRDefault="00933A5B">
      <w:pPr>
        <w:spacing w:before="40" w:after="160" w:line="300" w:lineRule="exact"/>
        <w:ind w:left="480"/>
        <w:jc w:val="both"/>
        <w:rPr>
          <w:rFonts w:eastAsia="標楷體"/>
          <w:b/>
          <w:iCs/>
          <w:color w:val="A5A5A5" w:themeColor="accent3"/>
          <w:sz w:val="22"/>
          <w:szCs w:val="22"/>
        </w:rPr>
      </w:pPr>
      <w:r w:rsidRPr="00413B8D">
        <w:rPr>
          <w:rFonts w:eastAsia="標楷體"/>
          <w:b/>
          <w:iCs/>
          <w:color w:val="A5A5A5" w:themeColor="accent3"/>
          <w:sz w:val="22"/>
          <w:szCs w:val="22"/>
        </w:rPr>
        <w:t xml:space="preserve">→ </w:t>
      </w:r>
      <w:r w:rsidR="00413B8D" w:rsidRPr="00413B8D">
        <w:rPr>
          <w:rFonts w:eastAsia="標楷體"/>
          <w:b/>
          <w:iCs/>
          <w:color w:val="A5A5A5" w:themeColor="accent3"/>
          <w:sz w:val="22"/>
          <w:szCs w:val="22"/>
        </w:rPr>
        <w:t>用在</w:t>
      </w:r>
      <w:r w:rsidR="00413B8D" w:rsidRPr="00413B8D">
        <w:rPr>
          <w:rFonts w:eastAsia="標楷體"/>
          <w:b/>
          <w:iCs/>
          <w:color w:val="A5A5A5" w:themeColor="accent3"/>
          <w:sz w:val="22"/>
          <w:szCs w:val="22"/>
        </w:rPr>
        <w:t xml:space="preserve"> RQ2</w:t>
      </w:r>
      <w:r w:rsidR="00413B8D" w:rsidRPr="00413B8D">
        <w:rPr>
          <w:rFonts w:eastAsia="標楷體"/>
          <w:b/>
          <w:iCs/>
          <w:color w:val="A5A5A5" w:themeColor="accent3"/>
          <w:sz w:val="22"/>
          <w:szCs w:val="22"/>
        </w:rPr>
        <w:t>：「脫</w:t>
      </w:r>
      <w:proofErr w:type="gramStart"/>
      <w:r w:rsidR="00413B8D" w:rsidRPr="00413B8D">
        <w:rPr>
          <w:rFonts w:eastAsia="標楷體"/>
          <w:b/>
          <w:iCs/>
          <w:color w:val="A5A5A5" w:themeColor="accent3"/>
          <w:sz w:val="22"/>
          <w:szCs w:val="22"/>
        </w:rPr>
        <w:t>鉤</w:t>
      </w:r>
      <w:proofErr w:type="gramEnd"/>
      <w:r w:rsidR="00413B8D" w:rsidRPr="00413B8D">
        <w:rPr>
          <w:rFonts w:eastAsia="標楷體"/>
          <w:b/>
          <w:iCs/>
          <w:color w:val="A5A5A5" w:themeColor="accent3"/>
          <w:sz w:val="22"/>
          <w:szCs w:val="22"/>
        </w:rPr>
        <w:t>」這個概念</w:t>
      </w:r>
      <w:proofErr w:type="gramStart"/>
      <w:r w:rsidR="00413B8D" w:rsidRPr="00413B8D">
        <w:rPr>
          <w:rFonts w:eastAsia="標楷體"/>
          <w:b/>
          <w:iCs/>
          <w:color w:val="A5A5A5" w:themeColor="accent3"/>
          <w:sz w:val="22"/>
          <w:szCs w:val="22"/>
        </w:rPr>
        <w:t>——</w:t>
      </w:r>
      <w:proofErr w:type="gramEnd"/>
      <w:r w:rsidR="00413B8D" w:rsidRPr="00413B8D">
        <w:rPr>
          <w:rFonts w:eastAsia="標楷體"/>
          <w:b/>
          <w:iCs/>
          <w:color w:val="A5A5A5" w:themeColor="accent3"/>
          <w:sz w:val="22"/>
          <w:szCs w:val="22"/>
        </w:rPr>
        <w:t>企業表面做一套、實際做另一套</w:t>
      </w:r>
      <w:r w:rsidR="00BE6C95">
        <w:rPr>
          <w:rFonts w:eastAsia="標楷體" w:hint="eastAsia"/>
          <w:b/>
          <w:iCs/>
          <w:color w:val="A5A5A5" w:themeColor="accent3"/>
          <w:sz w:val="22"/>
          <w:szCs w:val="22"/>
        </w:rPr>
        <w:t>(</w:t>
      </w:r>
      <w:r w:rsidR="00BE6C95" w:rsidRPr="00BE6C95">
        <w:rPr>
          <w:rFonts w:eastAsia="標楷體"/>
          <w:bCs/>
          <w:iCs/>
          <w:color w:val="A5A5A5" w:themeColor="accent3"/>
          <w:sz w:val="22"/>
          <w:szCs w:val="22"/>
        </w:rPr>
        <w:t>企業「</w:t>
      </w:r>
      <w:proofErr w:type="gramStart"/>
      <w:r w:rsidR="00BE6C95" w:rsidRPr="00BE6C95">
        <w:rPr>
          <w:rFonts w:eastAsia="標楷體"/>
          <w:bCs/>
          <w:iCs/>
          <w:color w:val="A5A5A5" w:themeColor="accent3"/>
          <w:sz w:val="22"/>
          <w:szCs w:val="22"/>
        </w:rPr>
        <w:t>說的</w:t>
      </w:r>
      <w:proofErr w:type="gramEnd"/>
      <w:r w:rsidR="00BE6C95" w:rsidRPr="00BE6C95">
        <w:rPr>
          <w:rFonts w:eastAsia="標楷體"/>
          <w:bCs/>
          <w:iCs/>
          <w:color w:val="A5A5A5" w:themeColor="accent3"/>
          <w:sz w:val="22"/>
          <w:szCs w:val="22"/>
        </w:rPr>
        <w:t>」跟「做的」拆開了，各走各的。</w:t>
      </w:r>
      <w:proofErr w:type="gramStart"/>
      <w:r w:rsidR="00413B8D" w:rsidRPr="00BE6C95">
        <w:rPr>
          <w:rFonts w:eastAsia="標楷體"/>
          <w:bCs/>
          <w:iCs/>
          <w:color w:val="A5A5A5" w:themeColor="accent3"/>
          <w:sz w:val="22"/>
          <w:szCs w:val="22"/>
        </w:rPr>
        <w:t>——</w:t>
      </w:r>
      <w:proofErr w:type="gramEnd"/>
      <w:r w:rsidR="00413B8D" w:rsidRPr="00BE6C95">
        <w:rPr>
          <w:rFonts w:eastAsia="標楷體"/>
          <w:bCs/>
          <w:iCs/>
          <w:color w:val="A5A5A5" w:themeColor="accent3"/>
          <w:sz w:val="22"/>
          <w:szCs w:val="22"/>
        </w:rPr>
        <w:t>就是</w:t>
      </w:r>
      <w:r w:rsidR="00413B8D" w:rsidRPr="00413B8D">
        <w:rPr>
          <w:rFonts w:eastAsia="標楷體"/>
          <w:b/>
          <w:iCs/>
          <w:color w:val="A5A5A5" w:themeColor="accent3"/>
          <w:sz w:val="22"/>
          <w:szCs w:val="22"/>
        </w:rPr>
        <w:t>這兩</w:t>
      </w:r>
      <w:proofErr w:type="gramStart"/>
      <w:r w:rsidR="00413B8D" w:rsidRPr="00413B8D">
        <w:rPr>
          <w:rFonts w:eastAsia="標楷體"/>
          <w:b/>
          <w:iCs/>
          <w:color w:val="A5A5A5" w:themeColor="accent3"/>
          <w:sz w:val="22"/>
          <w:szCs w:val="22"/>
        </w:rPr>
        <w:t>個</w:t>
      </w:r>
      <w:proofErr w:type="gramEnd"/>
      <w:r w:rsidR="00413B8D" w:rsidRPr="00413B8D">
        <w:rPr>
          <w:rFonts w:eastAsia="標楷體"/>
          <w:b/>
          <w:iCs/>
          <w:color w:val="A5A5A5" w:themeColor="accent3"/>
          <w:sz w:val="22"/>
          <w:szCs w:val="22"/>
        </w:rPr>
        <w:t>學者最早提出的。我</w:t>
      </w:r>
      <w:r w:rsidR="00413B8D" w:rsidRPr="00413B8D">
        <w:rPr>
          <w:rFonts w:eastAsia="標楷體"/>
          <w:b/>
          <w:iCs/>
          <w:color w:val="A5A5A5" w:themeColor="accent3"/>
          <w:sz w:val="22"/>
          <w:szCs w:val="22"/>
        </w:rPr>
        <w:t xml:space="preserve"> RQ2 </w:t>
      </w:r>
      <w:r w:rsidR="00413B8D" w:rsidRPr="00413B8D">
        <w:rPr>
          <w:rFonts w:eastAsia="標楷體"/>
          <w:b/>
          <w:iCs/>
          <w:color w:val="A5A5A5" w:themeColor="accent3"/>
          <w:sz w:val="22"/>
          <w:szCs w:val="22"/>
        </w:rPr>
        <w:t>區分「實質</w:t>
      </w:r>
      <w:proofErr w:type="gramStart"/>
      <w:r w:rsidR="00413B8D" w:rsidRPr="00413B8D">
        <w:rPr>
          <w:rFonts w:eastAsia="標楷體"/>
          <w:b/>
          <w:iCs/>
          <w:color w:val="A5A5A5" w:themeColor="accent3"/>
          <w:sz w:val="22"/>
          <w:szCs w:val="22"/>
        </w:rPr>
        <w:t>採</w:t>
      </w:r>
      <w:proofErr w:type="gramEnd"/>
      <w:r w:rsidR="00413B8D" w:rsidRPr="00413B8D">
        <w:rPr>
          <w:rFonts w:eastAsia="標楷體"/>
          <w:b/>
          <w:iCs/>
          <w:color w:val="A5A5A5" w:themeColor="accent3"/>
          <w:sz w:val="22"/>
          <w:szCs w:val="22"/>
        </w:rPr>
        <w:t>行」跟「形式</w:t>
      </w:r>
      <w:proofErr w:type="gramStart"/>
      <w:r w:rsidR="00413B8D" w:rsidRPr="00413B8D">
        <w:rPr>
          <w:rFonts w:eastAsia="標楷體"/>
          <w:b/>
          <w:iCs/>
          <w:color w:val="A5A5A5" w:themeColor="accent3"/>
          <w:sz w:val="22"/>
          <w:szCs w:val="22"/>
        </w:rPr>
        <w:t>採</w:t>
      </w:r>
      <w:proofErr w:type="gramEnd"/>
      <w:r w:rsidR="00413B8D" w:rsidRPr="00413B8D">
        <w:rPr>
          <w:rFonts w:eastAsia="標楷體"/>
          <w:b/>
          <w:iCs/>
          <w:color w:val="A5A5A5" w:themeColor="accent3"/>
          <w:sz w:val="22"/>
          <w:szCs w:val="22"/>
        </w:rPr>
        <w:t>行」背後的理論就是來自這篇</w:t>
      </w:r>
    </w:p>
    <w:sectPr w:rsidR="00062394" w:rsidRPr="00413B8D" w:rsidSect="00CB0EA7">
      <w:headerReference w:type="default" r:id="rId8"/>
      <w:footerReference w:type="default" r:id="rId9"/>
      <w:pgSz w:w="11906" w:h="16838"/>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7E60" w:rsidRDefault="00A27E60">
      <w:r>
        <w:separator/>
      </w:r>
    </w:p>
  </w:endnote>
  <w:endnote w:type="continuationSeparator" w:id="0">
    <w:p w:rsidR="00A27E60" w:rsidRDefault="00A27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0E93" w:rsidRDefault="00EA0E93" w:rsidP="00CB0EA7">
    <w:pPr>
      <w:jc w:val="center"/>
    </w:pPr>
    <w:r>
      <w:fldChar w:fldCharType="begin"/>
    </w:r>
    <w:r>
      <w:instrText>PAGE   \* MERGEFORMAT</w:instrText>
    </w:r>
    <w:r>
      <w:fldChar w:fldCharType="separate"/>
    </w:r>
    <w:r w:rsidR="00673531" w:rsidRPr="00673531">
      <w:rPr>
        <w:noProof/>
        <w:lang w:val="zh-TW"/>
      </w:rPr>
      <w:t>12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7E60" w:rsidRDefault="00A27E60">
      <w:r>
        <w:separator/>
      </w:r>
    </w:p>
  </w:footnote>
  <w:footnote w:type="continuationSeparator" w:id="0">
    <w:p w:rsidR="00A27E60" w:rsidRDefault="00A27E6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0E93" w:rsidRDefault="00EA0E93">
    <w:pPr>
      <w:jc w:val="right"/>
    </w:pPr>
    <w:r>
      <w:rPr>
        <w:rFonts w:eastAsia="標楷體"/>
        <w:sz w:val="20"/>
        <w:szCs w:val="20"/>
      </w:rPr>
      <w:t>制度壓力下臺灣</w:t>
    </w:r>
    <w:r>
      <w:rPr>
        <w:rFonts w:eastAsia="標楷體" w:hint="eastAsia"/>
        <w:sz w:val="20"/>
        <w:szCs w:val="20"/>
      </w:rPr>
      <w:t>企業</w:t>
    </w:r>
    <w:r>
      <w:rPr>
        <w:rFonts w:eastAsia="標楷體"/>
        <w:sz w:val="20"/>
        <w:szCs w:val="20"/>
      </w:rPr>
      <w:t xml:space="preserve"> ESG </w:t>
    </w:r>
    <w:proofErr w:type="gramStart"/>
    <w:r>
      <w:rPr>
        <w:rFonts w:eastAsia="標楷體"/>
        <w:sz w:val="20"/>
        <w:szCs w:val="20"/>
      </w:rPr>
      <w:t>採</w:t>
    </w:r>
    <w:proofErr w:type="gramEnd"/>
    <w:r>
      <w:rPr>
        <w:rFonts w:eastAsia="標楷體"/>
        <w:sz w:val="20"/>
        <w:szCs w:val="20"/>
      </w:rPr>
      <w:t>行</w:t>
    </w:r>
    <w:proofErr w:type="gramStart"/>
    <w:r>
      <w:rPr>
        <w:rFonts w:eastAsia="標楷體"/>
        <w:sz w:val="20"/>
        <w:szCs w:val="20"/>
      </w:rPr>
      <w:t>與漂綠風險</w:t>
    </w:r>
    <w:proofErr w:type="gram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881DAA"/>
    <w:multiLevelType w:val="hybridMultilevel"/>
    <w:tmpl w:val="83887DE6"/>
    <w:lvl w:ilvl="0" w:tplc="49ACB382">
      <w:start w:val="1"/>
      <w:numFmt w:val="bullet"/>
      <w:lvlText w:val="●"/>
      <w:lvlJc w:val="left"/>
      <w:pPr>
        <w:ind w:left="720" w:hanging="360"/>
      </w:pPr>
    </w:lvl>
    <w:lvl w:ilvl="1" w:tplc="0DE66CA0">
      <w:start w:val="1"/>
      <w:numFmt w:val="bullet"/>
      <w:lvlText w:val="○"/>
      <w:lvlJc w:val="left"/>
      <w:pPr>
        <w:ind w:left="1440" w:hanging="360"/>
      </w:pPr>
    </w:lvl>
    <w:lvl w:ilvl="2" w:tplc="A7D29B80">
      <w:start w:val="1"/>
      <w:numFmt w:val="bullet"/>
      <w:lvlText w:val="■"/>
      <w:lvlJc w:val="left"/>
      <w:pPr>
        <w:ind w:left="2160" w:hanging="360"/>
      </w:pPr>
    </w:lvl>
    <w:lvl w:ilvl="3" w:tplc="08A27E16">
      <w:start w:val="1"/>
      <w:numFmt w:val="bullet"/>
      <w:lvlText w:val="●"/>
      <w:lvlJc w:val="left"/>
      <w:pPr>
        <w:ind w:left="2880" w:hanging="360"/>
      </w:pPr>
    </w:lvl>
    <w:lvl w:ilvl="4" w:tplc="9028E1D2">
      <w:start w:val="1"/>
      <w:numFmt w:val="bullet"/>
      <w:lvlText w:val="○"/>
      <w:lvlJc w:val="left"/>
      <w:pPr>
        <w:ind w:left="3600" w:hanging="360"/>
      </w:pPr>
    </w:lvl>
    <w:lvl w:ilvl="5" w:tplc="CFF0BAB8">
      <w:start w:val="1"/>
      <w:numFmt w:val="bullet"/>
      <w:lvlText w:val="■"/>
      <w:lvlJc w:val="left"/>
      <w:pPr>
        <w:ind w:left="4320" w:hanging="360"/>
      </w:pPr>
    </w:lvl>
    <w:lvl w:ilvl="6" w:tplc="B2BC6BB0">
      <w:start w:val="1"/>
      <w:numFmt w:val="bullet"/>
      <w:lvlText w:val="●"/>
      <w:lvlJc w:val="left"/>
      <w:pPr>
        <w:ind w:left="5040" w:hanging="360"/>
      </w:pPr>
    </w:lvl>
    <w:lvl w:ilvl="7" w:tplc="C8423722">
      <w:start w:val="1"/>
      <w:numFmt w:val="bullet"/>
      <w:lvlText w:val="●"/>
      <w:lvlJc w:val="left"/>
      <w:pPr>
        <w:ind w:left="5760" w:hanging="360"/>
      </w:pPr>
    </w:lvl>
    <w:lvl w:ilvl="8" w:tplc="9A32DCA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394"/>
    <w:rsid w:val="0005022C"/>
    <w:rsid w:val="00062394"/>
    <w:rsid w:val="00083ED6"/>
    <w:rsid w:val="000B7346"/>
    <w:rsid w:val="000D346D"/>
    <w:rsid w:val="001F61F0"/>
    <w:rsid w:val="001F7456"/>
    <w:rsid w:val="00207CAC"/>
    <w:rsid w:val="002E113F"/>
    <w:rsid w:val="0037377E"/>
    <w:rsid w:val="0038600F"/>
    <w:rsid w:val="003B1243"/>
    <w:rsid w:val="00413B8D"/>
    <w:rsid w:val="00441FC8"/>
    <w:rsid w:val="00465835"/>
    <w:rsid w:val="00495682"/>
    <w:rsid w:val="004F1488"/>
    <w:rsid w:val="005C44F0"/>
    <w:rsid w:val="006001EC"/>
    <w:rsid w:val="00623949"/>
    <w:rsid w:val="006629C4"/>
    <w:rsid w:val="00670F8F"/>
    <w:rsid w:val="00673531"/>
    <w:rsid w:val="006D3625"/>
    <w:rsid w:val="0072415F"/>
    <w:rsid w:val="00794AD0"/>
    <w:rsid w:val="00803793"/>
    <w:rsid w:val="00933A5B"/>
    <w:rsid w:val="009C626C"/>
    <w:rsid w:val="009F4E80"/>
    <w:rsid w:val="00A27E60"/>
    <w:rsid w:val="00A60E93"/>
    <w:rsid w:val="00A92FC8"/>
    <w:rsid w:val="00AC29F0"/>
    <w:rsid w:val="00B057A9"/>
    <w:rsid w:val="00BB12F1"/>
    <w:rsid w:val="00BD3869"/>
    <w:rsid w:val="00BE6C95"/>
    <w:rsid w:val="00BF4A75"/>
    <w:rsid w:val="00C2691F"/>
    <w:rsid w:val="00C45B22"/>
    <w:rsid w:val="00CB0EA7"/>
    <w:rsid w:val="00D0086C"/>
    <w:rsid w:val="00D356B7"/>
    <w:rsid w:val="00D40088"/>
    <w:rsid w:val="00D457FC"/>
    <w:rsid w:val="00D47F8F"/>
    <w:rsid w:val="00D7388A"/>
    <w:rsid w:val="00D774D9"/>
    <w:rsid w:val="00DA61B4"/>
    <w:rsid w:val="00EA0E93"/>
    <w:rsid w:val="00F56613"/>
    <w:rsid w:val="00F60492"/>
    <w:rsid w:val="00F63577"/>
    <w:rsid w:val="00F700BC"/>
    <w:rsid w:val="00FB318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AE8"/>
  <w15:docId w15:val="{5B01ABAA-BA98-48C8-A220-8C2F2910D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60492"/>
    <w:pPr>
      <w:widowControl w:val="0"/>
    </w:pPr>
  </w:style>
  <w:style w:type="paragraph" w:styleId="1">
    <w:name w:val="heading 1"/>
    <w:qFormat/>
    <w:pPr>
      <w:spacing w:before="300" w:after="300" w:line="360" w:lineRule="exact"/>
      <w:outlineLvl w:val="0"/>
    </w:pPr>
    <w:rPr>
      <w:rFonts w:eastAsia="Times New Roman"/>
      <w:b/>
      <w:bCs/>
      <w:sz w:val="28"/>
      <w:szCs w:val="28"/>
    </w:rPr>
  </w:style>
  <w:style w:type="paragraph" w:styleId="2">
    <w:name w:val="heading 2"/>
    <w:qFormat/>
    <w:pPr>
      <w:spacing w:before="250" w:after="250" w:line="320" w:lineRule="exact"/>
      <w:outlineLvl w:val="1"/>
    </w:pPr>
    <w:rPr>
      <w:rFonts w:eastAsia="Times New Roman"/>
      <w:b/>
      <w:bCs/>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11">
    <w:name w:val="toc 1"/>
    <w:basedOn w:val="a"/>
    <w:next w:val="a"/>
    <w:autoRedefine/>
    <w:uiPriority w:val="39"/>
    <w:unhideWhenUsed/>
    <w:rsid w:val="00D0086C"/>
  </w:style>
  <w:style w:type="paragraph" w:styleId="20">
    <w:name w:val="toc 2"/>
    <w:basedOn w:val="a"/>
    <w:next w:val="a"/>
    <w:autoRedefine/>
    <w:uiPriority w:val="39"/>
    <w:unhideWhenUsed/>
    <w:rsid w:val="00D0086C"/>
    <w:pPr>
      <w:ind w:leftChars="200" w:left="480"/>
    </w:pPr>
  </w:style>
  <w:style w:type="paragraph" w:styleId="ac">
    <w:name w:val="header"/>
    <w:basedOn w:val="a"/>
    <w:link w:val="ad"/>
    <w:uiPriority w:val="99"/>
    <w:unhideWhenUsed/>
    <w:rsid w:val="00DA61B4"/>
    <w:pPr>
      <w:tabs>
        <w:tab w:val="center" w:pos="4153"/>
        <w:tab w:val="right" w:pos="8306"/>
      </w:tabs>
      <w:snapToGrid w:val="0"/>
    </w:pPr>
    <w:rPr>
      <w:sz w:val="20"/>
      <w:szCs w:val="20"/>
    </w:rPr>
  </w:style>
  <w:style w:type="character" w:customStyle="1" w:styleId="ad">
    <w:name w:val="頁首 字元"/>
    <w:basedOn w:val="a0"/>
    <w:link w:val="ac"/>
    <w:uiPriority w:val="99"/>
    <w:rsid w:val="00DA61B4"/>
    <w:rPr>
      <w:sz w:val="20"/>
      <w:szCs w:val="20"/>
    </w:rPr>
  </w:style>
  <w:style w:type="paragraph" w:styleId="ae">
    <w:name w:val="footer"/>
    <w:basedOn w:val="a"/>
    <w:link w:val="af"/>
    <w:uiPriority w:val="99"/>
    <w:unhideWhenUsed/>
    <w:rsid w:val="00DA61B4"/>
    <w:pPr>
      <w:tabs>
        <w:tab w:val="center" w:pos="4153"/>
        <w:tab w:val="right" w:pos="8306"/>
      </w:tabs>
      <w:snapToGrid w:val="0"/>
    </w:pPr>
    <w:rPr>
      <w:sz w:val="20"/>
      <w:szCs w:val="20"/>
    </w:rPr>
  </w:style>
  <w:style w:type="character" w:customStyle="1" w:styleId="af">
    <w:name w:val="頁尾 字元"/>
    <w:basedOn w:val="a0"/>
    <w:link w:val="ae"/>
    <w:uiPriority w:val="99"/>
    <w:rsid w:val="00DA61B4"/>
    <w:rPr>
      <w:sz w:val="20"/>
      <w:szCs w:val="20"/>
    </w:rPr>
  </w:style>
  <w:style w:type="paragraph" w:customStyle="1" w:styleId="font-claude-response-body">
    <w:name w:val="font-claude-response-body"/>
    <w:basedOn w:val="a"/>
    <w:rsid w:val="00623949"/>
    <w:pPr>
      <w:widowControl/>
      <w:spacing w:before="100" w:beforeAutospacing="1" w:after="100" w:afterAutospacing="1"/>
    </w:pPr>
    <w:rPr>
      <w:rFonts w:ascii="新細明體" w:eastAsia="新細明體" w:hAnsi="新細明體" w:cs="新細明體"/>
    </w:rPr>
  </w:style>
  <w:style w:type="character" w:styleId="af0">
    <w:name w:val="Strong"/>
    <w:basedOn w:val="a0"/>
    <w:uiPriority w:val="22"/>
    <w:qFormat/>
    <w:rsid w:val="006239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088277">
      <w:bodyDiv w:val="1"/>
      <w:marLeft w:val="0"/>
      <w:marRight w:val="0"/>
      <w:marTop w:val="0"/>
      <w:marBottom w:val="0"/>
      <w:divBdr>
        <w:top w:val="none" w:sz="0" w:space="0" w:color="auto"/>
        <w:left w:val="none" w:sz="0" w:space="0" w:color="auto"/>
        <w:bottom w:val="none" w:sz="0" w:space="0" w:color="auto"/>
        <w:right w:val="none" w:sz="0" w:space="0" w:color="auto"/>
      </w:divBdr>
      <w:divsChild>
        <w:div w:id="1314211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1643">
      <w:bodyDiv w:val="1"/>
      <w:marLeft w:val="0"/>
      <w:marRight w:val="0"/>
      <w:marTop w:val="0"/>
      <w:marBottom w:val="0"/>
      <w:divBdr>
        <w:top w:val="none" w:sz="0" w:space="0" w:color="auto"/>
        <w:left w:val="none" w:sz="0" w:space="0" w:color="auto"/>
        <w:bottom w:val="none" w:sz="0" w:space="0" w:color="auto"/>
        <w:right w:val="none" w:sz="0" w:space="0" w:color="auto"/>
      </w:divBdr>
      <w:divsChild>
        <w:div w:id="389425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DF3E4-0FB9-4B88-85A7-D3F20CCB5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7719</TotalTime>
  <Pages>12</Pages>
  <Words>1773</Words>
  <Characters>10108</Characters>
  <Application>Microsoft Office Word</Application>
  <DocSecurity>0</DocSecurity>
  <Lines>84</Lines>
  <Paragraphs>23</Paragraphs>
  <ScaleCrop>false</ScaleCrop>
  <Company/>
  <LinksUpToDate>false</LinksUpToDate>
  <CharactersWithSpaces>11858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制度壓力下臺灣企業 ESG 採行方式與漂綠風險之探索性研究</dc:title>
  <dc:creator>鍾昀臻</dc:creator>
  <cp:lastModifiedBy>yunzhenz</cp:lastModifiedBy>
  <cp:revision>54</cp:revision>
  <dcterms:created xsi:type="dcterms:W3CDTF">2026-04-24T01:46:00Z</dcterms:created>
  <dcterms:modified xsi:type="dcterms:W3CDTF">2026-04-29T14:11:00Z</dcterms:modified>
</cp:coreProperties>
</file>