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587380">
      <w:pPr>
        <w:spacing w:line="480" w:lineRule="auto"/>
      </w:pPr>
    </w:p>
    <w:p w:rsidR="00587380" w:rsidRDefault="00DA25CC">
      <w:pPr>
        <w:spacing w:line="480" w:lineRule="auto"/>
        <w:jc w:val="center"/>
      </w:pPr>
      <w:r>
        <w:rPr>
          <w:b/>
          <w:bCs/>
          <w:sz w:val="32"/>
          <w:szCs w:val="32"/>
        </w:rPr>
        <w:t>制度壓力下臺灣企業</w:t>
      </w:r>
      <w:r>
        <w:rPr>
          <w:b/>
          <w:bCs/>
          <w:sz w:val="32"/>
          <w:szCs w:val="32"/>
        </w:rPr>
        <w:t xml:space="preserve"> ESG </w:t>
      </w:r>
      <w:r>
        <w:rPr>
          <w:b/>
          <w:bCs/>
          <w:sz w:val="32"/>
          <w:szCs w:val="32"/>
        </w:rPr>
        <w:t>系統導入方式</w:t>
      </w:r>
    </w:p>
    <w:p w:rsidR="00587380" w:rsidRDefault="00DA25CC">
      <w:pPr>
        <w:spacing w:line="480" w:lineRule="auto"/>
        <w:jc w:val="center"/>
      </w:pPr>
      <w:proofErr w:type="gramStart"/>
      <w:r>
        <w:rPr>
          <w:b/>
          <w:bCs/>
          <w:sz w:val="32"/>
          <w:szCs w:val="32"/>
        </w:rPr>
        <w:t>與漂綠風險</w:t>
      </w:r>
      <w:proofErr w:type="gramEnd"/>
      <w:r>
        <w:rPr>
          <w:b/>
          <w:bCs/>
          <w:sz w:val="32"/>
          <w:szCs w:val="32"/>
        </w:rPr>
        <w:t>之探索性研究</w:t>
      </w:r>
    </w:p>
    <w:p w:rsidR="00587380" w:rsidRDefault="00587380">
      <w:pPr>
        <w:spacing w:line="480" w:lineRule="auto"/>
      </w:pPr>
    </w:p>
    <w:p w:rsidR="00587380" w:rsidRDefault="00587380">
      <w:pPr>
        <w:spacing w:line="480" w:lineRule="auto"/>
      </w:pPr>
    </w:p>
    <w:p w:rsidR="00587380" w:rsidRDefault="00DA25CC">
      <w:pPr>
        <w:spacing w:line="480" w:lineRule="auto"/>
        <w:jc w:val="center"/>
      </w:pPr>
      <w:proofErr w:type="gramStart"/>
      <w:r>
        <w:t>鍾昀臻</w:t>
      </w:r>
      <w:proofErr w:type="gramEnd"/>
    </w:p>
    <w:p w:rsidR="00587380" w:rsidRDefault="00DA25CC">
      <w:pPr>
        <w:spacing w:line="480" w:lineRule="auto"/>
        <w:jc w:val="center"/>
      </w:pPr>
      <w:r>
        <w:t>國立中正大學</w:t>
      </w:r>
    </w:p>
    <w:p w:rsidR="00587380" w:rsidRDefault="00587380">
      <w:pPr>
        <w:spacing w:line="480" w:lineRule="auto"/>
      </w:pPr>
    </w:p>
    <w:p w:rsidR="00587380" w:rsidRDefault="00587380">
      <w:pPr>
        <w:spacing w:line="480" w:lineRule="auto"/>
      </w:pPr>
    </w:p>
    <w:p w:rsidR="00587380" w:rsidRDefault="00DA25CC">
      <w:pPr>
        <w:spacing w:line="480" w:lineRule="auto"/>
        <w:jc w:val="center"/>
      </w:pPr>
      <w:r>
        <w:t>中華民國</w:t>
      </w:r>
      <w:r>
        <w:t xml:space="preserve"> 115 </w:t>
      </w:r>
      <w:r>
        <w:t>年</w:t>
      </w:r>
      <w:r>
        <w:t xml:space="preserve"> 4 </w:t>
      </w:r>
      <w:r>
        <w:t>月</w:t>
      </w:r>
    </w:p>
    <w:p w:rsidR="00587380" w:rsidRDefault="00587380">
      <w:pPr>
        <w:sectPr w:rsidR="00587380">
          <w:pgSz w:w="11906" w:h="16838"/>
          <w:pgMar w:top="1440" w:right="1440" w:bottom="1440" w:left="1440" w:header="708" w:footer="708" w:gutter="0"/>
          <w:cols w:space="720"/>
          <w:docGrid w:linePitch="360"/>
        </w:sectPr>
      </w:pPr>
    </w:p>
    <w:p w:rsidR="00587380" w:rsidRDefault="00DA25CC">
      <w:pPr>
        <w:spacing w:after="480" w:line="480" w:lineRule="auto"/>
        <w:jc w:val="center"/>
      </w:pPr>
      <w:r>
        <w:rPr>
          <w:b/>
          <w:bCs/>
          <w:sz w:val="28"/>
          <w:szCs w:val="28"/>
        </w:rPr>
        <w:lastRenderedPageBreak/>
        <w:t>目錄</w:t>
      </w:r>
    </w:p>
    <w:p w:rsidR="00587380" w:rsidRDefault="00DA25CC">
      <w:pPr>
        <w:spacing w:line="480" w:lineRule="auto"/>
      </w:pPr>
      <w:r>
        <w:rPr>
          <w:b/>
          <w:bCs/>
        </w:rPr>
        <w:t>壹、緒論</w:t>
      </w:r>
    </w:p>
    <w:p w:rsidR="00587380" w:rsidRDefault="00DA25CC">
      <w:pPr>
        <w:spacing w:line="480" w:lineRule="auto"/>
        <w:ind w:left="480"/>
      </w:pPr>
      <w:r>
        <w:t>一、研究背景與動機</w:t>
      </w:r>
    </w:p>
    <w:p w:rsidR="00587380" w:rsidRDefault="00DA25CC">
      <w:pPr>
        <w:spacing w:line="480" w:lineRule="auto"/>
        <w:ind w:left="480"/>
      </w:pPr>
      <w:r>
        <w:t>二、研究目的</w:t>
      </w:r>
    </w:p>
    <w:p w:rsidR="00587380" w:rsidRDefault="00DA25CC">
      <w:pPr>
        <w:spacing w:line="480" w:lineRule="auto"/>
        <w:ind w:left="480"/>
      </w:pPr>
      <w:r>
        <w:t>三、研究問題</w:t>
      </w:r>
    </w:p>
    <w:p w:rsidR="00587380" w:rsidRDefault="00587380">
      <w:pPr>
        <w:spacing w:line="480" w:lineRule="auto"/>
      </w:pPr>
    </w:p>
    <w:p w:rsidR="00587380" w:rsidRDefault="00DA25CC">
      <w:pPr>
        <w:spacing w:line="480" w:lineRule="auto"/>
      </w:pPr>
      <w:r>
        <w:rPr>
          <w:b/>
          <w:bCs/>
        </w:rPr>
        <w:t>貳、文獻探討</w:t>
      </w:r>
    </w:p>
    <w:p w:rsidR="00587380" w:rsidRDefault="00DA25CC">
      <w:pPr>
        <w:spacing w:line="480" w:lineRule="auto"/>
        <w:ind w:left="480"/>
      </w:pPr>
      <w:r>
        <w:t>一、制度理論與</w:t>
      </w:r>
      <w:r>
        <w:t xml:space="preserve"> ESG </w:t>
      </w:r>
      <w:r>
        <w:t>導入動機</w:t>
      </w:r>
    </w:p>
    <w:p w:rsidR="00587380" w:rsidRDefault="00DA25CC">
      <w:pPr>
        <w:spacing w:line="480" w:lineRule="auto"/>
        <w:ind w:left="480"/>
      </w:pPr>
      <w:r>
        <w:t>二、</w:t>
      </w:r>
      <w:r>
        <w:t xml:space="preserve">ESG </w:t>
      </w:r>
      <w:r>
        <w:t>系統導入方式：實質導入與形式導入</w:t>
      </w:r>
    </w:p>
    <w:p w:rsidR="00587380" w:rsidRDefault="00DA25CC">
      <w:pPr>
        <w:spacing w:line="480" w:lineRule="auto"/>
        <w:ind w:left="480"/>
      </w:pPr>
      <w:r>
        <w:t>三、</w:t>
      </w:r>
      <w:proofErr w:type="gramStart"/>
      <w:r>
        <w:t>漂綠風險</w:t>
      </w:r>
      <w:proofErr w:type="gramEnd"/>
      <w:r>
        <w:t>與</w:t>
      </w:r>
      <w:r>
        <w:t xml:space="preserve"> ESG </w:t>
      </w:r>
      <w:r>
        <w:t>資訊品質</w:t>
      </w:r>
    </w:p>
    <w:p w:rsidR="00587380" w:rsidRDefault="00DA25CC">
      <w:pPr>
        <w:spacing w:line="480" w:lineRule="auto"/>
        <w:ind w:left="480"/>
      </w:pPr>
      <w:r>
        <w:t>四、文獻小結與研究缺口</w:t>
      </w:r>
    </w:p>
    <w:p w:rsidR="00587380" w:rsidRDefault="00587380">
      <w:pPr>
        <w:spacing w:line="480" w:lineRule="auto"/>
      </w:pPr>
    </w:p>
    <w:p w:rsidR="00587380" w:rsidRDefault="00DA25CC">
      <w:pPr>
        <w:spacing w:line="480" w:lineRule="auto"/>
      </w:pPr>
      <w:r>
        <w:rPr>
          <w:b/>
          <w:bCs/>
        </w:rPr>
        <w:t>參、研究架構與預期貢獻</w:t>
      </w:r>
    </w:p>
    <w:p w:rsidR="00587380" w:rsidRDefault="00587380">
      <w:pPr>
        <w:spacing w:line="480" w:lineRule="auto"/>
      </w:pPr>
    </w:p>
    <w:p w:rsidR="00587380" w:rsidRDefault="00270FBC">
      <w:pPr>
        <w:spacing w:line="480" w:lineRule="auto"/>
      </w:pPr>
      <w:r>
        <w:rPr>
          <w:rFonts w:hint="eastAsia"/>
          <w:b/>
          <w:bCs/>
        </w:rPr>
        <w:t>肆、</w:t>
      </w:r>
      <w:r w:rsidR="00DA25CC">
        <w:rPr>
          <w:b/>
          <w:bCs/>
        </w:rPr>
        <w:t>參考文獻</w:t>
      </w:r>
    </w:p>
    <w:p w:rsidR="00587380" w:rsidRDefault="00587380">
      <w:pPr>
        <w:sectPr w:rsidR="00587380">
          <w:footerReference w:type="default" r:id="rId7"/>
          <w:pgSz w:w="11906" w:h="16838"/>
          <w:pgMar w:top="1440" w:right="1440" w:bottom="1440" w:left="1800" w:header="708" w:footer="708" w:gutter="0"/>
          <w:cols w:space="720"/>
          <w:docGrid w:linePitch="360"/>
        </w:sectPr>
      </w:pPr>
    </w:p>
    <w:p w:rsidR="00587380" w:rsidRDefault="007412F6" w:rsidP="0006547E">
      <w:pPr>
        <w:pageBreakBefore/>
        <w:spacing w:before="480" w:after="240" w:line="480" w:lineRule="auto"/>
        <w:jc w:val="center"/>
      </w:pPr>
      <w:r>
        <w:rPr>
          <w:rFonts w:hint="eastAsia"/>
          <w:b/>
          <w:bCs/>
        </w:rPr>
        <w:lastRenderedPageBreak/>
        <w:t>壹、</w:t>
      </w:r>
      <w:r w:rsidR="00DA25CC" w:rsidRPr="0006547E">
        <w:rPr>
          <w:b/>
          <w:bCs/>
        </w:rPr>
        <w:t>緒論</w:t>
      </w:r>
    </w:p>
    <w:p w:rsidR="00587380" w:rsidRPr="007412F6" w:rsidRDefault="00DA25CC">
      <w:pPr>
        <w:spacing w:before="360" w:after="240" w:line="480" w:lineRule="auto"/>
      </w:pPr>
      <w:r w:rsidRPr="007412F6">
        <w:rPr>
          <w:bCs/>
        </w:rPr>
        <w:t>一、研究背景與動機</w:t>
      </w:r>
    </w:p>
    <w:p w:rsidR="0006547E" w:rsidRPr="0006547E" w:rsidRDefault="0006547E" w:rsidP="0006547E">
      <w:pPr>
        <w:spacing w:line="480" w:lineRule="auto"/>
        <w:ind w:firstLine="480"/>
        <w:jc w:val="both"/>
      </w:pPr>
      <w:r w:rsidRPr="0006547E">
        <w:t>在全球氣候變遷與環境保護議題日益受到重視的背景下，永續發展已成為國際社會與企業界的重要共識。為了順應此一趨勢，臺灣金融監督管理委員會（金管會）於民國</w:t>
      </w:r>
      <w:r w:rsidRPr="0006547E">
        <w:t xml:space="preserve"> 111 </w:t>
      </w:r>
      <w:r w:rsidRPr="0006547E">
        <w:t>年發布「上市櫃公司永續發展路徑圖」，明訂分階段推動全體上市櫃公司於民國</w:t>
      </w:r>
      <w:r w:rsidRPr="0006547E">
        <w:t xml:space="preserve"> 116 </w:t>
      </w:r>
      <w:r w:rsidRPr="0006547E">
        <w:t>年完成溫室氣體盤查，民國</w:t>
      </w:r>
      <w:r w:rsidRPr="0006547E">
        <w:t xml:space="preserve"> 118 </w:t>
      </w:r>
      <w:r w:rsidRPr="0006547E">
        <w:t>年完成盤查之確信。</w:t>
      </w:r>
      <w:proofErr w:type="gramStart"/>
      <w:r w:rsidRPr="0006547E">
        <w:t>此外，</w:t>
      </w:r>
      <w:proofErr w:type="gramEnd"/>
      <w:r w:rsidRPr="0006547E">
        <w:t>自民國</w:t>
      </w:r>
      <w:r w:rsidRPr="0006547E">
        <w:t xml:space="preserve"> 114 </w:t>
      </w:r>
      <w:r w:rsidRPr="0006547E">
        <w:t>年起，全體約</w:t>
      </w:r>
      <w:r w:rsidRPr="0006547E">
        <w:t xml:space="preserve"> 1,852 </w:t>
      </w:r>
      <w:r w:rsidRPr="0006547E">
        <w:t>家上市櫃公司</w:t>
      </w:r>
      <w:proofErr w:type="gramStart"/>
      <w:r w:rsidRPr="0006547E">
        <w:t>均須編製永</w:t>
      </w:r>
      <w:proofErr w:type="gramEnd"/>
      <w:r w:rsidRPr="0006547E">
        <w:t>續報告書。為配合法規要求，臺灣證券交易所亦於民國</w:t>
      </w:r>
      <w:r w:rsidRPr="0006547E">
        <w:t xml:space="preserve"> 113 </w:t>
      </w:r>
      <w:r w:rsidRPr="0006547E">
        <w:t>年</w:t>
      </w:r>
      <w:r w:rsidRPr="0006547E">
        <w:t xml:space="preserve"> 5 </w:t>
      </w:r>
      <w:r w:rsidRPr="0006547E">
        <w:t>月推出新版</w:t>
      </w:r>
      <w:r w:rsidRPr="0006547E">
        <w:t xml:space="preserve"> ESG </w:t>
      </w:r>
      <w:r w:rsidRPr="0006547E">
        <w:t>數位平台，將</w:t>
      </w:r>
      <w:r w:rsidRPr="0006547E">
        <w:t xml:space="preserve"> ESG </w:t>
      </w:r>
      <w:r w:rsidRPr="0006547E">
        <w:t>應申報指標從</w:t>
      </w:r>
      <w:r w:rsidRPr="0006547E">
        <w:t xml:space="preserve"> 29 </w:t>
      </w:r>
      <w:r w:rsidRPr="0006547E">
        <w:t>項大幅擴增至</w:t>
      </w:r>
      <w:r w:rsidRPr="0006547E">
        <w:t xml:space="preserve"> 97 </w:t>
      </w:r>
      <w:r w:rsidRPr="0006547E">
        <w:t>項，使得企業對</w:t>
      </w:r>
      <w:r w:rsidRPr="0006547E">
        <w:t xml:space="preserve"> ESG </w:t>
      </w:r>
      <w:r w:rsidRPr="0006547E">
        <w:t>資訊系統的導入需求快速成長。</w:t>
      </w:r>
    </w:p>
    <w:p w:rsidR="0006547E" w:rsidRPr="0006547E" w:rsidRDefault="0006547E" w:rsidP="0006547E">
      <w:pPr>
        <w:spacing w:line="480" w:lineRule="auto"/>
        <w:ind w:firstLine="480"/>
        <w:jc w:val="both"/>
      </w:pPr>
      <w:r w:rsidRPr="0006547E">
        <w:t>然而，面對法規與市場的制度壓力，企業在推動</w:t>
      </w:r>
      <w:r w:rsidRPr="0006547E">
        <w:t xml:space="preserve"> ESG </w:t>
      </w:r>
      <w:r w:rsidRPr="0006547E">
        <w:t>時常面臨「實質行動」與「形式合</w:t>
      </w:r>
      <w:proofErr w:type="gramStart"/>
      <w:r w:rsidRPr="0006547E">
        <w:t>規</w:t>
      </w:r>
      <w:proofErr w:type="gramEnd"/>
      <w:r w:rsidRPr="0006547E">
        <w:t>」的兩難。雖然有系統地申報資訊是第一步，但「有系統」並不等於「有落實」，更不等於「數據真實」。許多企業在永續</w:t>
      </w:r>
      <w:proofErr w:type="gramStart"/>
      <w:r w:rsidRPr="0006547E">
        <w:t>與減碳承諾</w:t>
      </w:r>
      <w:proofErr w:type="gramEnd"/>
      <w:r w:rsidRPr="0006547E">
        <w:t>上，與實際成效之間常存在著顯著的落差。部分企業為了獲取社會支持、提升品牌形象或取得合法性，會傾向透過揭露大量</w:t>
      </w:r>
      <w:r w:rsidRPr="0006547E">
        <w:t xml:space="preserve"> ESG </w:t>
      </w:r>
      <w:r w:rsidRPr="0006547E">
        <w:t>資訊來掩飾其實際績效不佳的事實，形成所謂的「</w:t>
      </w:r>
      <w:proofErr w:type="gramStart"/>
      <w:r w:rsidRPr="0006547E">
        <w:t>漂綠</w:t>
      </w:r>
      <w:proofErr w:type="gramEnd"/>
      <w:r w:rsidRPr="0006547E">
        <w:t>」（</w:t>
      </w:r>
      <w:r w:rsidRPr="0006547E">
        <w:t>Greenwashing</w:t>
      </w:r>
      <w:r w:rsidRPr="0006547E">
        <w:t>）行為。特別是在缺乏完善評估機制的情況下，企業的</w:t>
      </w:r>
      <w:r w:rsidRPr="0006547E">
        <w:t xml:space="preserve"> ESG </w:t>
      </w:r>
      <w:r w:rsidRPr="0006547E">
        <w:t>導入可能僅淪為表面功夫，進而產生不實陳述或誇大環保成效的風險。實證研究亦指出，屬於環境敏感產業的公司，</w:t>
      </w:r>
      <w:proofErr w:type="gramStart"/>
      <w:r w:rsidRPr="0006547E">
        <w:t>發生漂綠行為</w:t>
      </w:r>
      <w:proofErr w:type="gramEnd"/>
      <w:r w:rsidRPr="0006547E">
        <w:t>的可能性往往較高。</w:t>
      </w:r>
    </w:p>
    <w:p w:rsidR="0006547E" w:rsidRPr="0006547E" w:rsidRDefault="0006547E" w:rsidP="0006547E">
      <w:pPr>
        <w:spacing w:line="480" w:lineRule="auto"/>
        <w:ind w:firstLine="480"/>
        <w:jc w:val="both"/>
      </w:pPr>
      <w:r w:rsidRPr="0006547E">
        <w:t>深入探究企業導入</w:t>
      </w:r>
      <w:r w:rsidRPr="0006547E">
        <w:t xml:space="preserve"> ESG </w:t>
      </w:r>
      <w:r w:rsidRPr="0006547E">
        <w:t>系統的動機，可以發現其深受多重「制度壓力」的影響。這些壓力包含了政府的法規強制、國際供應鏈（如</w:t>
      </w:r>
      <w:r w:rsidRPr="0006547E">
        <w:t xml:space="preserve"> RBA </w:t>
      </w:r>
      <w:r w:rsidRPr="0006547E">
        <w:t>責任商業聯盟）的嚴格要求，以及</w:t>
      </w:r>
      <w:proofErr w:type="gramStart"/>
      <w:r w:rsidRPr="0006547E">
        <w:t>資本市場中永續</w:t>
      </w:r>
      <w:proofErr w:type="gramEnd"/>
      <w:r w:rsidRPr="0006547E">
        <w:t>金融工具（如可持續發展連結債券</w:t>
      </w:r>
      <w:r w:rsidRPr="0006547E">
        <w:t xml:space="preserve"> SLBs</w:t>
      </w:r>
      <w:r w:rsidRPr="0006547E">
        <w:t>）所帶來的財務誘因與約束。當企業面臨高昂的轉型成本，且僅是為了應付外部監管時，極易</w:t>
      </w:r>
      <w:r w:rsidRPr="0006547E">
        <w:lastRenderedPageBreak/>
        <w:t>產生只做象徵性承諾的「形式導入」；</w:t>
      </w:r>
      <w:proofErr w:type="gramStart"/>
      <w:r w:rsidRPr="0006547E">
        <w:t>反之，</w:t>
      </w:r>
      <w:proofErr w:type="gramEnd"/>
      <w:r w:rsidRPr="0006547E">
        <w:t>若企業具有強烈的內部轉型動機，或受到具有實質財務懲罰機制的約束時，則更有可能採取解決實際問題的「實質導入」。因此，</w:t>
      </w:r>
      <w:proofErr w:type="gramStart"/>
      <w:r w:rsidRPr="0006547E">
        <w:t>釐</w:t>
      </w:r>
      <w:proofErr w:type="gramEnd"/>
      <w:r w:rsidRPr="0006547E">
        <w:t>清制度壓力如何驅動企業的導入動機，以及這些動機如何影響</w:t>
      </w:r>
      <w:r w:rsidRPr="0006547E">
        <w:t xml:space="preserve"> ESG </w:t>
      </w:r>
      <w:r w:rsidRPr="0006547E">
        <w:t>系統的導入方式與後續</w:t>
      </w:r>
      <w:proofErr w:type="gramStart"/>
      <w:r w:rsidRPr="0006547E">
        <w:t>的漂綠風險</w:t>
      </w:r>
      <w:proofErr w:type="gramEnd"/>
      <w:r w:rsidRPr="0006547E">
        <w:t>，已成為當前永續發展領域亟待探討的重要議題。</w:t>
      </w:r>
    </w:p>
    <w:p w:rsidR="00F412A7" w:rsidRDefault="00F412A7">
      <w:pPr>
        <w:spacing w:before="360" w:after="240" w:line="480" w:lineRule="auto"/>
        <w:rPr>
          <w:bCs/>
        </w:rPr>
      </w:pPr>
      <w:r>
        <w:rPr>
          <w:bCs/>
        </w:rPr>
        <w:br w:type="page"/>
      </w:r>
    </w:p>
    <w:p w:rsidR="00587380" w:rsidRPr="00F412A7" w:rsidRDefault="00DA25CC">
      <w:pPr>
        <w:spacing w:before="360" w:after="240" w:line="480" w:lineRule="auto"/>
      </w:pPr>
      <w:r w:rsidRPr="00F412A7">
        <w:rPr>
          <w:bCs/>
        </w:rPr>
        <w:lastRenderedPageBreak/>
        <w:t>二、研究目的</w:t>
      </w:r>
    </w:p>
    <w:p w:rsidR="0006547E" w:rsidRPr="0006547E" w:rsidRDefault="0006547E" w:rsidP="0006547E">
      <w:pPr>
        <w:spacing w:line="480" w:lineRule="auto"/>
        <w:ind w:firstLine="480"/>
        <w:jc w:val="both"/>
      </w:pPr>
      <w:r w:rsidRPr="0006547E">
        <w:t>基於上述背景與動機，本研究旨在填補現有文獻中，較少從資訊管理（</w:t>
      </w:r>
      <w:r w:rsidRPr="0006547E">
        <w:t>MIS</w:t>
      </w:r>
      <w:r w:rsidRPr="0006547E">
        <w:t>）與制度理論視角深入探討</w:t>
      </w:r>
      <w:r w:rsidRPr="0006547E">
        <w:t xml:space="preserve"> ESG </w:t>
      </w:r>
      <w:r w:rsidRPr="0006547E">
        <w:t>系統導入行為</w:t>
      </w:r>
      <w:proofErr w:type="gramStart"/>
      <w:r w:rsidRPr="0006547E">
        <w:t>與漂綠風險</w:t>
      </w:r>
      <w:proofErr w:type="gramEnd"/>
      <w:r w:rsidRPr="0006547E">
        <w:t>關聯之研究缺口。本研究將以「制度壓力</w:t>
      </w:r>
      <w:r w:rsidRPr="0006547E">
        <w:t>→</w:t>
      </w:r>
      <w:r w:rsidRPr="0006547E">
        <w:t>導入動機</w:t>
      </w:r>
      <w:r w:rsidRPr="0006547E">
        <w:t>→</w:t>
      </w:r>
      <w:r w:rsidRPr="0006547E">
        <w:t>導入方式</w:t>
      </w:r>
      <w:r w:rsidRPr="0006547E">
        <w:t>→</w:t>
      </w:r>
      <w:proofErr w:type="gramStart"/>
      <w:r w:rsidRPr="0006547E">
        <w:t>漂綠風險</w:t>
      </w:r>
      <w:proofErr w:type="gramEnd"/>
      <w:r w:rsidRPr="0006547E">
        <w:t>」為核心因果邏輯鏈，探討臺灣企業在面臨不同制度壓力（如法規強制、客戶要求、自發轉型等）下，導入</w:t>
      </w:r>
      <w:r w:rsidRPr="0006547E">
        <w:t xml:space="preserve"> ESG </w:t>
      </w:r>
      <w:r w:rsidRPr="0006547E">
        <w:t>系統的動機差異，並進一步分析這些動機是如何導致「實質導入」與「形式導入」的行為分歧。</w:t>
      </w:r>
    </w:p>
    <w:p w:rsidR="0006547E" w:rsidRPr="0006547E" w:rsidRDefault="0006547E" w:rsidP="0006547E">
      <w:pPr>
        <w:spacing w:line="480" w:lineRule="auto"/>
        <w:ind w:firstLine="480"/>
        <w:jc w:val="both"/>
      </w:pPr>
      <w:r w:rsidRPr="0006547E">
        <w:t>透過建構此一探索性分析架構，本研究期望能深入評估不同導入方式對企業</w:t>
      </w:r>
      <w:r w:rsidRPr="0006547E">
        <w:t xml:space="preserve"> ESG </w:t>
      </w:r>
      <w:r w:rsidRPr="0006547E">
        <w:t>資訊品質的影響，以及其所衍生</w:t>
      </w:r>
      <w:proofErr w:type="gramStart"/>
      <w:r w:rsidRPr="0006547E">
        <w:t>的漂綠風險</w:t>
      </w:r>
      <w:proofErr w:type="gramEnd"/>
      <w:r w:rsidRPr="0006547E">
        <w:t>高低。研究結果不僅可提供臺灣企業在永續藍圖規劃與資訊系統建置時的自我防護與檢視參考，亦能協助主管機關與投資人有效辨識哪些導入情境較易</w:t>
      </w:r>
      <w:proofErr w:type="gramStart"/>
      <w:r w:rsidRPr="0006547E">
        <w:t>產生漂綠風險</w:t>
      </w:r>
      <w:proofErr w:type="gramEnd"/>
      <w:r w:rsidRPr="0006547E">
        <w:t>，進而提出更具針對性的防範策略與監管機制，協助企業有效達成永續發展目標，提升在國際市場上的永續競爭力。</w:t>
      </w:r>
    </w:p>
    <w:p w:rsidR="0006547E" w:rsidRDefault="0006547E">
      <w:pPr>
        <w:spacing w:before="360" w:after="240" w:line="480" w:lineRule="auto"/>
        <w:rPr>
          <w:b/>
          <w:bCs/>
        </w:rPr>
      </w:pPr>
      <w:r>
        <w:rPr>
          <w:b/>
          <w:bCs/>
        </w:rPr>
        <w:br w:type="page"/>
      </w:r>
    </w:p>
    <w:p w:rsidR="00587380" w:rsidRPr="00F412A7" w:rsidRDefault="00DA25CC" w:rsidP="007412F6">
      <w:pPr>
        <w:spacing w:before="360" w:after="240" w:line="480" w:lineRule="auto"/>
        <w:jc w:val="both"/>
      </w:pPr>
      <w:r w:rsidRPr="00F412A7">
        <w:rPr>
          <w:bCs/>
        </w:rPr>
        <w:lastRenderedPageBreak/>
        <w:t>三、研究問題</w:t>
      </w:r>
    </w:p>
    <w:p w:rsidR="0006547E" w:rsidRDefault="0006547E" w:rsidP="007412F6">
      <w:pPr>
        <w:spacing w:line="480" w:lineRule="auto"/>
        <w:ind w:firstLine="480"/>
        <w:jc w:val="both"/>
      </w:pPr>
      <w:r>
        <w:rPr>
          <w:rFonts w:hint="eastAsia"/>
        </w:rPr>
        <w:t>為達成上述研究目的，緊扣「制度壓力→導入動機→導入方式→</w:t>
      </w:r>
      <w:proofErr w:type="gramStart"/>
      <w:r>
        <w:rPr>
          <w:rFonts w:hint="eastAsia"/>
        </w:rPr>
        <w:t>漂綠風險</w:t>
      </w:r>
      <w:proofErr w:type="gramEnd"/>
      <w:r>
        <w:rPr>
          <w:rFonts w:hint="eastAsia"/>
        </w:rPr>
        <w:t>」的核心邏輯，本研究提出以下三個相互串聯的研究問題：</w:t>
      </w:r>
    </w:p>
    <w:p w:rsidR="0006547E" w:rsidRPr="0006547E" w:rsidRDefault="0006547E" w:rsidP="007412F6">
      <w:pPr>
        <w:spacing w:line="480" w:lineRule="auto"/>
        <w:jc w:val="both"/>
      </w:pPr>
      <w:r w:rsidRPr="0006547E">
        <w:t>RQ1</w:t>
      </w:r>
      <w:r w:rsidRPr="0006547E">
        <w:t>（壓力與動機）：</w:t>
      </w:r>
      <w:r w:rsidRPr="0006547E">
        <w:t xml:space="preserve"> </w:t>
      </w:r>
      <w:r w:rsidRPr="0006547E">
        <w:t>不同類型的制度壓力（法規強制、客戶要求、自發轉型）如</w:t>
      </w:r>
      <w:bookmarkStart w:id="0" w:name="_GoBack"/>
      <w:bookmarkEnd w:id="0"/>
      <w:r w:rsidRPr="0006547E">
        <w:t>何影響企業導入</w:t>
      </w:r>
      <w:r w:rsidRPr="0006547E">
        <w:t xml:space="preserve"> ESG </w:t>
      </w:r>
      <w:r w:rsidRPr="00823D8B">
        <w:rPr>
          <w:color w:val="FF0000"/>
        </w:rPr>
        <w:t>系統</w:t>
      </w:r>
      <w:r w:rsidRPr="0006547E">
        <w:t>的動機？</w:t>
      </w:r>
    </w:p>
    <w:p w:rsidR="0006547E" w:rsidRPr="0006547E" w:rsidRDefault="0006547E" w:rsidP="007412F6">
      <w:pPr>
        <w:spacing w:line="480" w:lineRule="auto"/>
        <w:jc w:val="both"/>
      </w:pPr>
      <w:r w:rsidRPr="0006547E">
        <w:t>RQ2</w:t>
      </w:r>
      <w:r w:rsidRPr="0006547E">
        <w:t>（動機與行為）：</w:t>
      </w:r>
      <w:r w:rsidRPr="0006547E">
        <w:t xml:space="preserve"> </w:t>
      </w:r>
      <w:r w:rsidRPr="0006547E">
        <w:t>不同的導入動機如何導致實質導入與形式導入的差異？</w:t>
      </w:r>
    </w:p>
    <w:p w:rsidR="0006547E" w:rsidRPr="0006547E" w:rsidRDefault="0006547E" w:rsidP="007412F6">
      <w:pPr>
        <w:spacing w:line="480" w:lineRule="auto"/>
        <w:jc w:val="both"/>
      </w:pPr>
      <w:r w:rsidRPr="0006547E">
        <w:t>RQ3</w:t>
      </w:r>
      <w:r w:rsidRPr="0006547E">
        <w:t>（行為與結果）：</w:t>
      </w:r>
      <w:r w:rsidRPr="0006547E">
        <w:t xml:space="preserve"> </w:t>
      </w:r>
      <w:r w:rsidRPr="0006547E">
        <w:t>實質導入與形式導入的企業，其</w:t>
      </w:r>
      <w:r w:rsidRPr="0006547E">
        <w:t xml:space="preserve"> ESG </w:t>
      </w:r>
      <w:r w:rsidRPr="0006547E">
        <w:t>資訊品質</w:t>
      </w:r>
      <w:proofErr w:type="gramStart"/>
      <w:r w:rsidRPr="0006547E">
        <w:t>與漂綠風險</w:t>
      </w:r>
      <w:proofErr w:type="gramEnd"/>
      <w:r w:rsidRPr="0006547E">
        <w:t>有何差異？</w:t>
      </w:r>
    </w:p>
    <w:p w:rsidR="0006547E" w:rsidRPr="0006547E" w:rsidRDefault="0006547E">
      <w:pPr>
        <w:spacing w:line="480" w:lineRule="auto"/>
      </w:pPr>
    </w:p>
    <w:p w:rsidR="00587380" w:rsidRDefault="00DA25CC" w:rsidP="007412F6">
      <w:pPr>
        <w:pageBreakBefore/>
        <w:spacing w:before="480" w:after="240" w:line="480" w:lineRule="auto"/>
        <w:jc w:val="center"/>
      </w:pPr>
      <w:r w:rsidRPr="007412F6">
        <w:rPr>
          <w:b/>
          <w:bCs/>
        </w:rPr>
        <w:lastRenderedPageBreak/>
        <w:t>貳、文獻探討</w:t>
      </w:r>
    </w:p>
    <w:p w:rsidR="00587380" w:rsidRPr="007412F6" w:rsidRDefault="00DA25CC">
      <w:pPr>
        <w:spacing w:before="360" w:after="240" w:line="480" w:lineRule="auto"/>
      </w:pPr>
      <w:r w:rsidRPr="007412F6">
        <w:rPr>
          <w:bCs/>
        </w:rPr>
        <w:t>一、制度理論與</w:t>
      </w:r>
      <w:r w:rsidRPr="007412F6">
        <w:rPr>
          <w:bCs/>
        </w:rPr>
        <w:t xml:space="preserve"> ESG </w:t>
      </w:r>
      <w:r w:rsidRPr="007412F6">
        <w:rPr>
          <w:bCs/>
        </w:rPr>
        <w:t>導入動機</w:t>
      </w:r>
    </w:p>
    <w:p w:rsidR="00587380" w:rsidRPr="007412F6" w:rsidRDefault="00587380">
      <w:pPr>
        <w:spacing w:line="480" w:lineRule="auto"/>
      </w:pPr>
    </w:p>
    <w:p w:rsidR="00587380" w:rsidRPr="007412F6" w:rsidRDefault="00DA25CC">
      <w:pPr>
        <w:spacing w:before="360" w:after="240" w:line="480" w:lineRule="auto"/>
      </w:pPr>
      <w:r w:rsidRPr="007412F6">
        <w:rPr>
          <w:bCs/>
        </w:rPr>
        <w:t>二、</w:t>
      </w:r>
      <w:r w:rsidRPr="007412F6">
        <w:rPr>
          <w:bCs/>
        </w:rPr>
        <w:t xml:space="preserve">ESG </w:t>
      </w:r>
      <w:r w:rsidRPr="007412F6">
        <w:rPr>
          <w:bCs/>
        </w:rPr>
        <w:t>系統導入方式：實質導入與形式導入</w:t>
      </w:r>
    </w:p>
    <w:p w:rsidR="00587380" w:rsidRPr="007412F6" w:rsidRDefault="00587380">
      <w:pPr>
        <w:spacing w:line="480" w:lineRule="auto"/>
      </w:pPr>
    </w:p>
    <w:p w:rsidR="00587380" w:rsidRPr="007412F6" w:rsidRDefault="00DA25CC">
      <w:pPr>
        <w:spacing w:before="360" w:after="240" w:line="480" w:lineRule="auto"/>
      </w:pPr>
      <w:r w:rsidRPr="007412F6">
        <w:rPr>
          <w:bCs/>
        </w:rPr>
        <w:t>三、</w:t>
      </w:r>
      <w:proofErr w:type="gramStart"/>
      <w:r w:rsidRPr="007412F6">
        <w:rPr>
          <w:bCs/>
        </w:rPr>
        <w:t>漂綠風險</w:t>
      </w:r>
      <w:proofErr w:type="gramEnd"/>
      <w:r w:rsidRPr="007412F6">
        <w:rPr>
          <w:bCs/>
        </w:rPr>
        <w:t>與</w:t>
      </w:r>
      <w:r w:rsidRPr="007412F6">
        <w:rPr>
          <w:bCs/>
        </w:rPr>
        <w:t xml:space="preserve"> ESG </w:t>
      </w:r>
      <w:r w:rsidRPr="007412F6">
        <w:rPr>
          <w:bCs/>
        </w:rPr>
        <w:t>資訊品質</w:t>
      </w:r>
    </w:p>
    <w:p w:rsidR="00587380" w:rsidRPr="007412F6" w:rsidRDefault="00587380">
      <w:pPr>
        <w:spacing w:line="480" w:lineRule="auto"/>
      </w:pPr>
    </w:p>
    <w:p w:rsidR="00587380" w:rsidRPr="007412F6" w:rsidRDefault="00DA25CC">
      <w:pPr>
        <w:spacing w:before="360" w:after="240" w:line="480" w:lineRule="auto"/>
      </w:pPr>
      <w:r w:rsidRPr="007412F6">
        <w:rPr>
          <w:bCs/>
        </w:rPr>
        <w:t>四、文獻小結與研究缺口</w:t>
      </w:r>
    </w:p>
    <w:p w:rsidR="00587380" w:rsidRDefault="00587380">
      <w:pPr>
        <w:spacing w:line="480" w:lineRule="auto"/>
      </w:pPr>
    </w:p>
    <w:p w:rsidR="00587380" w:rsidRDefault="00DA25CC">
      <w:pPr>
        <w:pageBreakBefore/>
        <w:spacing w:before="480" w:after="240" w:line="480" w:lineRule="auto"/>
        <w:jc w:val="center"/>
      </w:pPr>
      <w:r>
        <w:rPr>
          <w:b/>
          <w:bCs/>
        </w:rPr>
        <w:lastRenderedPageBreak/>
        <w:t>參、研究架構與預期貢獻</w:t>
      </w:r>
    </w:p>
    <w:p w:rsidR="00587380" w:rsidRDefault="00DA25CC" w:rsidP="007412F6">
      <w:pPr>
        <w:spacing w:line="480" w:lineRule="auto"/>
        <w:ind w:firstLine="480"/>
      </w:pPr>
      <w:r>
        <w:t>本研究以制度理論為基礎，聚焦於探討臺灣企業在不同制度壓力下導入</w:t>
      </w:r>
      <w:r>
        <w:t xml:space="preserve"> ESG </w:t>
      </w:r>
      <w:r>
        <w:t>系統的動機差異，以及該動機如何影響導入方式，進而產生不同程度</w:t>
      </w:r>
      <w:proofErr w:type="gramStart"/>
      <w:r>
        <w:t>的漂綠風險</w:t>
      </w:r>
      <w:proofErr w:type="gramEnd"/>
      <w:r>
        <w:t>。在學術面，本研究填補現有文獻缺乏從</w:t>
      </w:r>
      <w:r>
        <w:t xml:space="preserve"> MIS </w:t>
      </w:r>
      <w:r>
        <w:t>視角探討</w:t>
      </w:r>
      <w:r>
        <w:t xml:space="preserve"> ESG </w:t>
      </w:r>
      <w:r>
        <w:t>系統導入行為</w:t>
      </w:r>
      <w:proofErr w:type="gramStart"/>
      <w:r>
        <w:t>與漂綠風險</w:t>
      </w:r>
      <w:proofErr w:type="gramEnd"/>
      <w:r>
        <w:t>關聯的缺口，並嘗試建構「制度壓力</w:t>
      </w:r>
      <w:r>
        <w:t>→</w:t>
      </w:r>
      <w:r>
        <w:t>導入動機</w:t>
      </w:r>
      <w:r>
        <w:t>→</w:t>
      </w:r>
      <w:r>
        <w:t>導入方式</w:t>
      </w:r>
      <w:r>
        <w:t xml:space="preserve">→ESG </w:t>
      </w:r>
      <w:r>
        <w:t>資訊品質</w:t>
      </w:r>
      <w:proofErr w:type="gramStart"/>
      <w:r>
        <w:t>與漂綠風險</w:t>
      </w:r>
      <w:proofErr w:type="gramEnd"/>
      <w:r>
        <w:t>」的因果分析架構。在實務面，研究結果可提供臺灣主管機關及企業參考，協助辨識哪些導入動機與情境較易</w:t>
      </w:r>
      <w:proofErr w:type="gramStart"/>
      <w:r>
        <w:t>產生漂綠風險</w:t>
      </w:r>
      <w:proofErr w:type="gramEnd"/>
      <w:r>
        <w:t>，進而提出更具針對性的防範策略。</w:t>
      </w:r>
    </w:p>
    <w:p w:rsidR="00587380" w:rsidRDefault="00270FBC">
      <w:pPr>
        <w:pageBreakBefore/>
        <w:spacing w:before="480" w:after="240" w:line="480" w:lineRule="auto"/>
        <w:jc w:val="center"/>
      </w:pPr>
      <w:r>
        <w:rPr>
          <w:rFonts w:hint="eastAsia"/>
          <w:b/>
          <w:bCs/>
        </w:rPr>
        <w:lastRenderedPageBreak/>
        <w:t>肆、</w:t>
      </w:r>
      <w:r w:rsidR="00DA25CC">
        <w:rPr>
          <w:b/>
          <w:bCs/>
        </w:rPr>
        <w:t>參考文獻</w:t>
      </w:r>
    </w:p>
    <w:p w:rsidR="00DC2D99" w:rsidRDefault="00DC2D99" w:rsidP="00DC2D99">
      <w:pPr>
        <w:spacing w:line="480" w:lineRule="auto"/>
        <w:ind w:left="720" w:hanging="720"/>
      </w:pPr>
      <w:r>
        <w:rPr>
          <w:rFonts w:hint="eastAsia"/>
        </w:rPr>
        <w:t>金融監督管理委員會（民</w:t>
      </w:r>
      <w:r>
        <w:rPr>
          <w:rFonts w:hint="eastAsia"/>
        </w:rPr>
        <w:t xml:space="preserve"> 113 </w:t>
      </w:r>
      <w:r>
        <w:rPr>
          <w:rFonts w:hint="eastAsia"/>
        </w:rPr>
        <w:t>年</w:t>
      </w:r>
      <w:r>
        <w:rPr>
          <w:rFonts w:hint="eastAsia"/>
        </w:rPr>
        <w:t xml:space="preserve"> 10 </w:t>
      </w:r>
      <w:r>
        <w:rPr>
          <w:rFonts w:hint="eastAsia"/>
        </w:rPr>
        <w:t>月</w:t>
      </w:r>
      <w:r>
        <w:rPr>
          <w:rFonts w:hint="eastAsia"/>
        </w:rPr>
        <w:t xml:space="preserve"> 17 </w:t>
      </w:r>
      <w:r>
        <w:rPr>
          <w:rFonts w:hint="eastAsia"/>
        </w:rPr>
        <w:t>日）。金管會提醒全體上市櫃公司明（</w:t>
      </w:r>
      <w:r>
        <w:rPr>
          <w:rFonts w:hint="eastAsia"/>
        </w:rPr>
        <w:t>114</w:t>
      </w:r>
      <w:r>
        <w:rPr>
          <w:rFonts w:hint="eastAsia"/>
        </w:rPr>
        <w:t>）年起</w:t>
      </w:r>
      <w:proofErr w:type="gramStart"/>
      <w:r>
        <w:rPr>
          <w:rFonts w:hint="eastAsia"/>
        </w:rPr>
        <w:t>均應編製永</w:t>
      </w:r>
      <w:proofErr w:type="gramEnd"/>
      <w:r>
        <w:rPr>
          <w:rFonts w:hint="eastAsia"/>
        </w:rPr>
        <w:t>續報告書【新聞稿】。金融監督管理委員會全球資訊網。取自</w:t>
      </w:r>
      <w:r>
        <w:rPr>
          <w:rFonts w:hint="eastAsia"/>
        </w:rPr>
        <w:t xml:space="preserve"> https:</w:t>
      </w:r>
      <w:proofErr w:type="gramStart"/>
      <w:r>
        <w:rPr>
          <w:rFonts w:hint="eastAsia"/>
        </w:rPr>
        <w:t>//www.fsc.gov.tw/ch/home.jsp?id</w:t>
      </w:r>
      <w:proofErr w:type="gramEnd"/>
      <w:r>
        <w:rPr>
          <w:rFonts w:hint="eastAsia"/>
        </w:rPr>
        <w:t xml:space="preserve">=96&amp;parentpath=0,2&amp;mcustomize=news_view.jsp&amp;dataserno=202410170001&amp;dtable=News </w:t>
      </w:r>
      <w:r>
        <w:rPr>
          <w:rFonts w:hint="eastAsia"/>
        </w:rPr>
        <w:t>→</w:t>
      </w:r>
      <w:r>
        <w:rPr>
          <w:rFonts w:hint="eastAsia"/>
        </w:rPr>
        <w:t xml:space="preserve"> </w:t>
      </w:r>
      <w:r>
        <w:rPr>
          <w:rFonts w:hint="eastAsia"/>
        </w:rPr>
        <w:t>研究背景：提供臺灣</w:t>
      </w:r>
      <w:r>
        <w:rPr>
          <w:rFonts w:hint="eastAsia"/>
        </w:rPr>
        <w:t xml:space="preserve"> ESG </w:t>
      </w:r>
      <w:r>
        <w:rPr>
          <w:rFonts w:hint="eastAsia"/>
        </w:rPr>
        <w:t>揭露政策時程、申報家數統計及金管會防範漂綠之官方立場</w:t>
      </w:r>
    </w:p>
    <w:p w:rsidR="00DC2D99" w:rsidRDefault="00DC2D99" w:rsidP="00DC2D99">
      <w:pPr>
        <w:spacing w:line="480" w:lineRule="auto"/>
        <w:ind w:left="720" w:hanging="720"/>
      </w:pPr>
      <w:r>
        <w:rPr>
          <w:rFonts w:hint="eastAsia"/>
        </w:rPr>
        <w:t>鄭杭</w:t>
      </w:r>
      <w:proofErr w:type="gramStart"/>
      <w:r>
        <w:rPr>
          <w:rFonts w:hint="eastAsia"/>
        </w:rPr>
        <w:t>葭</w:t>
      </w:r>
      <w:proofErr w:type="gramEnd"/>
      <w:r>
        <w:rPr>
          <w:rFonts w:hint="eastAsia"/>
        </w:rPr>
        <w:t>（民</w:t>
      </w:r>
      <w:r>
        <w:rPr>
          <w:rFonts w:hint="eastAsia"/>
        </w:rPr>
        <w:t xml:space="preserve"> 112</w:t>
      </w:r>
      <w:r>
        <w:rPr>
          <w:rFonts w:hint="eastAsia"/>
        </w:rPr>
        <w:t>）。企業</w:t>
      </w:r>
      <w:r>
        <w:rPr>
          <w:rFonts w:hint="eastAsia"/>
        </w:rPr>
        <w:t xml:space="preserve"> ESG </w:t>
      </w:r>
      <w:r>
        <w:rPr>
          <w:rFonts w:hint="eastAsia"/>
        </w:rPr>
        <w:t>資訊質與量間落差之影響因素探討（碩士論文）。取自</w:t>
      </w:r>
      <w:r>
        <w:rPr>
          <w:rFonts w:hint="eastAsia"/>
        </w:rPr>
        <w:t xml:space="preserve"> https://ah.lib.nccu.edu.tw/bitstream/140.119/147750/1/305201.pdf </w:t>
      </w:r>
      <w:r>
        <w:rPr>
          <w:rFonts w:hint="eastAsia"/>
        </w:rPr>
        <w:t>→</w:t>
      </w:r>
      <w:r>
        <w:rPr>
          <w:rFonts w:hint="eastAsia"/>
        </w:rPr>
        <w:t xml:space="preserve"> </w:t>
      </w:r>
      <w:r>
        <w:rPr>
          <w:rFonts w:hint="eastAsia"/>
        </w:rPr>
        <w:t>對應</w:t>
      </w:r>
      <w:r>
        <w:rPr>
          <w:rFonts w:hint="eastAsia"/>
        </w:rPr>
        <w:t xml:space="preserve"> RQ3</w:t>
      </w:r>
      <w:r>
        <w:rPr>
          <w:rFonts w:hint="eastAsia"/>
        </w:rPr>
        <w:t>：以</w:t>
      </w:r>
      <w:r>
        <w:rPr>
          <w:rFonts w:hint="eastAsia"/>
        </w:rPr>
        <w:t xml:space="preserve"> TESG </w:t>
      </w:r>
      <w:r>
        <w:rPr>
          <w:rFonts w:hint="eastAsia"/>
        </w:rPr>
        <w:t>指標</w:t>
      </w:r>
      <w:proofErr w:type="gramStart"/>
      <w:r>
        <w:rPr>
          <w:rFonts w:hint="eastAsia"/>
        </w:rPr>
        <w:t>量化漂綠指數</w:t>
      </w:r>
      <w:proofErr w:type="gramEnd"/>
      <w:r>
        <w:rPr>
          <w:rFonts w:hint="eastAsia"/>
        </w:rPr>
        <w:t>，實證不同企業的</w:t>
      </w:r>
      <w:r>
        <w:rPr>
          <w:rFonts w:hint="eastAsia"/>
        </w:rPr>
        <w:t xml:space="preserve"> ESG </w:t>
      </w:r>
      <w:r>
        <w:rPr>
          <w:rFonts w:hint="eastAsia"/>
        </w:rPr>
        <w:t>資訊品質</w:t>
      </w:r>
      <w:proofErr w:type="gramStart"/>
      <w:r>
        <w:rPr>
          <w:rFonts w:hint="eastAsia"/>
        </w:rPr>
        <w:t>與漂綠風險</w:t>
      </w:r>
      <w:proofErr w:type="gramEnd"/>
      <w:r>
        <w:rPr>
          <w:rFonts w:hint="eastAsia"/>
        </w:rPr>
        <w:t>存在顯著差異</w:t>
      </w:r>
    </w:p>
    <w:p w:rsidR="00DC2D99" w:rsidRDefault="00DC2D99" w:rsidP="00DC2D99">
      <w:pPr>
        <w:spacing w:line="480" w:lineRule="auto"/>
        <w:ind w:left="720" w:hanging="720"/>
      </w:pPr>
      <w:proofErr w:type="gramStart"/>
      <w:r>
        <w:rPr>
          <w:rFonts w:hint="eastAsia"/>
        </w:rPr>
        <w:t>范</w:t>
      </w:r>
      <w:proofErr w:type="gramEnd"/>
      <w:r>
        <w:rPr>
          <w:rFonts w:hint="eastAsia"/>
        </w:rPr>
        <w:t>植</w:t>
      </w:r>
      <w:proofErr w:type="gramStart"/>
      <w:r>
        <w:rPr>
          <w:rFonts w:hint="eastAsia"/>
        </w:rPr>
        <w:t>閎</w:t>
      </w:r>
      <w:proofErr w:type="gramEnd"/>
      <w:r>
        <w:rPr>
          <w:rFonts w:hint="eastAsia"/>
        </w:rPr>
        <w:t>（民</w:t>
      </w:r>
      <w:r>
        <w:rPr>
          <w:rFonts w:hint="eastAsia"/>
        </w:rPr>
        <w:t xml:space="preserve"> 114</w:t>
      </w:r>
      <w:r>
        <w:rPr>
          <w:rFonts w:hint="eastAsia"/>
        </w:rPr>
        <w:t>）。可持續發展連結債券對企業</w:t>
      </w:r>
      <w:proofErr w:type="gramStart"/>
      <w:r>
        <w:rPr>
          <w:rFonts w:hint="eastAsia"/>
        </w:rPr>
        <w:t>之碳排</w:t>
      </w:r>
      <w:proofErr w:type="gramEnd"/>
      <w:r>
        <w:rPr>
          <w:rFonts w:hint="eastAsia"/>
        </w:rPr>
        <w:t>績效、市場價值</w:t>
      </w:r>
      <w:proofErr w:type="gramStart"/>
      <w:r>
        <w:rPr>
          <w:rFonts w:hint="eastAsia"/>
        </w:rPr>
        <w:t>及漂綠風險</w:t>
      </w:r>
      <w:proofErr w:type="gramEnd"/>
      <w:r>
        <w:rPr>
          <w:rFonts w:hint="eastAsia"/>
        </w:rPr>
        <w:t>之影響：實證研究（碩士論文）。取自</w:t>
      </w:r>
      <w:r>
        <w:rPr>
          <w:rFonts w:hint="eastAsia"/>
        </w:rPr>
        <w:t xml:space="preserve"> https://tdr.lib.ntu.edu.tw/retrieve/ef6eb6b7-6f7d-41a7-88c7-651d60d54430/ntu-113-2.pdf </w:t>
      </w:r>
      <w:r>
        <w:rPr>
          <w:rFonts w:hint="eastAsia"/>
        </w:rPr>
        <w:t>→</w:t>
      </w:r>
      <w:r>
        <w:rPr>
          <w:rFonts w:hint="eastAsia"/>
        </w:rPr>
        <w:t xml:space="preserve"> </w:t>
      </w:r>
      <w:r>
        <w:rPr>
          <w:rFonts w:hint="eastAsia"/>
        </w:rPr>
        <w:t>對應</w:t>
      </w:r>
      <w:r>
        <w:rPr>
          <w:rFonts w:hint="eastAsia"/>
        </w:rPr>
        <w:t xml:space="preserve"> RQ1</w:t>
      </w:r>
      <w:r>
        <w:rPr>
          <w:rFonts w:hint="eastAsia"/>
        </w:rPr>
        <w:t>、</w:t>
      </w:r>
      <w:r>
        <w:rPr>
          <w:rFonts w:hint="eastAsia"/>
        </w:rPr>
        <w:t>RQ2</w:t>
      </w:r>
      <w:r>
        <w:rPr>
          <w:rFonts w:hint="eastAsia"/>
        </w:rPr>
        <w:t>：探討制度壓力（財務誘因）如何影響企業導入動機，並推動從形式導入轉向實質導入</w:t>
      </w:r>
    </w:p>
    <w:p w:rsidR="00DC2D99" w:rsidRDefault="00DC2D99" w:rsidP="00DC2D99">
      <w:pPr>
        <w:spacing w:line="480" w:lineRule="auto"/>
        <w:ind w:left="720" w:hanging="720"/>
      </w:pPr>
      <w:proofErr w:type="gramStart"/>
      <w:r>
        <w:rPr>
          <w:rFonts w:hint="eastAsia"/>
        </w:rPr>
        <w:t>胡詠晴</w:t>
      </w:r>
      <w:proofErr w:type="gramEnd"/>
      <w:r>
        <w:rPr>
          <w:rFonts w:hint="eastAsia"/>
        </w:rPr>
        <w:t>（民</w:t>
      </w:r>
      <w:r>
        <w:rPr>
          <w:rFonts w:hint="eastAsia"/>
        </w:rPr>
        <w:t xml:space="preserve"> 114</w:t>
      </w:r>
      <w:r>
        <w:rPr>
          <w:rFonts w:hint="eastAsia"/>
        </w:rPr>
        <w:t>）。</w:t>
      </w:r>
      <w:r>
        <w:rPr>
          <w:rFonts w:hint="eastAsia"/>
        </w:rPr>
        <w:t xml:space="preserve">ESG </w:t>
      </w:r>
      <w:r>
        <w:rPr>
          <w:rFonts w:hint="eastAsia"/>
        </w:rPr>
        <w:t>對企業永續的發展與限制</w:t>
      </w:r>
      <w:proofErr w:type="gramStart"/>
      <w:r>
        <w:rPr>
          <w:rFonts w:hint="eastAsia"/>
        </w:rPr>
        <w:t>—</w:t>
      </w:r>
      <w:proofErr w:type="gramEnd"/>
      <w:r>
        <w:rPr>
          <w:rFonts w:hint="eastAsia"/>
        </w:rPr>
        <w:t>以某電子業上市公司為例（碩士論文）。取自</w:t>
      </w:r>
      <w:r>
        <w:rPr>
          <w:rFonts w:hint="eastAsia"/>
        </w:rPr>
        <w:t xml:space="preserve"> https://tdr.lib.ntu.edu.tw/jspui/retrieve/a258b606-8ab4-4e4b-afbf-c23d96eefdc5/ntu-113-1.pdf </w:t>
      </w:r>
      <w:r>
        <w:rPr>
          <w:rFonts w:hint="eastAsia"/>
        </w:rPr>
        <w:t>→</w:t>
      </w:r>
      <w:r>
        <w:rPr>
          <w:rFonts w:hint="eastAsia"/>
        </w:rPr>
        <w:t xml:space="preserve"> </w:t>
      </w:r>
      <w:r>
        <w:rPr>
          <w:rFonts w:hint="eastAsia"/>
        </w:rPr>
        <w:t>對應</w:t>
      </w:r>
      <w:r>
        <w:rPr>
          <w:rFonts w:hint="eastAsia"/>
        </w:rPr>
        <w:t xml:space="preserve"> RQ1</w:t>
      </w:r>
      <w:r>
        <w:rPr>
          <w:rFonts w:hint="eastAsia"/>
        </w:rPr>
        <w:t>、</w:t>
      </w:r>
      <w:r>
        <w:rPr>
          <w:rFonts w:hint="eastAsia"/>
        </w:rPr>
        <w:t>RQ2</w:t>
      </w:r>
      <w:r>
        <w:rPr>
          <w:rFonts w:hint="eastAsia"/>
        </w:rPr>
        <w:t>：透過個案訪談觀察到制度壓力如何影響導入動機，以及動機差異如何導致象徵性與實質性</w:t>
      </w:r>
      <w:r>
        <w:rPr>
          <w:rFonts w:hint="eastAsia"/>
        </w:rPr>
        <w:t xml:space="preserve"> ESG </w:t>
      </w:r>
      <w:r>
        <w:rPr>
          <w:rFonts w:hint="eastAsia"/>
        </w:rPr>
        <w:t>行為的落差</w:t>
      </w:r>
    </w:p>
    <w:p w:rsidR="008A6191" w:rsidRDefault="00DC2D99" w:rsidP="00DC2D99">
      <w:pPr>
        <w:spacing w:line="480" w:lineRule="auto"/>
        <w:ind w:left="720" w:hanging="720"/>
      </w:pPr>
      <w:proofErr w:type="gramStart"/>
      <w:r>
        <w:rPr>
          <w:rFonts w:hint="eastAsia"/>
        </w:rPr>
        <w:t>明道增</w:t>
      </w:r>
      <w:proofErr w:type="gramEnd"/>
      <w:r>
        <w:rPr>
          <w:rFonts w:hint="eastAsia"/>
        </w:rPr>
        <w:t>（民</w:t>
      </w:r>
      <w:r>
        <w:rPr>
          <w:rFonts w:hint="eastAsia"/>
        </w:rPr>
        <w:t xml:space="preserve"> 113</w:t>
      </w:r>
      <w:r>
        <w:rPr>
          <w:rFonts w:hint="eastAsia"/>
        </w:rPr>
        <w:t>）。建置</w:t>
      </w:r>
      <w:proofErr w:type="gramStart"/>
      <w:r>
        <w:rPr>
          <w:rFonts w:hint="eastAsia"/>
        </w:rPr>
        <w:t>企業漂綠行為</w:t>
      </w:r>
      <w:proofErr w:type="gramEnd"/>
      <w:r>
        <w:rPr>
          <w:rFonts w:hint="eastAsia"/>
        </w:rPr>
        <w:t>評估框架之研究（碩士論文）。取自</w:t>
      </w:r>
      <w:r>
        <w:rPr>
          <w:rFonts w:hint="eastAsia"/>
        </w:rPr>
        <w:t xml:space="preserve"> </w:t>
      </w:r>
      <w:r>
        <w:rPr>
          <w:rFonts w:hint="eastAsia"/>
        </w:rPr>
        <w:lastRenderedPageBreak/>
        <w:t xml:space="preserve">https://tdr.lib.ntu.edu.tw/retrieve/2eff16aa-d4ba-47c9-b77e-f3043a01f1b0/ntu-112-2.pdf </w:t>
      </w:r>
      <w:r>
        <w:rPr>
          <w:rFonts w:hint="eastAsia"/>
        </w:rPr>
        <w:t>→</w:t>
      </w:r>
      <w:r>
        <w:rPr>
          <w:rFonts w:hint="eastAsia"/>
        </w:rPr>
        <w:t xml:space="preserve"> </w:t>
      </w:r>
      <w:r>
        <w:rPr>
          <w:rFonts w:hint="eastAsia"/>
        </w:rPr>
        <w:t>對應</w:t>
      </w:r>
      <w:r>
        <w:rPr>
          <w:rFonts w:hint="eastAsia"/>
        </w:rPr>
        <w:t xml:space="preserve"> RQ2</w:t>
      </w:r>
      <w:r>
        <w:rPr>
          <w:rFonts w:hint="eastAsia"/>
        </w:rPr>
        <w:t>、</w:t>
      </w:r>
      <w:r>
        <w:rPr>
          <w:rFonts w:hint="eastAsia"/>
        </w:rPr>
        <w:t>RQ3</w:t>
      </w:r>
      <w:r>
        <w:rPr>
          <w:rFonts w:hint="eastAsia"/>
        </w:rPr>
        <w:t>：</w:t>
      </w:r>
      <w:proofErr w:type="gramStart"/>
      <w:r>
        <w:rPr>
          <w:rFonts w:hint="eastAsia"/>
        </w:rPr>
        <w:t>建置漂綠評估</w:t>
      </w:r>
      <w:proofErr w:type="gramEnd"/>
      <w:r>
        <w:rPr>
          <w:rFonts w:hint="eastAsia"/>
        </w:rPr>
        <w:t>架構，可用於評估不同導入方式的企業在</w:t>
      </w:r>
      <w:r>
        <w:rPr>
          <w:rFonts w:hint="eastAsia"/>
        </w:rPr>
        <w:t xml:space="preserve"> ESG </w:t>
      </w:r>
      <w:r>
        <w:rPr>
          <w:rFonts w:hint="eastAsia"/>
        </w:rPr>
        <w:t>資訊品質</w:t>
      </w:r>
      <w:proofErr w:type="gramStart"/>
      <w:r>
        <w:rPr>
          <w:rFonts w:hint="eastAsia"/>
        </w:rPr>
        <w:t>與漂綠風險</w:t>
      </w:r>
      <w:proofErr w:type="gramEnd"/>
      <w:r>
        <w:rPr>
          <w:rFonts w:hint="eastAsia"/>
        </w:rPr>
        <w:t>上的差異</w:t>
      </w:r>
    </w:p>
    <w:p w:rsidR="008A6191" w:rsidRDefault="008A6191">
      <w:pPr>
        <w:widowControl/>
      </w:pPr>
      <w:r>
        <w:br w:type="page"/>
      </w:r>
    </w:p>
    <w:p w:rsidR="00587380" w:rsidRDefault="008A6191" w:rsidP="008A6191">
      <w:pPr>
        <w:spacing w:line="480" w:lineRule="auto"/>
        <w:ind w:left="720" w:hanging="720"/>
        <w:jc w:val="center"/>
      </w:pPr>
      <w:r>
        <w:rPr>
          <w:rFonts w:hint="eastAsia"/>
        </w:rPr>
        <w:lastRenderedPageBreak/>
        <w:t>研究進度構想報告</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3"/>
        <w:gridCol w:w="618"/>
        <w:gridCol w:w="4353"/>
        <w:gridCol w:w="2712"/>
      </w:tblGrid>
      <w:tr w:rsidR="008A6191" w:rsidRPr="008A6191" w:rsidTr="00D312C1">
        <w:trPr>
          <w:tblHeader/>
          <w:tblCellSpacing w:w="15" w:type="dxa"/>
        </w:trPr>
        <w:tc>
          <w:tcPr>
            <w:tcW w:w="541" w:type="pct"/>
            <w:vAlign w:val="center"/>
            <w:hideMark/>
          </w:tcPr>
          <w:p w:rsidR="008A6191" w:rsidRPr="008A6191" w:rsidRDefault="008A6191" w:rsidP="008A6191">
            <w:pPr>
              <w:widowControl/>
              <w:jc w:val="center"/>
            </w:pPr>
            <w:proofErr w:type="gramStart"/>
            <w:r w:rsidRPr="008A6191">
              <w:t>週</w:t>
            </w:r>
            <w:proofErr w:type="gramEnd"/>
            <w:r w:rsidRPr="008A6191">
              <w:t>次</w:t>
            </w:r>
          </w:p>
        </w:tc>
        <w:tc>
          <w:tcPr>
            <w:tcW w:w="339" w:type="pct"/>
            <w:vAlign w:val="center"/>
            <w:hideMark/>
          </w:tcPr>
          <w:p w:rsidR="008A6191" w:rsidRPr="008A6191" w:rsidRDefault="008A6191" w:rsidP="008A6191">
            <w:pPr>
              <w:widowControl/>
              <w:jc w:val="center"/>
            </w:pPr>
            <w:r w:rsidRPr="008A6191">
              <w:t>日期</w:t>
            </w:r>
          </w:p>
        </w:tc>
        <w:tc>
          <w:tcPr>
            <w:tcW w:w="2494" w:type="pct"/>
            <w:vAlign w:val="center"/>
            <w:hideMark/>
          </w:tcPr>
          <w:p w:rsidR="008A6191" w:rsidRPr="008A6191" w:rsidRDefault="008A6191" w:rsidP="008A6191">
            <w:pPr>
              <w:widowControl/>
              <w:jc w:val="center"/>
            </w:pPr>
            <w:r w:rsidRPr="008A6191">
              <w:t>工作重點</w:t>
            </w:r>
          </w:p>
        </w:tc>
        <w:tc>
          <w:tcPr>
            <w:tcW w:w="1539" w:type="pct"/>
            <w:vAlign w:val="center"/>
            <w:hideMark/>
          </w:tcPr>
          <w:p w:rsidR="008A6191" w:rsidRPr="008A6191" w:rsidRDefault="008A6191" w:rsidP="008A6191">
            <w:pPr>
              <w:widowControl/>
              <w:jc w:val="center"/>
            </w:pPr>
            <w:r w:rsidRPr="008A6191">
              <w:t>產出</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1~2 </w:t>
            </w:r>
            <w:proofErr w:type="gramStart"/>
            <w:r w:rsidRPr="008A6191">
              <w:t>週</w:t>
            </w:r>
            <w:proofErr w:type="gramEnd"/>
          </w:p>
        </w:tc>
        <w:tc>
          <w:tcPr>
            <w:tcW w:w="339" w:type="pct"/>
            <w:vAlign w:val="center"/>
            <w:hideMark/>
          </w:tcPr>
          <w:p w:rsidR="008A6191" w:rsidRPr="008A6191" w:rsidRDefault="008A6191" w:rsidP="008A6191">
            <w:pPr>
              <w:widowControl/>
            </w:pPr>
            <w:r w:rsidRPr="008A6191">
              <w:t>4/10 ~4/24</w:t>
            </w:r>
          </w:p>
        </w:tc>
        <w:tc>
          <w:tcPr>
            <w:tcW w:w="2494" w:type="pct"/>
            <w:vAlign w:val="center"/>
            <w:hideMark/>
          </w:tcPr>
          <w:p w:rsidR="008A6191" w:rsidRDefault="008A6191" w:rsidP="008A6191">
            <w:pPr>
              <w:widowControl/>
            </w:pPr>
            <w:r w:rsidRPr="008A6191">
              <w:t>讀完</w:t>
            </w:r>
            <w:r w:rsidRPr="008A6191">
              <w:t xml:space="preserve"> 5 </w:t>
            </w:r>
            <w:r>
              <w:t>篇參考文獻</w:t>
            </w:r>
          </w:p>
          <w:p w:rsidR="007447BD" w:rsidRDefault="008A6191" w:rsidP="008A6191">
            <w:pPr>
              <w:widowControl/>
            </w:pPr>
            <w:proofErr w:type="gramStart"/>
            <w:r w:rsidRPr="008A6191">
              <w:t>補找</w:t>
            </w:r>
            <w:proofErr w:type="gramEnd"/>
            <w:r w:rsidRPr="008A6191">
              <w:t xml:space="preserve"> 3~5 </w:t>
            </w:r>
            <w:r w:rsidRPr="008A6191">
              <w:t>篇</w:t>
            </w:r>
            <w:r w:rsidR="007447BD">
              <w:rPr>
                <w:rFonts w:hint="eastAsia"/>
              </w:rPr>
              <w:t>文獻</w:t>
            </w:r>
          </w:p>
          <w:p w:rsidR="008A6191" w:rsidRPr="008A6191" w:rsidRDefault="007447BD" w:rsidP="008A6191">
            <w:pPr>
              <w:widowControl/>
            </w:pPr>
            <w:r>
              <w:rPr>
                <w:rFonts w:hint="eastAsia"/>
              </w:rPr>
              <w:t>(</w:t>
            </w:r>
            <w:r w:rsidR="008A6191" w:rsidRPr="008A6191">
              <w:t>制度理論＋</w:t>
            </w:r>
            <w:proofErr w:type="gramStart"/>
            <w:r w:rsidR="008A6191" w:rsidRPr="008A6191">
              <w:t>漂綠的</w:t>
            </w:r>
            <w:proofErr w:type="gramEnd"/>
            <w:r w:rsidR="008A6191" w:rsidRPr="008A6191">
              <w:t>文獻</w:t>
            </w:r>
            <w:r>
              <w:rPr>
                <w:rFonts w:hint="eastAsia"/>
              </w:rPr>
              <w:t>)</w:t>
            </w:r>
          </w:p>
        </w:tc>
        <w:tc>
          <w:tcPr>
            <w:tcW w:w="1539" w:type="pct"/>
            <w:vAlign w:val="center"/>
            <w:hideMark/>
          </w:tcPr>
          <w:p w:rsidR="00D312C1" w:rsidRDefault="00D312C1" w:rsidP="008A6191">
            <w:pPr>
              <w:widowControl/>
            </w:pPr>
            <w:r>
              <w:t>文獻筆記</w:t>
            </w:r>
          </w:p>
          <w:p w:rsidR="008A6191" w:rsidRPr="008A6191" w:rsidRDefault="008A6191" w:rsidP="008A6191">
            <w:pPr>
              <w:widowControl/>
            </w:pPr>
            <w:r w:rsidRPr="008A6191">
              <w:t>文獻清單確認</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3~4 </w:t>
            </w:r>
            <w:proofErr w:type="gramStart"/>
            <w:r w:rsidRPr="008A6191">
              <w:t>週</w:t>
            </w:r>
            <w:proofErr w:type="gramEnd"/>
          </w:p>
        </w:tc>
        <w:tc>
          <w:tcPr>
            <w:tcW w:w="339" w:type="pct"/>
            <w:vAlign w:val="center"/>
            <w:hideMark/>
          </w:tcPr>
          <w:p w:rsidR="008A6191" w:rsidRPr="008A6191" w:rsidRDefault="008A6191" w:rsidP="008A6191">
            <w:pPr>
              <w:widowControl/>
            </w:pPr>
            <w:r w:rsidRPr="008A6191">
              <w:t>4/25~ 5/8</w:t>
            </w:r>
          </w:p>
        </w:tc>
        <w:tc>
          <w:tcPr>
            <w:tcW w:w="2494" w:type="pct"/>
            <w:vAlign w:val="center"/>
            <w:hideMark/>
          </w:tcPr>
          <w:p w:rsidR="007447BD" w:rsidRDefault="008A6191" w:rsidP="008A6191">
            <w:pPr>
              <w:widowControl/>
            </w:pPr>
            <w:r w:rsidRPr="008A6191">
              <w:t>寫</w:t>
            </w:r>
            <w:r w:rsidRPr="008A6191">
              <w:rPr>
                <w:rFonts w:hint="eastAsia"/>
              </w:rPr>
              <w:t>RQ1</w:t>
            </w:r>
            <w:r w:rsidR="007447BD">
              <w:t>（制度理論）</w:t>
            </w:r>
          </w:p>
          <w:p w:rsidR="008A6191" w:rsidRPr="008A6191" w:rsidRDefault="000F4D67" w:rsidP="008A6191">
            <w:pPr>
              <w:widowControl/>
            </w:pPr>
            <w:r>
              <w:rPr>
                <w:rFonts w:hint="eastAsia"/>
              </w:rPr>
              <w:t>寫</w:t>
            </w:r>
            <w:r w:rsidR="008A6191" w:rsidRPr="008A6191">
              <w:rPr>
                <w:rFonts w:hint="eastAsia"/>
              </w:rPr>
              <w:t>R</w:t>
            </w:r>
            <w:r w:rsidR="008A6191" w:rsidRPr="008A6191">
              <w:t>Q2</w:t>
            </w:r>
            <w:r w:rsidR="008A6191" w:rsidRPr="008A6191">
              <w:t>（實質</w:t>
            </w:r>
            <w:r w:rsidR="008A6191" w:rsidRPr="008A6191">
              <w:t>/</w:t>
            </w:r>
            <w:r w:rsidR="008A6191" w:rsidRPr="008A6191">
              <w:t>形式導入）</w:t>
            </w:r>
          </w:p>
        </w:tc>
        <w:tc>
          <w:tcPr>
            <w:tcW w:w="1539" w:type="pct"/>
            <w:vAlign w:val="center"/>
            <w:hideMark/>
          </w:tcPr>
          <w:p w:rsidR="008A6191" w:rsidRPr="008A6191" w:rsidRDefault="008A6191" w:rsidP="008A6191">
            <w:pPr>
              <w:widowControl/>
            </w:pPr>
            <w:r w:rsidRPr="008A6191">
              <w:t>文獻探討前半完成</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5~6 </w:t>
            </w:r>
            <w:proofErr w:type="gramStart"/>
            <w:r w:rsidRPr="008A6191">
              <w:t>週</w:t>
            </w:r>
            <w:proofErr w:type="gramEnd"/>
          </w:p>
        </w:tc>
        <w:tc>
          <w:tcPr>
            <w:tcW w:w="339" w:type="pct"/>
            <w:vAlign w:val="center"/>
            <w:hideMark/>
          </w:tcPr>
          <w:p w:rsidR="008A6191" w:rsidRPr="008A6191" w:rsidRDefault="008A6191" w:rsidP="008A6191">
            <w:pPr>
              <w:widowControl/>
            </w:pPr>
            <w:r w:rsidRPr="008A6191">
              <w:t>5/9~ 5/22</w:t>
            </w:r>
          </w:p>
        </w:tc>
        <w:tc>
          <w:tcPr>
            <w:tcW w:w="2494" w:type="pct"/>
            <w:vAlign w:val="center"/>
            <w:hideMark/>
          </w:tcPr>
          <w:p w:rsidR="007447BD" w:rsidRDefault="008A6191" w:rsidP="008A6191">
            <w:pPr>
              <w:widowControl/>
            </w:pPr>
            <w:r w:rsidRPr="008A6191">
              <w:t>寫</w:t>
            </w:r>
            <w:r w:rsidRPr="008A6191">
              <w:rPr>
                <w:rFonts w:hint="eastAsia"/>
              </w:rPr>
              <w:t>R</w:t>
            </w:r>
            <w:r w:rsidRPr="008A6191">
              <w:t>Q3</w:t>
            </w:r>
            <w:r w:rsidR="007447BD">
              <w:t>（漂綠風險）</w:t>
            </w:r>
          </w:p>
          <w:p w:rsidR="008A6191" w:rsidRPr="008A6191" w:rsidRDefault="000F4D67" w:rsidP="008A6191">
            <w:pPr>
              <w:widowControl/>
            </w:pPr>
            <w:r>
              <w:rPr>
                <w:rFonts w:hint="eastAsia"/>
              </w:rPr>
              <w:t>寫</w:t>
            </w:r>
            <w:r w:rsidR="008A6191" w:rsidRPr="008A6191">
              <w:rPr>
                <w:rFonts w:hint="eastAsia"/>
              </w:rPr>
              <w:t>結論</w:t>
            </w:r>
            <w:r w:rsidR="008A6191" w:rsidRPr="008A6191">
              <w:t>（文獻小結與缺口）</w:t>
            </w:r>
          </w:p>
        </w:tc>
        <w:tc>
          <w:tcPr>
            <w:tcW w:w="1539" w:type="pct"/>
            <w:vAlign w:val="center"/>
            <w:hideMark/>
          </w:tcPr>
          <w:p w:rsidR="008A6191" w:rsidRPr="008A6191" w:rsidRDefault="008A6191" w:rsidP="008A6191">
            <w:pPr>
              <w:widowControl/>
            </w:pPr>
            <w:r w:rsidRPr="008A6191">
              <w:t>文獻探討全部完成</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7~8 </w:t>
            </w:r>
            <w:proofErr w:type="gramStart"/>
            <w:r w:rsidRPr="008A6191">
              <w:t>週</w:t>
            </w:r>
            <w:proofErr w:type="gramEnd"/>
          </w:p>
        </w:tc>
        <w:tc>
          <w:tcPr>
            <w:tcW w:w="339" w:type="pct"/>
            <w:vAlign w:val="center"/>
            <w:hideMark/>
          </w:tcPr>
          <w:p w:rsidR="008A6191" w:rsidRPr="008A6191" w:rsidRDefault="008A6191" w:rsidP="008A6191">
            <w:pPr>
              <w:widowControl/>
            </w:pPr>
            <w:r w:rsidRPr="008A6191">
              <w:t>5/23~ 6/5</w:t>
            </w:r>
          </w:p>
        </w:tc>
        <w:tc>
          <w:tcPr>
            <w:tcW w:w="2494" w:type="pct"/>
            <w:vAlign w:val="center"/>
            <w:hideMark/>
          </w:tcPr>
          <w:p w:rsidR="008A6191" w:rsidRDefault="008A6191" w:rsidP="008A6191">
            <w:pPr>
              <w:widowControl/>
            </w:pPr>
            <w:proofErr w:type="gramStart"/>
            <w:r w:rsidRPr="008A6191">
              <w:t>寫參</w:t>
            </w:r>
            <w:proofErr w:type="gramEnd"/>
            <w:r w:rsidRPr="008A6191">
              <w:t>、研究架構與預期貢獻（含架構圖）</w:t>
            </w:r>
          </w:p>
          <w:p w:rsidR="008A6191" w:rsidRPr="008A6191" w:rsidRDefault="00D72360" w:rsidP="008A6191">
            <w:pPr>
              <w:widowControl/>
            </w:pPr>
            <w:r>
              <w:rPr>
                <w:rFonts w:hint="eastAsia"/>
              </w:rPr>
              <w:t>寫</w:t>
            </w:r>
            <w:r w:rsidR="008A6191" w:rsidRPr="008A6191">
              <w:t>資料分析（找</w:t>
            </w:r>
            <w:r w:rsidR="008A6191" w:rsidRPr="008A6191">
              <w:t xml:space="preserve"> 2~3 </w:t>
            </w:r>
            <w:r w:rsidR="008A6191" w:rsidRPr="008A6191">
              <w:t>家企業的永續報告書做比對佐證）</w:t>
            </w:r>
          </w:p>
        </w:tc>
        <w:tc>
          <w:tcPr>
            <w:tcW w:w="1539" w:type="pct"/>
            <w:vAlign w:val="center"/>
            <w:hideMark/>
          </w:tcPr>
          <w:p w:rsidR="00D312C1" w:rsidRDefault="008A6191" w:rsidP="008A6191">
            <w:pPr>
              <w:widowControl/>
            </w:pPr>
            <w:r>
              <w:t>研究架構</w:t>
            </w:r>
          </w:p>
          <w:p w:rsidR="008A6191" w:rsidRPr="008A6191" w:rsidRDefault="008A6191" w:rsidP="008A6191">
            <w:pPr>
              <w:widowControl/>
              <w:rPr>
                <w:rFonts w:hint="eastAsia"/>
              </w:rPr>
            </w:pPr>
            <w:r w:rsidRPr="008A6191">
              <w:t>分析</w:t>
            </w:r>
            <w:r>
              <w:rPr>
                <w:rFonts w:hint="eastAsia"/>
              </w:rPr>
              <w:t>結果說明</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 9~10 </w:t>
            </w:r>
            <w:proofErr w:type="gramStart"/>
            <w:r w:rsidRPr="008A6191">
              <w:t>週</w:t>
            </w:r>
            <w:proofErr w:type="gramEnd"/>
          </w:p>
        </w:tc>
        <w:tc>
          <w:tcPr>
            <w:tcW w:w="339" w:type="pct"/>
            <w:vAlign w:val="center"/>
            <w:hideMark/>
          </w:tcPr>
          <w:p w:rsidR="008A6191" w:rsidRPr="008A6191" w:rsidRDefault="008A6191" w:rsidP="008A6191">
            <w:pPr>
              <w:widowControl/>
            </w:pPr>
            <w:r w:rsidRPr="008A6191">
              <w:t>6/6~ 6/19</w:t>
            </w:r>
          </w:p>
        </w:tc>
        <w:tc>
          <w:tcPr>
            <w:tcW w:w="2494" w:type="pct"/>
            <w:vAlign w:val="center"/>
            <w:hideMark/>
          </w:tcPr>
          <w:p w:rsidR="008A6191" w:rsidRDefault="008A6191" w:rsidP="008A6191">
            <w:pPr>
              <w:widowControl/>
            </w:pPr>
            <w:r>
              <w:t>全文整合</w:t>
            </w:r>
          </w:p>
          <w:p w:rsidR="008A6191" w:rsidRDefault="008A6191" w:rsidP="008A6191">
            <w:pPr>
              <w:widowControl/>
            </w:pPr>
            <w:r w:rsidRPr="008A6191">
              <w:t>校對格式（</w:t>
            </w:r>
            <w:r w:rsidRPr="008A6191">
              <w:t>APA</w:t>
            </w:r>
            <w:r>
              <w:t>）</w:t>
            </w:r>
          </w:p>
          <w:p w:rsidR="008A6191" w:rsidRPr="008A6191" w:rsidRDefault="004A4CC7" w:rsidP="008A6191">
            <w:pPr>
              <w:widowControl/>
            </w:pPr>
            <w:r>
              <w:t>參考文獻補齊</w:t>
            </w:r>
          </w:p>
        </w:tc>
        <w:tc>
          <w:tcPr>
            <w:tcW w:w="1539" w:type="pct"/>
            <w:vAlign w:val="center"/>
            <w:hideMark/>
          </w:tcPr>
          <w:p w:rsidR="00D312C1" w:rsidRDefault="008A6191" w:rsidP="008A6191">
            <w:pPr>
              <w:widowControl/>
            </w:pPr>
            <w:r>
              <w:rPr>
                <w:rFonts w:hint="eastAsia"/>
              </w:rPr>
              <w:t>修改</w:t>
            </w:r>
            <w:r w:rsidR="00D312C1">
              <w:rPr>
                <w:rFonts w:hint="eastAsia"/>
              </w:rPr>
              <w:t>文件</w:t>
            </w:r>
            <w:r>
              <w:rPr>
                <w:rFonts w:hint="eastAsia"/>
              </w:rPr>
              <w:t>格式</w:t>
            </w:r>
          </w:p>
          <w:p w:rsidR="008A6191" w:rsidRPr="008A6191" w:rsidRDefault="008A6191" w:rsidP="008A6191">
            <w:pPr>
              <w:widowControl/>
              <w:rPr>
                <w:rFonts w:hint="eastAsia"/>
              </w:rPr>
            </w:pPr>
            <w:r>
              <w:t>完稿</w:t>
            </w:r>
          </w:p>
        </w:tc>
      </w:tr>
      <w:tr w:rsidR="008A6191" w:rsidRPr="008A6191" w:rsidTr="00D312C1">
        <w:trPr>
          <w:tblCellSpacing w:w="15" w:type="dxa"/>
        </w:trPr>
        <w:tc>
          <w:tcPr>
            <w:tcW w:w="541" w:type="pct"/>
            <w:vAlign w:val="center"/>
            <w:hideMark/>
          </w:tcPr>
          <w:p w:rsidR="008A6191" w:rsidRPr="008A6191" w:rsidRDefault="008A6191" w:rsidP="008A6191">
            <w:pPr>
              <w:widowControl/>
            </w:pPr>
            <w:r w:rsidRPr="008A6191">
              <w:t xml:space="preserve">11 </w:t>
            </w:r>
            <w:proofErr w:type="gramStart"/>
            <w:r w:rsidRPr="008A6191">
              <w:t>週</w:t>
            </w:r>
            <w:proofErr w:type="gramEnd"/>
          </w:p>
        </w:tc>
        <w:tc>
          <w:tcPr>
            <w:tcW w:w="339" w:type="pct"/>
            <w:vAlign w:val="center"/>
            <w:hideMark/>
          </w:tcPr>
          <w:p w:rsidR="008A6191" w:rsidRPr="008A6191" w:rsidRDefault="008A6191" w:rsidP="008A6191">
            <w:pPr>
              <w:widowControl/>
            </w:pPr>
            <w:r w:rsidRPr="008A6191">
              <w:t>6/20~ 6/26</w:t>
            </w:r>
          </w:p>
        </w:tc>
        <w:tc>
          <w:tcPr>
            <w:tcW w:w="2494" w:type="pct"/>
            <w:vAlign w:val="center"/>
            <w:hideMark/>
          </w:tcPr>
          <w:p w:rsidR="000B519C" w:rsidRDefault="000B519C" w:rsidP="008A6191">
            <w:pPr>
              <w:widowControl/>
            </w:pPr>
            <w:r>
              <w:t>練習口頭報告</w:t>
            </w:r>
          </w:p>
          <w:p w:rsidR="008A6191" w:rsidRPr="008A6191" w:rsidRDefault="008A6191" w:rsidP="008A6191">
            <w:pPr>
              <w:widowControl/>
            </w:pPr>
            <w:r w:rsidRPr="008A6191">
              <w:t>預留修改緩衝</w:t>
            </w:r>
          </w:p>
        </w:tc>
        <w:tc>
          <w:tcPr>
            <w:tcW w:w="1539" w:type="pct"/>
            <w:vAlign w:val="center"/>
            <w:hideMark/>
          </w:tcPr>
          <w:p w:rsidR="008A6191" w:rsidRPr="008A6191" w:rsidRDefault="008A6191" w:rsidP="008A6191">
            <w:pPr>
              <w:widowControl/>
            </w:pPr>
            <w:r w:rsidRPr="008A6191">
              <w:t xml:space="preserve">6/26 </w:t>
            </w:r>
            <w:r w:rsidRPr="008A6191">
              <w:t>報告</w:t>
            </w:r>
          </w:p>
        </w:tc>
      </w:tr>
    </w:tbl>
    <w:p w:rsidR="008A6191" w:rsidRDefault="008A6191" w:rsidP="008A6191">
      <w:pPr>
        <w:spacing w:line="480" w:lineRule="auto"/>
        <w:ind w:left="720" w:hanging="720"/>
        <w:jc w:val="center"/>
        <w:rPr>
          <w:rFonts w:hint="eastAsia"/>
        </w:rPr>
      </w:pPr>
    </w:p>
    <w:sectPr w:rsidR="008A6191">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A04" w:rsidRDefault="00E02A04">
      <w:r>
        <w:separator/>
      </w:r>
    </w:p>
  </w:endnote>
  <w:endnote w:type="continuationSeparator" w:id="0">
    <w:p w:rsidR="00E02A04" w:rsidRDefault="00E02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380" w:rsidRDefault="00DA25CC">
    <w:pPr>
      <w:jc w:val="center"/>
    </w:pPr>
    <w:r>
      <w:rPr>
        <w:sz w:val="20"/>
        <w:szCs w:val="20"/>
      </w:rPr>
      <w:fldChar w:fldCharType="begin"/>
    </w:r>
    <w:r>
      <w:rPr>
        <w:sz w:val="20"/>
        <w:szCs w:val="20"/>
      </w:rPr>
      <w:instrText>PAGE</w:instrText>
    </w:r>
    <w:r>
      <w:rPr>
        <w:sz w:val="20"/>
        <w:szCs w:val="20"/>
      </w:rPr>
      <w:fldChar w:fldCharType="separate"/>
    </w:r>
    <w:r w:rsidR="00823D8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380" w:rsidRDefault="00DA25CC">
    <w:pPr>
      <w:jc w:val="center"/>
    </w:pPr>
    <w:r>
      <w:rPr>
        <w:sz w:val="20"/>
        <w:szCs w:val="20"/>
      </w:rPr>
      <w:fldChar w:fldCharType="begin"/>
    </w:r>
    <w:r>
      <w:rPr>
        <w:sz w:val="20"/>
        <w:szCs w:val="20"/>
      </w:rPr>
      <w:instrText>PAGE</w:instrText>
    </w:r>
    <w:r>
      <w:rPr>
        <w:sz w:val="20"/>
        <w:szCs w:val="20"/>
      </w:rPr>
      <w:fldChar w:fldCharType="separate"/>
    </w:r>
    <w:r w:rsidR="00A34F06">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A04" w:rsidRDefault="00E02A04">
      <w:r>
        <w:separator/>
      </w:r>
    </w:p>
  </w:footnote>
  <w:footnote w:type="continuationSeparator" w:id="0">
    <w:p w:rsidR="00E02A04" w:rsidRDefault="00E02A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380" w:rsidRDefault="00587380">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4506E"/>
    <w:multiLevelType w:val="hybridMultilevel"/>
    <w:tmpl w:val="E048CD6C"/>
    <w:lvl w:ilvl="0" w:tplc="0AD03462">
      <w:start w:val="1"/>
      <w:numFmt w:val="ideographLegalTraditional"/>
      <w:lvlText w:val="%1、"/>
      <w:lvlJc w:val="left"/>
      <w:pPr>
        <w:ind w:left="500" w:hanging="50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544ECB"/>
    <w:multiLevelType w:val="hybridMultilevel"/>
    <w:tmpl w:val="FD4CD6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0775BC8"/>
    <w:multiLevelType w:val="hybridMultilevel"/>
    <w:tmpl w:val="BD3E6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DA67071"/>
    <w:multiLevelType w:val="multilevel"/>
    <w:tmpl w:val="BCE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54900"/>
    <w:multiLevelType w:val="hybridMultilevel"/>
    <w:tmpl w:val="9F68F632"/>
    <w:lvl w:ilvl="0" w:tplc="8EB05C20">
      <w:start w:val="1"/>
      <w:numFmt w:val="bullet"/>
      <w:lvlText w:val="●"/>
      <w:lvlJc w:val="left"/>
      <w:pPr>
        <w:ind w:left="720" w:hanging="360"/>
      </w:pPr>
    </w:lvl>
    <w:lvl w:ilvl="1" w:tplc="AD668C44">
      <w:start w:val="1"/>
      <w:numFmt w:val="bullet"/>
      <w:lvlText w:val="○"/>
      <w:lvlJc w:val="left"/>
      <w:pPr>
        <w:ind w:left="1440" w:hanging="360"/>
      </w:pPr>
    </w:lvl>
    <w:lvl w:ilvl="2" w:tplc="9F26EFB2">
      <w:start w:val="1"/>
      <w:numFmt w:val="bullet"/>
      <w:lvlText w:val="■"/>
      <w:lvlJc w:val="left"/>
      <w:pPr>
        <w:ind w:left="2160" w:hanging="360"/>
      </w:pPr>
    </w:lvl>
    <w:lvl w:ilvl="3" w:tplc="0FF6BBCA">
      <w:start w:val="1"/>
      <w:numFmt w:val="bullet"/>
      <w:lvlText w:val="●"/>
      <w:lvlJc w:val="left"/>
      <w:pPr>
        <w:ind w:left="2880" w:hanging="360"/>
      </w:pPr>
    </w:lvl>
    <w:lvl w:ilvl="4" w:tplc="B14AEE84">
      <w:start w:val="1"/>
      <w:numFmt w:val="bullet"/>
      <w:lvlText w:val="○"/>
      <w:lvlJc w:val="left"/>
      <w:pPr>
        <w:ind w:left="3600" w:hanging="360"/>
      </w:pPr>
    </w:lvl>
    <w:lvl w:ilvl="5" w:tplc="F1EA34F0">
      <w:start w:val="1"/>
      <w:numFmt w:val="bullet"/>
      <w:lvlText w:val="■"/>
      <w:lvlJc w:val="left"/>
      <w:pPr>
        <w:ind w:left="4320" w:hanging="360"/>
      </w:pPr>
    </w:lvl>
    <w:lvl w:ilvl="6" w:tplc="5FEC7F08">
      <w:start w:val="1"/>
      <w:numFmt w:val="bullet"/>
      <w:lvlText w:val="●"/>
      <w:lvlJc w:val="left"/>
      <w:pPr>
        <w:ind w:left="5040" w:hanging="360"/>
      </w:pPr>
    </w:lvl>
    <w:lvl w:ilvl="7" w:tplc="E26281C0">
      <w:start w:val="1"/>
      <w:numFmt w:val="bullet"/>
      <w:lvlText w:val="●"/>
      <w:lvlJc w:val="left"/>
      <w:pPr>
        <w:ind w:left="5760" w:hanging="360"/>
      </w:pPr>
    </w:lvl>
    <w:lvl w:ilvl="8" w:tplc="18C47DCA">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380"/>
    <w:rsid w:val="0006547E"/>
    <w:rsid w:val="000B519C"/>
    <w:rsid w:val="000F4D67"/>
    <w:rsid w:val="00270FBC"/>
    <w:rsid w:val="004A4CC7"/>
    <w:rsid w:val="00524338"/>
    <w:rsid w:val="00570978"/>
    <w:rsid w:val="00587380"/>
    <w:rsid w:val="00627376"/>
    <w:rsid w:val="007412F6"/>
    <w:rsid w:val="007447BD"/>
    <w:rsid w:val="00770D43"/>
    <w:rsid w:val="00823D8B"/>
    <w:rsid w:val="008A6191"/>
    <w:rsid w:val="009225F1"/>
    <w:rsid w:val="00A34F06"/>
    <w:rsid w:val="00B55B98"/>
    <w:rsid w:val="00CF59A7"/>
    <w:rsid w:val="00D312C1"/>
    <w:rsid w:val="00D72360"/>
    <w:rsid w:val="00DA25CC"/>
    <w:rsid w:val="00DC2D99"/>
    <w:rsid w:val="00DD3599"/>
    <w:rsid w:val="00E02A04"/>
    <w:rsid w:val="00EE5206"/>
    <w:rsid w:val="00F412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8C23"/>
  <w15:docId w15:val="{2D9C0599-60AA-4F37-BC52-8215E5EC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customStyle="1" w:styleId="ng-star-inserted">
    <w:name w:val="ng-star-inserted"/>
    <w:basedOn w:val="a0"/>
    <w:rsid w:val="0006547E"/>
  </w:style>
  <w:style w:type="paragraph" w:styleId="ac">
    <w:name w:val="header"/>
    <w:basedOn w:val="a"/>
    <w:link w:val="ad"/>
    <w:uiPriority w:val="99"/>
    <w:unhideWhenUsed/>
    <w:rsid w:val="0006547E"/>
    <w:pPr>
      <w:tabs>
        <w:tab w:val="center" w:pos="4153"/>
        <w:tab w:val="right" w:pos="8306"/>
      </w:tabs>
      <w:snapToGrid w:val="0"/>
    </w:pPr>
    <w:rPr>
      <w:sz w:val="20"/>
      <w:szCs w:val="20"/>
    </w:rPr>
  </w:style>
  <w:style w:type="character" w:customStyle="1" w:styleId="ad">
    <w:name w:val="頁首 字元"/>
    <w:basedOn w:val="a0"/>
    <w:link w:val="ac"/>
    <w:uiPriority w:val="99"/>
    <w:rsid w:val="0006547E"/>
    <w:rPr>
      <w:sz w:val="20"/>
      <w:szCs w:val="20"/>
    </w:rPr>
  </w:style>
  <w:style w:type="paragraph" w:styleId="ae">
    <w:name w:val="footer"/>
    <w:basedOn w:val="a"/>
    <w:link w:val="af"/>
    <w:uiPriority w:val="99"/>
    <w:unhideWhenUsed/>
    <w:rsid w:val="0006547E"/>
    <w:pPr>
      <w:tabs>
        <w:tab w:val="center" w:pos="4153"/>
        <w:tab w:val="right" w:pos="8306"/>
      </w:tabs>
      <w:snapToGrid w:val="0"/>
    </w:pPr>
    <w:rPr>
      <w:sz w:val="20"/>
      <w:szCs w:val="20"/>
    </w:rPr>
  </w:style>
  <w:style w:type="character" w:customStyle="1" w:styleId="af">
    <w:name w:val="頁尾 字元"/>
    <w:basedOn w:val="a0"/>
    <w:link w:val="ae"/>
    <w:uiPriority w:val="99"/>
    <w:rsid w:val="0006547E"/>
    <w:rPr>
      <w:sz w:val="20"/>
      <w:szCs w:val="20"/>
    </w:rPr>
  </w:style>
  <w:style w:type="character" w:styleId="af0">
    <w:name w:val="Strong"/>
    <w:basedOn w:val="a0"/>
    <w:uiPriority w:val="22"/>
    <w:qFormat/>
    <w:rsid w:val="008A6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24747">
      <w:bodyDiv w:val="1"/>
      <w:marLeft w:val="0"/>
      <w:marRight w:val="0"/>
      <w:marTop w:val="0"/>
      <w:marBottom w:val="0"/>
      <w:divBdr>
        <w:top w:val="none" w:sz="0" w:space="0" w:color="auto"/>
        <w:left w:val="none" w:sz="0" w:space="0" w:color="auto"/>
        <w:bottom w:val="none" w:sz="0" w:space="0" w:color="auto"/>
        <w:right w:val="none" w:sz="0" w:space="0" w:color="auto"/>
      </w:divBdr>
    </w:div>
    <w:div w:id="595595394">
      <w:bodyDiv w:val="1"/>
      <w:marLeft w:val="0"/>
      <w:marRight w:val="0"/>
      <w:marTop w:val="0"/>
      <w:marBottom w:val="0"/>
      <w:divBdr>
        <w:top w:val="none" w:sz="0" w:space="0" w:color="auto"/>
        <w:left w:val="none" w:sz="0" w:space="0" w:color="auto"/>
        <w:bottom w:val="none" w:sz="0" w:space="0" w:color="auto"/>
        <w:right w:val="none" w:sz="0" w:space="0" w:color="auto"/>
      </w:divBdr>
      <w:divsChild>
        <w:div w:id="959917604">
          <w:marLeft w:val="0"/>
          <w:marRight w:val="0"/>
          <w:marTop w:val="0"/>
          <w:marBottom w:val="0"/>
          <w:divBdr>
            <w:top w:val="none" w:sz="0" w:space="0" w:color="auto"/>
            <w:left w:val="none" w:sz="0" w:space="0" w:color="auto"/>
            <w:bottom w:val="none" w:sz="0" w:space="0" w:color="auto"/>
            <w:right w:val="none" w:sz="0" w:space="0" w:color="auto"/>
          </w:divBdr>
        </w:div>
        <w:div w:id="1106999215">
          <w:marLeft w:val="0"/>
          <w:marRight w:val="0"/>
          <w:marTop w:val="0"/>
          <w:marBottom w:val="0"/>
          <w:divBdr>
            <w:top w:val="none" w:sz="0" w:space="0" w:color="auto"/>
            <w:left w:val="none" w:sz="0" w:space="0" w:color="auto"/>
            <w:bottom w:val="none" w:sz="0" w:space="0" w:color="auto"/>
            <w:right w:val="none" w:sz="0" w:space="0" w:color="auto"/>
          </w:divBdr>
        </w:div>
      </w:divsChild>
    </w:div>
    <w:div w:id="701517985">
      <w:bodyDiv w:val="1"/>
      <w:marLeft w:val="0"/>
      <w:marRight w:val="0"/>
      <w:marTop w:val="0"/>
      <w:marBottom w:val="0"/>
      <w:divBdr>
        <w:top w:val="none" w:sz="0" w:space="0" w:color="auto"/>
        <w:left w:val="none" w:sz="0" w:space="0" w:color="auto"/>
        <w:bottom w:val="none" w:sz="0" w:space="0" w:color="auto"/>
        <w:right w:val="none" w:sz="0" w:space="0" w:color="auto"/>
      </w:divBdr>
      <w:divsChild>
        <w:div w:id="1623459756">
          <w:marLeft w:val="0"/>
          <w:marRight w:val="0"/>
          <w:marTop w:val="0"/>
          <w:marBottom w:val="0"/>
          <w:divBdr>
            <w:top w:val="none" w:sz="0" w:space="0" w:color="auto"/>
            <w:left w:val="none" w:sz="0" w:space="0" w:color="auto"/>
            <w:bottom w:val="none" w:sz="0" w:space="0" w:color="auto"/>
            <w:right w:val="none" w:sz="0" w:space="0" w:color="auto"/>
          </w:divBdr>
        </w:div>
        <w:div w:id="1647975664">
          <w:marLeft w:val="0"/>
          <w:marRight w:val="0"/>
          <w:marTop w:val="0"/>
          <w:marBottom w:val="0"/>
          <w:divBdr>
            <w:top w:val="none" w:sz="0" w:space="0" w:color="auto"/>
            <w:left w:val="none" w:sz="0" w:space="0" w:color="auto"/>
            <w:bottom w:val="none" w:sz="0" w:space="0" w:color="auto"/>
            <w:right w:val="none" w:sz="0" w:space="0" w:color="auto"/>
          </w:divBdr>
        </w:div>
        <w:div w:id="1155679978">
          <w:marLeft w:val="0"/>
          <w:marRight w:val="0"/>
          <w:marTop w:val="0"/>
          <w:marBottom w:val="0"/>
          <w:divBdr>
            <w:top w:val="none" w:sz="0" w:space="0" w:color="auto"/>
            <w:left w:val="none" w:sz="0" w:space="0" w:color="auto"/>
            <w:bottom w:val="none" w:sz="0" w:space="0" w:color="auto"/>
            <w:right w:val="none" w:sz="0" w:space="0" w:color="auto"/>
          </w:divBdr>
        </w:div>
      </w:divsChild>
    </w:div>
    <w:div w:id="972637621">
      <w:bodyDiv w:val="1"/>
      <w:marLeft w:val="0"/>
      <w:marRight w:val="0"/>
      <w:marTop w:val="0"/>
      <w:marBottom w:val="0"/>
      <w:divBdr>
        <w:top w:val="none" w:sz="0" w:space="0" w:color="auto"/>
        <w:left w:val="none" w:sz="0" w:space="0" w:color="auto"/>
        <w:bottom w:val="none" w:sz="0" w:space="0" w:color="auto"/>
        <w:right w:val="none" w:sz="0" w:space="0" w:color="auto"/>
      </w:divBdr>
    </w:div>
    <w:div w:id="2080665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yunzhenz</cp:lastModifiedBy>
  <cp:revision>33</cp:revision>
  <dcterms:created xsi:type="dcterms:W3CDTF">2026-04-07T08:30:00Z</dcterms:created>
  <dcterms:modified xsi:type="dcterms:W3CDTF">2026-04-10T07:20:00Z</dcterms:modified>
</cp:coreProperties>
</file>