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3A64EE">
      <w:pPr>
        <w:spacing w:line="480" w:lineRule="auto"/>
        <w:jc w:val="center"/>
      </w:pPr>
      <w:r>
        <w:rPr>
          <w:b/>
          <w:bCs/>
          <w:sz w:val="32"/>
          <w:szCs w:val="32"/>
        </w:rPr>
        <w:t xml:space="preserve">ESG </w:t>
      </w:r>
      <w:r>
        <w:rPr>
          <w:b/>
          <w:bCs/>
          <w:sz w:val="32"/>
          <w:szCs w:val="32"/>
        </w:rPr>
        <w:t>資訊系統的導入行為與「</w:t>
      </w:r>
      <w:proofErr w:type="gramStart"/>
      <w:r>
        <w:rPr>
          <w:b/>
          <w:bCs/>
          <w:sz w:val="32"/>
          <w:szCs w:val="32"/>
        </w:rPr>
        <w:t>漂綠</w:t>
      </w:r>
      <w:proofErr w:type="gramEnd"/>
      <w:r>
        <w:rPr>
          <w:b/>
          <w:bCs/>
          <w:sz w:val="32"/>
          <w:szCs w:val="32"/>
        </w:rPr>
        <w:t>」防範：</w:t>
      </w:r>
    </w:p>
    <w:p w:rsidR="00CF08A1" w:rsidRDefault="003A64EE">
      <w:pPr>
        <w:spacing w:line="480" w:lineRule="auto"/>
        <w:jc w:val="center"/>
      </w:pPr>
      <w:r>
        <w:rPr>
          <w:b/>
          <w:bCs/>
          <w:sz w:val="32"/>
          <w:szCs w:val="32"/>
        </w:rPr>
        <w:t>組織、員工與系統設計</w:t>
      </w:r>
      <w:proofErr w:type="gramStart"/>
      <w:r>
        <w:rPr>
          <w:b/>
          <w:bCs/>
          <w:sz w:val="32"/>
          <w:szCs w:val="32"/>
        </w:rPr>
        <w:t>三</w:t>
      </w:r>
      <w:proofErr w:type="gramEnd"/>
      <w:r>
        <w:rPr>
          <w:b/>
          <w:bCs/>
          <w:sz w:val="32"/>
          <w:szCs w:val="32"/>
        </w:rPr>
        <w:t>層次之研究架構探討</w:t>
      </w: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3A64EE">
      <w:pPr>
        <w:spacing w:line="480" w:lineRule="auto"/>
        <w:jc w:val="center"/>
      </w:pPr>
      <w:proofErr w:type="gramStart"/>
      <w:r>
        <w:t>鍾昀臻</w:t>
      </w:r>
      <w:proofErr w:type="gramEnd"/>
    </w:p>
    <w:p w:rsidR="00CF08A1" w:rsidRDefault="003A64EE">
      <w:pPr>
        <w:spacing w:line="480" w:lineRule="auto"/>
        <w:jc w:val="center"/>
      </w:pPr>
      <w:r>
        <w:t>國立中正大學</w:t>
      </w:r>
    </w:p>
    <w:p w:rsidR="00CF08A1" w:rsidRDefault="00CF08A1">
      <w:pPr>
        <w:spacing w:line="480" w:lineRule="auto"/>
      </w:pPr>
    </w:p>
    <w:p w:rsidR="00CF08A1" w:rsidRDefault="00CF08A1">
      <w:pPr>
        <w:spacing w:line="480" w:lineRule="auto"/>
      </w:pPr>
    </w:p>
    <w:p w:rsidR="00CF08A1" w:rsidRDefault="003A64EE">
      <w:pPr>
        <w:spacing w:line="480" w:lineRule="auto"/>
        <w:jc w:val="center"/>
      </w:pPr>
      <w:r>
        <w:t>中華民國</w:t>
      </w:r>
      <w:r>
        <w:t xml:space="preserve"> 115 </w:t>
      </w:r>
      <w:r>
        <w:t>年</w:t>
      </w:r>
      <w:r>
        <w:t xml:space="preserve"> 3 </w:t>
      </w:r>
      <w:r>
        <w:t>月</w:t>
      </w:r>
    </w:p>
    <w:p w:rsidR="00CF08A1" w:rsidRDefault="00CF08A1">
      <w:pPr>
        <w:sectPr w:rsidR="00CF08A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CF08A1" w:rsidRDefault="003A64EE">
      <w:pPr>
        <w:spacing w:before="480" w:after="240" w:line="480" w:lineRule="auto"/>
        <w:jc w:val="center"/>
      </w:pPr>
      <w:r>
        <w:rPr>
          <w:b/>
          <w:bCs/>
        </w:rPr>
        <w:lastRenderedPageBreak/>
        <w:t>壹、緒論</w:t>
      </w:r>
    </w:p>
    <w:p w:rsidR="00CF08A1" w:rsidRDefault="003A64EE">
      <w:pPr>
        <w:spacing w:before="360" w:after="240" w:line="480" w:lineRule="auto"/>
      </w:pPr>
      <w:r>
        <w:rPr>
          <w:b/>
          <w:bCs/>
        </w:rPr>
        <w:t>一、研究背景與動機</w:t>
      </w:r>
    </w:p>
    <w:p w:rsidR="00CF08A1" w:rsidRDefault="003A64EE" w:rsidP="002E6CD4">
      <w:pPr>
        <w:spacing w:line="480" w:lineRule="auto"/>
        <w:ind w:firstLine="480"/>
        <w:jc w:val="both"/>
      </w:pPr>
      <w:r>
        <w:t>隨著全球環境、社會與治理（</w:t>
      </w:r>
      <w:r>
        <w:t>ESG</w:t>
      </w:r>
      <w:r>
        <w:t>）法規日趨</w:t>
      </w:r>
      <w:proofErr w:type="gramStart"/>
      <w:r>
        <w:t>嚴格，</w:t>
      </w:r>
      <w:proofErr w:type="gramEnd"/>
      <w:r>
        <w:t>臺灣金管會已要求上市櫃公司分階段</w:t>
      </w:r>
      <w:proofErr w:type="gramStart"/>
      <w:r>
        <w:t>編製永續</w:t>
      </w:r>
      <w:proofErr w:type="gramEnd"/>
      <w:r>
        <w:t>報告書，企業導入</w:t>
      </w:r>
      <w:r>
        <w:t xml:space="preserve"> ESG </w:t>
      </w:r>
      <w:r>
        <w:t>資訊系統的需求快速增長。然而，「有系統」不等於「有落實」，更不等於「數據真實」。許多企業在永續</w:t>
      </w:r>
      <w:proofErr w:type="gramStart"/>
      <w:r>
        <w:t>與減碳承諾</w:t>
      </w:r>
      <w:proofErr w:type="gramEnd"/>
      <w:r>
        <w:t>上與實際成效之間存在顯著落差（張展豪，民</w:t>
      </w:r>
      <w:r>
        <w:t xml:space="preserve"> 113</w:t>
      </w:r>
      <w:r>
        <w:t>），而現有文獻主要從財務學或會計學角度</w:t>
      </w:r>
      <w:proofErr w:type="gramStart"/>
      <w:r>
        <w:t>探討漂綠</w:t>
      </w:r>
      <w:proofErr w:type="gramEnd"/>
      <w:r>
        <w:t>，鮮少從管理資訊系統（</w:t>
      </w:r>
      <w:r>
        <w:t>MIS</w:t>
      </w:r>
      <w:r>
        <w:t>）的視角切入，探討</w:t>
      </w:r>
      <w:r>
        <w:t xml:space="preserve"> ESG </w:t>
      </w:r>
      <w:r>
        <w:t>系統導入過程中的人機互動問題。本研究旨在填補此一研究缺口。</w:t>
      </w:r>
    </w:p>
    <w:p w:rsidR="00CF08A1" w:rsidRDefault="003A64EE">
      <w:pPr>
        <w:spacing w:before="360" w:after="240" w:line="480" w:lineRule="auto"/>
      </w:pPr>
      <w:r>
        <w:rPr>
          <w:b/>
          <w:bCs/>
        </w:rPr>
        <w:t>二、研究問題</w:t>
      </w:r>
    </w:p>
    <w:p w:rsidR="00CF08A1" w:rsidRDefault="003A64EE" w:rsidP="002E6CD4">
      <w:pPr>
        <w:spacing w:line="480" w:lineRule="auto"/>
        <w:jc w:val="both"/>
      </w:pPr>
      <w:r>
        <w:rPr>
          <w:b/>
          <w:bCs/>
        </w:rPr>
        <w:t>RQ1</w:t>
      </w:r>
      <w:r>
        <w:rPr>
          <w:b/>
          <w:bCs/>
        </w:rPr>
        <w:t>（組織層次）：</w:t>
      </w:r>
      <w:r>
        <w:t>哪些組織因素會導致企業導入</w:t>
      </w:r>
      <w:r>
        <w:t xml:space="preserve"> ESG </w:t>
      </w:r>
      <w:r>
        <w:t>系統後產生「政</w:t>
      </w:r>
      <w:r>
        <w:t>策</w:t>
      </w:r>
      <w:proofErr w:type="gramStart"/>
      <w:r>
        <w:t>─</w:t>
      </w:r>
      <w:proofErr w:type="gramEnd"/>
      <w:r>
        <w:t>實踐脫</w:t>
      </w:r>
      <w:proofErr w:type="gramStart"/>
      <w:r>
        <w:t>鉤</w:t>
      </w:r>
      <w:proofErr w:type="gramEnd"/>
      <w:r>
        <w:t>」（</w:t>
      </w:r>
      <w:r>
        <w:t>decoupling</w:t>
      </w:r>
      <w:r>
        <w:t>）現象？亦即系統僅作為產生永續報告書的工具，而未與企業核心營運流程整合。</w:t>
      </w:r>
    </w:p>
    <w:p w:rsidR="00CF08A1" w:rsidRDefault="00CF08A1" w:rsidP="002E6CD4">
      <w:pPr>
        <w:spacing w:line="480" w:lineRule="auto"/>
        <w:jc w:val="both"/>
      </w:pPr>
    </w:p>
    <w:p w:rsidR="00CF08A1" w:rsidRDefault="003A64EE" w:rsidP="002E6CD4">
      <w:pPr>
        <w:spacing w:line="480" w:lineRule="auto"/>
        <w:jc w:val="both"/>
      </w:pPr>
      <w:r>
        <w:rPr>
          <w:b/>
          <w:bCs/>
        </w:rPr>
        <w:t>RQ2</w:t>
      </w:r>
      <w:r>
        <w:rPr>
          <w:b/>
          <w:bCs/>
        </w:rPr>
        <w:t>（員工層次）：</w:t>
      </w:r>
      <w:r>
        <w:t>員工對</w:t>
      </w:r>
      <w:r>
        <w:t xml:space="preserve"> ESG </w:t>
      </w:r>
      <w:r>
        <w:t>系統的感知額外負擔與績效壓力，如何影響其數據輸入品質及美化數據的道德意圖？</w:t>
      </w:r>
    </w:p>
    <w:p w:rsidR="00CF08A1" w:rsidRDefault="00CF08A1" w:rsidP="002E6CD4">
      <w:pPr>
        <w:spacing w:line="480" w:lineRule="auto"/>
        <w:jc w:val="both"/>
      </w:pPr>
    </w:p>
    <w:p w:rsidR="00CF08A1" w:rsidRDefault="003A64EE" w:rsidP="002E6CD4">
      <w:pPr>
        <w:spacing w:line="480" w:lineRule="auto"/>
        <w:jc w:val="both"/>
      </w:pPr>
      <w:r>
        <w:rPr>
          <w:b/>
          <w:bCs/>
        </w:rPr>
        <w:t>RQ3</w:t>
      </w:r>
      <w:r>
        <w:rPr>
          <w:b/>
          <w:bCs/>
        </w:rPr>
        <w:t>（系統設計層次）：</w:t>
      </w:r>
      <w:r>
        <w:t xml:space="preserve">ESG </w:t>
      </w:r>
      <w:r>
        <w:t>系統在數據治理架構上（包含</w:t>
      </w:r>
      <w:r>
        <w:t xml:space="preserve"> </w:t>
      </w:r>
      <w:proofErr w:type="spellStart"/>
      <w:r>
        <w:t>IoT</w:t>
      </w:r>
      <w:proofErr w:type="spellEnd"/>
      <w:r>
        <w:t xml:space="preserve"> </w:t>
      </w:r>
      <w:r>
        <w:t>自動採集、不可篡改日誌、介面誠實推力）如何從機制上有效</w:t>
      </w:r>
      <w:proofErr w:type="gramStart"/>
      <w:r>
        <w:t>防範漂綠</w:t>
      </w:r>
      <w:proofErr w:type="gramEnd"/>
      <w:r>
        <w:t>，進而提升利害關係人對企業</w:t>
      </w:r>
      <w:r>
        <w:t xml:space="preserve"> ESG </w:t>
      </w:r>
      <w:r>
        <w:t>數據的信任度？</w:t>
      </w:r>
    </w:p>
    <w:p w:rsidR="00CF08A1" w:rsidRDefault="003A64EE">
      <w:pPr>
        <w:spacing w:before="360" w:after="240" w:line="480" w:lineRule="auto"/>
      </w:pPr>
      <w:r>
        <w:rPr>
          <w:b/>
          <w:bCs/>
        </w:rPr>
        <w:lastRenderedPageBreak/>
        <w:t>三、預期貢獻</w:t>
      </w:r>
    </w:p>
    <w:p w:rsidR="00CF08A1" w:rsidRDefault="003A64EE" w:rsidP="002E6CD4">
      <w:pPr>
        <w:spacing w:line="480" w:lineRule="auto"/>
        <w:ind w:firstLine="480"/>
        <w:jc w:val="both"/>
      </w:pPr>
      <w:r>
        <w:t>本研究擬將制度理論、科技接受模型與設計科學三大理論架構加以整合，建構跨層次的分析模型，以填補現有文獻缺乏從</w:t>
      </w:r>
      <w:r>
        <w:t xml:space="preserve"> MIS </w:t>
      </w:r>
      <w:r>
        <w:t>視角探討</w:t>
      </w:r>
      <w:r>
        <w:t xml:space="preserve"> ESG </w:t>
      </w:r>
      <w:r>
        <w:t>系統導入</w:t>
      </w:r>
      <w:proofErr w:type="gramStart"/>
      <w:r>
        <w:t>與漂綠防範</w:t>
      </w:r>
      <w:proofErr w:type="gramEnd"/>
      <w:r>
        <w:t>的缺口，並針對臺灣企業在供應鏈壓力與法規壓力下的</w:t>
      </w:r>
      <w:r>
        <w:t xml:space="preserve"> ESG </w:t>
      </w:r>
      <w:r>
        <w:t>實務提供具體建議。</w:t>
      </w:r>
    </w:p>
    <w:p w:rsidR="00CF08A1" w:rsidRDefault="003A64EE">
      <w:pPr>
        <w:spacing w:before="480" w:after="240" w:line="480" w:lineRule="auto"/>
        <w:jc w:val="center"/>
      </w:pPr>
      <w:r>
        <w:rPr>
          <w:b/>
          <w:bCs/>
        </w:rPr>
        <w:t>參考文獻</w:t>
      </w:r>
    </w:p>
    <w:p w:rsidR="00CF08A1" w:rsidRDefault="003A64EE" w:rsidP="002E6CD4">
      <w:pPr>
        <w:spacing w:line="480" w:lineRule="auto"/>
        <w:ind w:left="720" w:hanging="720"/>
        <w:jc w:val="both"/>
      </w:pPr>
      <w:r>
        <w:t>林宜美（民</w:t>
      </w:r>
      <w:r>
        <w:t xml:space="preserve"> 112</w:t>
      </w:r>
      <w:r>
        <w:t>）。台灣</w:t>
      </w:r>
      <w:proofErr w:type="gramStart"/>
      <w:r>
        <w:t>上市公司漂綠行為</w:t>
      </w:r>
      <w:proofErr w:type="gramEnd"/>
      <w:r>
        <w:t>之影響因素（碩士論文）。取自</w:t>
      </w:r>
      <w:r>
        <w:t xml:space="preserve"> https://ah.lib.nccu.edu.tw/bitstream/140.119/147750/1/305201.pdf</w:t>
      </w:r>
    </w:p>
    <w:p w:rsidR="00CF08A1" w:rsidRDefault="003A64EE" w:rsidP="002E6CD4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：以</w:t>
      </w:r>
      <w:r>
        <w:rPr>
          <w:i/>
          <w:iCs/>
          <w:color w:val="666666"/>
          <w:sz w:val="20"/>
          <w:szCs w:val="20"/>
        </w:rPr>
        <w:t xml:space="preserve"> TESG </w:t>
      </w:r>
      <w:r>
        <w:rPr>
          <w:i/>
          <w:iCs/>
          <w:color w:val="666666"/>
          <w:sz w:val="20"/>
          <w:szCs w:val="20"/>
        </w:rPr>
        <w:t>指標構</w:t>
      </w:r>
      <w:proofErr w:type="gramStart"/>
      <w:r>
        <w:rPr>
          <w:i/>
          <w:iCs/>
          <w:color w:val="666666"/>
          <w:sz w:val="20"/>
          <w:szCs w:val="20"/>
        </w:rPr>
        <w:t>建漂綠指數</w:t>
      </w:r>
      <w:proofErr w:type="gramEnd"/>
      <w:r>
        <w:rPr>
          <w:i/>
          <w:iCs/>
          <w:color w:val="666666"/>
          <w:sz w:val="20"/>
          <w:szCs w:val="20"/>
        </w:rPr>
        <w:t>，發現環境敏感</w:t>
      </w:r>
      <w:proofErr w:type="gramStart"/>
      <w:r>
        <w:rPr>
          <w:i/>
          <w:iCs/>
          <w:color w:val="666666"/>
          <w:sz w:val="20"/>
          <w:szCs w:val="20"/>
        </w:rPr>
        <w:t>產業漂綠</w:t>
      </w:r>
      <w:r>
        <w:rPr>
          <w:i/>
          <w:iCs/>
          <w:color w:val="666666"/>
          <w:sz w:val="20"/>
          <w:szCs w:val="20"/>
        </w:rPr>
        <w:t>可能性</w:t>
      </w:r>
      <w:proofErr w:type="gramEnd"/>
      <w:r>
        <w:rPr>
          <w:i/>
          <w:iCs/>
          <w:color w:val="666666"/>
          <w:sz w:val="20"/>
          <w:szCs w:val="20"/>
        </w:rPr>
        <w:t>較高</w:t>
      </w:r>
    </w:p>
    <w:p w:rsidR="00CF08A1" w:rsidRDefault="003A64EE" w:rsidP="002E6CD4">
      <w:pPr>
        <w:spacing w:line="480" w:lineRule="auto"/>
        <w:ind w:left="720" w:hanging="720"/>
        <w:jc w:val="both"/>
      </w:pPr>
      <w:r>
        <w:t>林楷翊（民</w:t>
      </w:r>
      <w:r>
        <w:t xml:space="preserve"> 110</w:t>
      </w:r>
      <w:r>
        <w:t>）。運用商業新聞與文字探</w:t>
      </w:r>
      <w:proofErr w:type="gramStart"/>
      <w:r>
        <w:t>勘</w:t>
      </w:r>
      <w:proofErr w:type="gramEnd"/>
      <w:r>
        <w:t>技術預測公司永續治理表現（碩士論文）。取自</w:t>
      </w:r>
      <w:r>
        <w:t xml:space="preserve"> https://tdr.lib.ntu.edu.tw/jspui/bitstream/123456789/79759/1/U0001-1708202116110200.pdf</w:t>
      </w:r>
    </w:p>
    <w:p w:rsidR="00CF08A1" w:rsidRDefault="003A64EE" w:rsidP="002E6CD4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RQ3</w:t>
      </w:r>
      <w:r>
        <w:rPr>
          <w:i/>
          <w:iCs/>
          <w:color w:val="666666"/>
          <w:sz w:val="20"/>
          <w:szCs w:val="20"/>
        </w:rPr>
        <w:t>：探討如何透過</w:t>
      </w:r>
      <w:r>
        <w:rPr>
          <w:i/>
          <w:iCs/>
          <w:color w:val="666666"/>
          <w:sz w:val="20"/>
          <w:szCs w:val="20"/>
        </w:rPr>
        <w:t xml:space="preserve"> NLP </w:t>
      </w:r>
      <w:r>
        <w:rPr>
          <w:i/>
          <w:iCs/>
          <w:color w:val="666666"/>
          <w:sz w:val="20"/>
          <w:szCs w:val="20"/>
        </w:rPr>
        <w:t>與深度學習自動化</w:t>
      </w:r>
      <w:r>
        <w:rPr>
          <w:i/>
          <w:iCs/>
          <w:color w:val="666666"/>
          <w:sz w:val="20"/>
          <w:szCs w:val="20"/>
        </w:rPr>
        <w:t xml:space="preserve"> ESG </w:t>
      </w:r>
      <w:r>
        <w:rPr>
          <w:i/>
          <w:iCs/>
          <w:color w:val="666666"/>
          <w:sz w:val="20"/>
          <w:szCs w:val="20"/>
        </w:rPr>
        <w:t>數據處理，降低人工輸入依賴</w:t>
      </w:r>
    </w:p>
    <w:p w:rsidR="00CF08A1" w:rsidRDefault="003A64EE" w:rsidP="002E6CD4">
      <w:pPr>
        <w:spacing w:line="480" w:lineRule="auto"/>
        <w:ind w:left="720" w:hanging="720"/>
        <w:jc w:val="both"/>
      </w:pP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）。可持續發展連結債券對企業</w:t>
      </w:r>
      <w:proofErr w:type="gramStart"/>
      <w:r>
        <w:t>之碳排</w:t>
      </w:r>
      <w:proofErr w:type="gramEnd"/>
      <w:r>
        <w:t>績效、市場價值</w:t>
      </w:r>
      <w:proofErr w:type="gramStart"/>
      <w:r>
        <w:t>及漂綠風險</w:t>
      </w:r>
      <w:proofErr w:type="gramEnd"/>
      <w:r>
        <w:t>之影響：實證研究（碩士論文）。取自</w:t>
      </w:r>
      <w:r>
        <w:t xml:space="preserve"> https://tdr.lib</w:t>
      </w:r>
      <w:r>
        <w:t>.ntu.edu.tw/retrieve/ef6eb6b7-6f7d-41a7-88c7-651d60d54430/ntu-113-2.pdf</w:t>
      </w:r>
    </w:p>
    <w:p w:rsidR="00CF08A1" w:rsidRDefault="003A64EE" w:rsidP="002E6CD4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：探討財務誘因如何影響企業從「象徵性服從」轉向實質轉型</w:t>
      </w:r>
    </w:p>
    <w:p w:rsidR="00CF08A1" w:rsidRDefault="003A64EE" w:rsidP="002E6CD4">
      <w:pPr>
        <w:spacing w:line="480" w:lineRule="auto"/>
        <w:ind w:left="720" w:hanging="720"/>
        <w:jc w:val="both"/>
      </w:pPr>
      <w:proofErr w:type="gramStart"/>
      <w:r>
        <w:t>胡詠晴</w:t>
      </w:r>
      <w:proofErr w:type="gramEnd"/>
      <w:r>
        <w:t>（民</w:t>
      </w:r>
      <w:r>
        <w:t xml:space="preserve"> 114</w:t>
      </w:r>
      <w:r>
        <w:t>）。</w:t>
      </w:r>
      <w:r>
        <w:t xml:space="preserve">ESG </w:t>
      </w:r>
      <w:r>
        <w:t>對企業永續的發展與限制</w:t>
      </w:r>
      <w:proofErr w:type="gramStart"/>
      <w:r>
        <w:t>—</w:t>
      </w:r>
      <w:proofErr w:type="gramEnd"/>
      <w:r>
        <w:t>以某電子業上市公司為例（碩士論文）。取自</w:t>
      </w:r>
      <w:r>
        <w:t xml:space="preserve"> https://tdr.lib.ntu.edu.tw/jspui/retrieve/a258b606-8ab4-4e4b-afbf-c23d96eefdc5/ntu-113-1.pdf</w:t>
      </w:r>
    </w:p>
    <w:p w:rsidR="00CF08A1" w:rsidRDefault="003A64EE" w:rsidP="002E6CD4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</w:t>
      </w:r>
      <w:r>
        <w:rPr>
          <w:i/>
          <w:iCs/>
          <w:color w:val="666666"/>
          <w:sz w:val="20"/>
          <w:szCs w:val="20"/>
        </w:rPr>
        <w:t>1</w:t>
      </w:r>
      <w:r>
        <w:rPr>
          <w:i/>
          <w:iCs/>
          <w:color w:val="666666"/>
          <w:sz w:val="20"/>
          <w:szCs w:val="20"/>
        </w:rPr>
        <w:t>：透過永續報告書內容分析與訪談，探討企業</w:t>
      </w:r>
      <w:r>
        <w:rPr>
          <w:i/>
          <w:iCs/>
          <w:color w:val="666666"/>
          <w:sz w:val="20"/>
          <w:szCs w:val="20"/>
        </w:rPr>
        <w:t xml:space="preserve"> ESG </w:t>
      </w:r>
      <w:r>
        <w:rPr>
          <w:i/>
          <w:iCs/>
          <w:color w:val="666666"/>
          <w:sz w:val="20"/>
          <w:szCs w:val="20"/>
        </w:rPr>
        <w:t>行為的象徵性與實質性差異</w:t>
      </w:r>
    </w:p>
    <w:p w:rsidR="00CF08A1" w:rsidRDefault="003A64EE" w:rsidP="002E6CD4">
      <w:pPr>
        <w:spacing w:line="480" w:lineRule="auto"/>
        <w:ind w:left="720" w:hanging="720"/>
        <w:jc w:val="both"/>
      </w:pPr>
      <w:r>
        <w:t>張展豪（民</w:t>
      </w:r>
      <w:r>
        <w:t xml:space="preserve"> 113</w:t>
      </w:r>
      <w:r>
        <w:t>）。</w:t>
      </w:r>
      <w:proofErr w:type="gramStart"/>
      <w:r>
        <w:t>企業漂綠行為</w:t>
      </w:r>
      <w:proofErr w:type="gramEnd"/>
      <w:r>
        <w:t>評估架構之研究（碩士論文）。取自</w:t>
      </w:r>
      <w:r>
        <w:t xml:space="preserve"> </w:t>
      </w:r>
      <w:r>
        <w:lastRenderedPageBreak/>
        <w:t>https://tdr.lib.ntu.edu.tw/retrieve/2eff16aa-d4ba-47c9-b77e-f3043a01f1b0/ntu-112-2.pdf</w:t>
      </w:r>
    </w:p>
    <w:p w:rsidR="00CF08A1" w:rsidRDefault="003A64EE" w:rsidP="002E6CD4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、</w:t>
      </w:r>
      <w:r>
        <w:rPr>
          <w:i/>
          <w:iCs/>
          <w:color w:val="666666"/>
          <w:sz w:val="20"/>
          <w:szCs w:val="20"/>
        </w:rPr>
        <w:t>RQ3</w:t>
      </w:r>
      <w:r>
        <w:rPr>
          <w:i/>
          <w:iCs/>
          <w:color w:val="666666"/>
          <w:sz w:val="20"/>
          <w:szCs w:val="20"/>
        </w:rPr>
        <w:t>：建置適用於臺灣企業</w:t>
      </w:r>
      <w:proofErr w:type="gramStart"/>
      <w:r>
        <w:rPr>
          <w:i/>
          <w:iCs/>
          <w:color w:val="666666"/>
          <w:sz w:val="20"/>
          <w:szCs w:val="20"/>
        </w:rPr>
        <w:t>的漂綠評估</w:t>
      </w:r>
      <w:proofErr w:type="gramEnd"/>
      <w:r>
        <w:rPr>
          <w:i/>
          <w:iCs/>
          <w:color w:val="666666"/>
          <w:sz w:val="20"/>
          <w:szCs w:val="20"/>
        </w:rPr>
        <w:t>工具，可作為</w:t>
      </w:r>
      <w:proofErr w:type="gramStart"/>
      <w:r>
        <w:rPr>
          <w:i/>
          <w:iCs/>
          <w:color w:val="666666"/>
          <w:sz w:val="20"/>
          <w:szCs w:val="20"/>
        </w:rPr>
        <w:t>系統漂綠偵測</w:t>
      </w:r>
      <w:proofErr w:type="gramEnd"/>
      <w:r>
        <w:rPr>
          <w:i/>
          <w:iCs/>
          <w:color w:val="666666"/>
          <w:sz w:val="20"/>
          <w:szCs w:val="20"/>
        </w:rPr>
        <w:t>機制的參考</w:t>
      </w:r>
      <w:bookmarkStart w:id="0" w:name="_GoBack"/>
      <w:bookmarkEnd w:id="0"/>
    </w:p>
    <w:sectPr w:rsidR="00CF08A1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4EE" w:rsidRDefault="003A64EE">
      <w:r>
        <w:separator/>
      </w:r>
    </w:p>
  </w:endnote>
  <w:endnote w:type="continuationSeparator" w:id="0">
    <w:p w:rsidR="003A64EE" w:rsidRDefault="003A6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8A1" w:rsidRDefault="003A64E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5D53BC">
      <w:rPr>
        <w:sz w:val="20"/>
        <w:szCs w:val="20"/>
      </w:rPr>
      <w:fldChar w:fldCharType="separate"/>
    </w:r>
    <w:r w:rsidR="002E6CD4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4EE" w:rsidRDefault="003A64EE">
      <w:r>
        <w:separator/>
      </w:r>
    </w:p>
  </w:footnote>
  <w:footnote w:type="continuationSeparator" w:id="0">
    <w:p w:rsidR="003A64EE" w:rsidRDefault="003A6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08A1" w:rsidRDefault="003A64EE">
    <w:pPr>
      <w:jc w:val="right"/>
    </w:pPr>
    <w:r>
      <w:rPr>
        <w:sz w:val="20"/>
        <w:szCs w:val="20"/>
      </w:rPr>
      <w:t xml:space="preserve">ESG </w:t>
    </w:r>
    <w:r>
      <w:rPr>
        <w:sz w:val="20"/>
        <w:szCs w:val="20"/>
      </w:rPr>
      <w:t>資訊系統導入</w:t>
    </w:r>
    <w:proofErr w:type="gramStart"/>
    <w:r>
      <w:rPr>
        <w:sz w:val="20"/>
        <w:szCs w:val="20"/>
      </w:rPr>
      <w:t>與漂綠防範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40450"/>
    <w:multiLevelType w:val="hybridMultilevel"/>
    <w:tmpl w:val="5776ABE0"/>
    <w:lvl w:ilvl="0" w:tplc="2CFAFA18">
      <w:start w:val="1"/>
      <w:numFmt w:val="bullet"/>
      <w:lvlText w:val="●"/>
      <w:lvlJc w:val="left"/>
      <w:pPr>
        <w:ind w:left="720" w:hanging="360"/>
      </w:pPr>
    </w:lvl>
    <w:lvl w:ilvl="1" w:tplc="1FCAE7EC">
      <w:start w:val="1"/>
      <w:numFmt w:val="bullet"/>
      <w:lvlText w:val="○"/>
      <w:lvlJc w:val="left"/>
      <w:pPr>
        <w:ind w:left="1440" w:hanging="360"/>
      </w:pPr>
    </w:lvl>
    <w:lvl w:ilvl="2" w:tplc="0950909A">
      <w:start w:val="1"/>
      <w:numFmt w:val="bullet"/>
      <w:lvlText w:val="■"/>
      <w:lvlJc w:val="left"/>
      <w:pPr>
        <w:ind w:left="2160" w:hanging="360"/>
      </w:pPr>
    </w:lvl>
    <w:lvl w:ilvl="3" w:tplc="E0C0B0EC">
      <w:start w:val="1"/>
      <w:numFmt w:val="bullet"/>
      <w:lvlText w:val="●"/>
      <w:lvlJc w:val="left"/>
      <w:pPr>
        <w:ind w:left="2880" w:hanging="360"/>
      </w:pPr>
    </w:lvl>
    <w:lvl w:ilvl="4" w:tplc="D5A6D05E">
      <w:start w:val="1"/>
      <w:numFmt w:val="bullet"/>
      <w:lvlText w:val="○"/>
      <w:lvlJc w:val="left"/>
      <w:pPr>
        <w:ind w:left="3600" w:hanging="360"/>
      </w:pPr>
    </w:lvl>
    <w:lvl w:ilvl="5" w:tplc="3B464468">
      <w:start w:val="1"/>
      <w:numFmt w:val="bullet"/>
      <w:lvlText w:val="■"/>
      <w:lvlJc w:val="left"/>
      <w:pPr>
        <w:ind w:left="4320" w:hanging="360"/>
      </w:pPr>
    </w:lvl>
    <w:lvl w:ilvl="6" w:tplc="AB963650">
      <w:start w:val="1"/>
      <w:numFmt w:val="bullet"/>
      <w:lvlText w:val="●"/>
      <w:lvlJc w:val="left"/>
      <w:pPr>
        <w:ind w:left="5040" w:hanging="360"/>
      </w:pPr>
    </w:lvl>
    <w:lvl w:ilvl="7" w:tplc="112C077A">
      <w:start w:val="1"/>
      <w:numFmt w:val="bullet"/>
      <w:lvlText w:val="●"/>
      <w:lvlJc w:val="left"/>
      <w:pPr>
        <w:ind w:left="5760" w:hanging="360"/>
      </w:pPr>
    </w:lvl>
    <w:lvl w:ilvl="8" w:tplc="434C3D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8A1"/>
    <w:rsid w:val="002E6CD4"/>
    <w:rsid w:val="003A64EE"/>
    <w:rsid w:val="005D53BC"/>
    <w:rsid w:val="00CF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BC2C5E-8803-47A0-8804-92F62416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yunzhenz</cp:lastModifiedBy>
  <cp:revision>2</cp:revision>
  <dcterms:created xsi:type="dcterms:W3CDTF">2026-03-20T02:53:00Z</dcterms:created>
  <dcterms:modified xsi:type="dcterms:W3CDTF">2026-03-20T03:06:00Z</dcterms:modified>
</cp:coreProperties>
</file>