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4"/>
        </w:rPr>
        <w:t>Lab 1 – Requirements Table</w:t>
      </w:r>
    </w:p>
    <w:p>
      <w:pPr>
        <w:spacing w:after="40"/>
        <w:jc w:val="center"/>
      </w:pPr>
      <w:r>
        <w:rPr>
          <w:b w:val="0"/>
          <w:sz w:val="22"/>
        </w:rPr>
        <w:t>Requirements Engineering &amp; UML Use-Case Modelling</w:t>
      </w:r>
    </w:p>
    <w:p>
      <w:pPr>
        <w:spacing w:after="40"/>
        <w:jc w:val="center"/>
      </w:pPr>
      <w:r>
        <w:rPr>
          <w:b/>
          <w:sz w:val="22"/>
        </w:rPr>
        <w:t>Problem Statement #53 — Freelance Content Creator Escrow Platform</w:t>
      </w:r>
    </w:p>
    <w:p>
      <w:pPr>
        <w:spacing w:after="200"/>
        <w:jc w:val="center"/>
      </w:pPr>
      <w:r>
        <w:rPr>
          <w:b/>
          <w:sz w:val="21"/>
        </w:rPr>
        <w:t>AMOGH SHARMA   |   PES1UG24CS053</w:t>
      </w:r>
    </w:p>
    <w:p>
      <w:pPr>
        <w:spacing w:before="80" w:after="80"/>
      </w:pPr>
      <w:r>
        <w:rPr>
          <w:b/>
          <w:color w:val="1F3B73"/>
          <w:sz w:val="24"/>
        </w:rPr>
        <w:t>1. Scenario &amp; Actors</w:t>
      </w:r>
    </w:p>
    <w:p>
      <w:pPr>
        <w:spacing w:after="60"/>
      </w:pPr>
      <w:r>
        <w:rPr>
          <w:sz w:val="20"/>
        </w:rPr>
        <w:t>A freelance contract management system that lets Content Creators and Client Sponsors agree on deliverable milestones, fund those milestones into escrow, exchange watermarked draft assets for review, and release locked payments only after an explicit sponsor sign-off.</w:t>
      </w:r>
    </w:p>
    <w:p>
      <w:r>
        <w:rPr>
          <w:b/>
          <w:sz w:val="20"/>
        </w:rPr>
        <w:t xml:space="preserve">Actors identified: </w:t>
      </w:r>
      <w:r>
        <w:rPr>
          <w:sz w:val="20"/>
        </w:rPr>
        <w:t>Content Creator, Client Sponsor, Payment Gateway (external system), Platform Admin.</w:t>
      </w:r>
    </w:p>
    <w:p>
      <w:pPr>
        <w:spacing w:before="200" w:after="80"/>
      </w:pPr>
      <w:r>
        <w:rPr>
          <w:b/>
          <w:color w:val="1F3B73"/>
          <w:sz w:val="24"/>
        </w:rPr>
        <w:t>2. Functional Requirements (FR-001 – FR-005)</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c>
          <w:tcPr>
            <w:tcW w:type="dxa" w:w="1077"/>
            <w:shd w:val="clear" w:fill="DCE3F5"/>
          </w:tcPr>
          <w:p>
            <w:pPr>
              <w:spacing w:before="40" w:after="40"/>
            </w:pPr>
            <w:r>
              <w:rPr>
                <w:b/>
                <w:sz w:val="18"/>
              </w:rPr>
              <w:t>Req ID</w:t>
            </w:r>
          </w:p>
        </w:tc>
        <w:tc>
          <w:tcPr>
            <w:tcW w:type="dxa" w:w="1474"/>
            <w:shd w:val="clear" w:fill="DCE3F5"/>
          </w:tcPr>
          <w:p>
            <w:pPr>
              <w:spacing w:before="40" w:after="40"/>
            </w:pPr>
            <w:r>
              <w:rPr>
                <w:b/>
                <w:sz w:val="18"/>
              </w:rPr>
              <w:t>Type</w:t>
            </w:r>
          </w:p>
        </w:tc>
        <w:tc>
          <w:tcPr>
            <w:tcW w:type="dxa" w:w="4139"/>
            <w:shd w:val="clear" w:fill="DCE3F5"/>
          </w:tcPr>
          <w:p>
            <w:pPr>
              <w:spacing w:before="40" w:after="40"/>
            </w:pPr>
            <w:r>
              <w:rPr>
                <w:b/>
                <w:sz w:val="18"/>
              </w:rPr>
              <w:t>Description</w:t>
            </w:r>
          </w:p>
        </w:tc>
        <w:tc>
          <w:tcPr>
            <w:tcW w:type="dxa" w:w="964"/>
            <w:shd w:val="clear" w:fill="DCE3F5"/>
          </w:tcPr>
          <w:p>
            <w:pPr>
              <w:spacing w:before="40" w:after="40"/>
            </w:pPr>
            <w:r>
              <w:rPr>
                <w:b/>
                <w:sz w:val="18"/>
              </w:rPr>
              <w:t>Priority</w:t>
            </w:r>
          </w:p>
        </w:tc>
        <w:tc>
          <w:tcPr>
            <w:tcW w:type="dxa" w:w="4252"/>
            <w:shd w:val="clear" w:fill="DCE3F5"/>
          </w:tcPr>
          <w:p>
            <w:pPr>
              <w:spacing w:before="40" w:after="40"/>
            </w:pPr>
            <w:r>
              <w:rPr>
                <w:b/>
                <w:sz w:val="18"/>
              </w:rPr>
              <w:t>Acceptance Criteria (measurable pass/fail)</w:t>
            </w:r>
          </w:p>
        </w:tc>
        <w:tc>
          <w:tcPr>
            <w:tcW w:type="dxa" w:w="3345"/>
            <w:shd w:val="clear" w:fill="DCE3F5"/>
          </w:tcPr>
          <w:p>
            <w:pPr>
              <w:spacing w:before="40" w:after="40"/>
            </w:pPr>
            <w:r>
              <w:rPr>
                <w:b/>
                <w:sz w:val="18"/>
              </w:rPr>
              <w:t>Rationale (short)</w:t>
            </w:r>
          </w:p>
        </w:tc>
      </w:tr>
      <w:tr>
        <w:tc>
          <w:tcPr>
            <w:tcW w:type="dxa" w:w="1077"/>
          </w:tcPr>
          <w:p>
            <w:pPr>
              <w:spacing w:before="40" w:after="40"/>
            </w:pPr>
            <w:r>
              <w:rPr>
                <w:b/>
                <w:sz w:val="17"/>
              </w:rPr>
              <w:t>FR-001</w:t>
            </w:r>
          </w:p>
        </w:tc>
        <w:tc>
          <w:tcPr>
            <w:tcW w:type="dxa" w:w="1474"/>
          </w:tcPr>
          <w:p>
            <w:pPr>
              <w:spacing w:before="40" w:after="40"/>
            </w:pPr>
            <w:r>
              <w:rPr>
                <w:b w:val="0"/>
                <w:sz w:val="17"/>
              </w:rPr>
              <w:t>Functional</w:t>
            </w:r>
          </w:p>
        </w:tc>
        <w:tc>
          <w:tcPr>
            <w:tcW w:type="dxa" w:w="4139"/>
          </w:tcPr>
          <w:p>
            <w:pPr>
              <w:spacing w:before="40" w:after="40"/>
            </w:pPr>
            <w:r>
              <w:rPr>
                <w:b w:val="0"/>
                <w:sz w:val="17"/>
              </w:rPr>
              <w:t>The system shall allow a Content Creator to submit a draft media deliverable against a milestone for Client Sponsor review, and shall release the locked milestone payment to the creator's balance only after the sponsor records an approval sign-off.</w:t>
            </w:r>
          </w:p>
        </w:tc>
        <w:tc>
          <w:tcPr>
            <w:tcW w:type="dxa" w:w="964"/>
          </w:tcPr>
          <w:p>
            <w:pPr>
              <w:spacing w:before="40" w:after="40"/>
            </w:pPr>
            <w:r>
              <w:rPr>
                <w:b w:val="0"/>
                <w:sz w:val="17"/>
              </w:rPr>
              <w:t>High</w:t>
            </w:r>
          </w:p>
        </w:tc>
        <w:tc>
          <w:tcPr>
            <w:tcW w:type="dxa" w:w="4252"/>
          </w:tcPr>
          <w:p>
            <w:pPr>
              <w:spacing w:before="40" w:after="40"/>
            </w:pPr>
            <w:r>
              <w:rPr>
                <w:b/>
                <w:sz w:val="17"/>
              </w:rPr>
              <w:t xml:space="preserve">Pass: </w:t>
            </w:r>
            <w:r>
              <w:rPr>
                <w:b w:val="0"/>
                <w:sz w:val="17"/>
              </w:rPr>
              <w:t xml:space="preserve">milestone state moves SUBMITTED → APPROVED → PAID and the escrowed amount is credited to the creator balance within 1 business day of sign-off. </w:t>
            </w:r>
            <w:r>
              <w:rPr>
                <w:b/>
                <w:sz w:val="17"/>
              </w:rPr>
              <w:t xml:space="preserve">Fail: </w:t>
            </w:r>
            <w:r>
              <w:rPr>
                <w:b w:val="0"/>
                <w:sz w:val="17"/>
              </w:rPr>
              <w:t>funds move to the creator while the milestone sign-off flag is false.</w:t>
            </w:r>
          </w:p>
        </w:tc>
        <w:tc>
          <w:tcPr>
            <w:tcW w:type="dxa" w:w="3345"/>
          </w:tcPr>
          <w:p>
            <w:pPr>
              <w:spacing w:before="40" w:after="40"/>
            </w:pPr>
            <w:r>
              <w:rPr>
                <w:b w:val="0"/>
                <w:sz w:val="17"/>
              </w:rPr>
              <w:t>Core escrow guarantee — it is the single behaviour that makes the platform trustworthy to both parties.</w:t>
            </w:r>
          </w:p>
        </w:tc>
      </w:tr>
      <w:tr>
        <w:tc>
          <w:tcPr>
            <w:tcW w:type="dxa" w:w="1077"/>
          </w:tcPr>
          <w:p>
            <w:pPr>
              <w:spacing w:before="40" w:after="40"/>
            </w:pPr>
            <w:r>
              <w:rPr>
                <w:b/>
                <w:sz w:val="17"/>
              </w:rPr>
              <w:t>FR-002</w:t>
            </w:r>
          </w:p>
        </w:tc>
        <w:tc>
          <w:tcPr>
            <w:tcW w:type="dxa" w:w="1474"/>
          </w:tcPr>
          <w:p>
            <w:pPr>
              <w:spacing w:before="40" w:after="40"/>
            </w:pPr>
            <w:r>
              <w:rPr>
                <w:b w:val="0"/>
                <w:sz w:val="17"/>
              </w:rPr>
              <w:t>Functional</w:t>
            </w:r>
          </w:p>
        </w:tc>
        <w:tc>
          <w:tcPr>
            <w:tcW w:type="dxa" w:w="4139"/>
          </w:tcPr>
          <w:p>
            <w:pPr>
              <w:spacing w:before="40" w:after="40"/>
            </w:pPr>
            <w:r>
              <w:rPr>
                <w:b w:val="0"/>
                <w:sz w:val="17"/>
              </w:rPr>
              <w:t>The system shall allow a Client Sponsor to create a contract by defining 1–20 milestones, each with a title, due date and amount, and shall require the full contract value to be funded into escrow before the contract becomes ACTIVE.</w:t>
            </w:r>
          </w:p>
        </w:tc>
        <w:tc>
          <w:tcPr>
            <w:tcW w:type="dxa" w:w="964"/>
          </w:tcPr>
          <w:p>
            <w:pPr>
              <w:spacing w:before="40" w:after="40"/>
            </w:pPr>
            <w:r>
              <w:rPr>
                <w:b w:val="0"/>
                <w:sz w:val="17"/>
              </w:rPr>
              <w:t>High</w:t>
            </w:r>
          </w:p>
        </w:tc>
        <w:tc>
          <w:tcPr>
            <w:tcW w:type="dxa" w:w="4252"/>
          </w:tcPr>
          <w:p>
            <w:pPr>
              <w:spacing w:before="40" w:after="40"/>
            </w:pPr>
            <w:r>
              <w:rPr>
                <w:b/>
                <w:sz w:val="17"/>
              </w:rPr>
              <w:t xml:space="preserve">Pass: </w:t>
            </w:r>
            <w:r>
              <w:rPr>
                <w:b w:val="0"/>
                <w:sz w:val="17"/>
              </w:rPr>
              <w:t xml:space="preserve">a contract with an unfunded balance greater than zero stays in DRAFT and the creator cannot upload against it. </w:t>
            </w:r>
            <w:r>
              <w:rPr>
                <w:b/>
                <w:sz w:val="17"/>
              </w:rPr>
              <w:t xml:space="preserve">Fail: </w:t>
            </w:r>
            <w:r>
              <w:rPr>
                <w:b w:val="0"/>
                <w:sz w:val="17"/>
              </w:rPr>
              <w:t>contract reaches ACTIVE while escrow balance is less than the total milestone value.</w:t>
            </w:r>
          </w:p>
        </w:tc>
        <w:tc>
          <w:tcPr>
            <w:tcW w:type="dxa" w:w="3345"/>
          </w:tcPr>
          <w:p>
            <w:pPr>
              <w:spacing w:before="40" w:after="40"/>
            </w:pPr>
            <w:r>
              <w:rPr>
                <w:b w:val="0"/>
                <w:sz w:val="17"/>
              </w:rPr>
              <w:t>Prevents the classic freelance failure mode of a client disappearing without funds committed.</w:t>
            </w:r>
          </w:p>
        </w:tc>
      </w:tr>
      <w:tr>
        <w:tc>
          <w:tcPr>
            <w:tcW w:type="dxa" w:w="1077"/>
          </w:tcPr>
          <w:p>
            <w:pPr>
              <w:spacing w:before="40" w:after="40"/>
            </w:pPr>
            <w:r>
              <w:rPr>
                <w:b/>
                <w:sz w:val="17"/>
              </w:rPr>
              <w:t>FR-003</w:t>
            </w:r>
          </w:p>
        </w:tc>
        <w:tc>
          <w:tcPr>
            <w:tcW w:type="dxa" w:w="1474"/>
          </w:tcPr>
          <w:p>
            <w:pPr>
              <w:spacing w:before="40" w:after="40"/>
            </w:pPr>
            <w:r>
              <w:rPr>
                <w:b w:val="0"/>
                <w:sz w:val="17"/>
              </w:rPr>
              <w:t>Functional</w:t>
            </w:r>
          </w:p>
        </w:tc>
        <w:tc>
          <w:tcPr>
            <w:tcW w:type="dxa" w:w="4139"/>
          </w:tcPr>
          <w:p>
            <w:pPr>
              <w:spacing w:before="40" w:after="40"/>
            </w:pPr>
            <w:r>
              <w:rPr>
                <w:b w:val="0"/>
                <w:sz w:val="17"/>
              </w:rPr>
              <w:t>The system shall serve every draft deliverable to the Client Sponsor only as an automatically watermarked preview (creator name + contract ID + timestamp burned in), and shall block download of the original asset until the milestone is marked PAID.</w:t>
            </w:r>
          </w:p>
        </w:tc>
        <w:tc>
          <w:tcPr>
            <w:tcW w:type="dxa" w:w="964"/>
          </w:tcPr>
          <w:p>
            <w:pPr>
              <w:spacing w:before="40" w:after="40"/>
            </w:pPr>
            <w:r>
              <w:rPr>
                <w:b w:val="0"/>
                <w:sz w:val="17"/>
              </w:rPr>
              <w:t>High</w:t>
            </w:r>
          </w:p>
        </w:tc>
        <w:tc>
          <w:tcPr>
            <w:tcW w:type="dxa" w:w="4252"/>
          </w:tcPr>
          <w:p>
            <w:pPr>
              <w:spacing w:before="40" w:after="40"/>
            </w:pPr>
            <w:r>
              <w:rPr>
                <w:b/>
                <w:sz w:val="17"/>
              </w:rPr>
              <w:t xml:space="preserve">Pass: </w:t>
            </w:r>
            <w:r>
              <w:rPr>
                <w:b w:val="0"/>
                <w:sz w:val="17"/>
              </w:rPr>
              <w:t xml:space="preserve">a GET on the original-asset URL before payment returns HTTP 403, and the preview returned carries a visible watermark. </w:t>
            </w:r>
            <w:r>
              <w:rPr>
                <w:b/>
                <w:sz w:val="17"/>
              </w:rPr>
              <w:t xml:space="preserve">Fail: </w:t>
            </w:r>
            <w:r>
              <w:rPr>
                <w:b w:val="0"/>
                <w:sz w:val="17"/>
              </w:rPr>
              <w:t>an un-watermarked original is retrievable pre-payment.</w:t>
            </w:r>
          </w:p>
        </w:tc>
        <w:tc>
          <w:tcPr>
            <w:tcW w:type="dxa" w:w="3345"/>
          </w:tcPr>
          <w:p>
            <w:pPr>
              <w:spacing w:before="40" w:after="40"/>
            </w:pPr>
            <w:r>
              <w:rPr>
                <w:b w:val="0"/>
                <w:sz w:val="17"/>
              </w:rPr>
              <w:t>Protects the creator's unpaid work from being used without release of the escrowed funds.</w:t>
            </w:r>
          </w:p>
        </w:tc>
      </w:tr>
      <w:tr>
        <w:tc>
          <w:tcPr>
            <w:tcW w:type="dxa" w:w="1077"/>
          </w:tcPr>
          <w:p>
            <w:pPr>
              <w:spacing w:before="40" w:after="40"/>
            </w:pPr>
            <w:r>
              <w:rPr>
                <w:b/>
                <w:sz w:val="17"/>
              </w:rPr>
              <w:t>FR-004</w:t>
            </w:r>
          </w:p>
        </w:tc>
        <w:tc>
          <w:tcPr>
            <w:tcW w:type="dxa" w:w="1474"/>
          </w:tcPr>
          <w:p>
            <w:pPr>
              <w:spacing w:before="40" w:after="40"/>
            </w:pPr>
            <w:r>
              <w:rPr>
                <w:b w:val="0"/>
                <w:sz w:val="17"/>
              </w:rPr>
              <w:t>Functional</w:t>
            </w:r>
          </w:p>
        </w:tc>
        <w:tc>
          <w:tcPr>
            <w:tcW w:type="dxa" w:w="4139"/>
          </w:tcPr>
          <w:p>
            <w:pPr>
              <w:spacing w:before="40" w:after="40"/>
            </w:pPr>
            <w:r>
              <w:rPr>
                <w:b w:val="0"/>
                <w:sz w:val="17"/>
              </w:rPr>
              <w:t>The system shall allow a Client Sponsor to reject a submitted draft with a mandatory written reason, which returns the milestone to REVISION_REQUESTED and lets the Content Creator upload a new version while retaining all previous versions.</w:t>
            </w:r>
          </w:p>
        </w:tc>
        <w:tc>
          <w:tcPr>
            <w:tcW w:type="dxa" w:w="964"/>
          </w:tcPr>
          <w:p>
            <w:pPr>
              <w:spacing w:before="40" w:after="40"/>
            </w:pPr>
            <w:r>
              <w:rPr>
                <w:b w:val="0"/>
                <w:sz w:val="17"/>
              </w:rPr>
              <w:t>Medium</w:t>
            </w:r>
          </w:p>
        </w:tc>
        <w:tc>
          <w:tcPr>
            <w:tcW w:type="dxa" w:w="4252"/>
          </w:tcPr>
          <w:p>
            <w:pPr>
              <w:spacing w:before="40" w:after="40"/>
            </w:pPr>
            <w:r>
              <w:rPr>
                <w:b/>
                <w:sz w:val="17"/>
              </w:rPr>
              <w:t xml:space="preserve">Pass: </w:t>
            </w:r>
            <w:r>
              <w:rPr>
                <w:b w:val="0"/>
                <w:sz w:val="17"/>
              </w:rPr>
              <w:t xml:space="preserve">rejection without a reason of at least 20 characters is refused; after a valid rejection the milestone shows REVISION_REQUESTED and both v1 and v2 remain listed and openable. </w:t>
            </w:r>
            <w:r>
              <w:rPr>
                <w:b/>
                <w:sz w:val="17"/>
              </w:rPr>
              <w:t xml:space="preserve">Fail: </w:t>
            </w:r>
            <w:r>
              <w:rPr>
                <w:b w:val="0"/>
                <w:sz w:val="17"/>
              </w:rPr>
              <w:t>a prior version is overwritten or lost.</w:t>
            </w:r>
          </w:p>
        </w:tc>
        <w:tc>
          <w:tcPr>
            <w:tcW w:type="dxa" w:w="3345"/>
          </w:tcPr>
          <w:p>
            <w:pPr>
              <w:spacing w:before="40" w:after="40"/>
            </w:pPr>
            <w:r>
              <w:rPr>
                <w:b w:val="0"/>
                <w:sz w:val="17"/>
              </w:rPr>
              <w:t>Review cycles are normal in creative work; version history is the evidence trail if a dispute follows.</w:t>
            </w:r>
          </w:p>
        </w:tc>
      </w:tr>
      <w:tr>
        <w:tc>
          <w:tcPr>
            <w:tcW w:type="dxa" w:w="1077"/>
          </w:tcPr>
          <w:p>
            <w:pPr>
              <w:spacing w:before="40" w:after="40"/>
            </w:pPr>
            <w:r>
              <w:rPr>
                <w:b/>
                <w:sz w:val="17"/>
              </w:rPr>
              <w:t>FR-005</w:t>
            </w:r>
          </w:p>
        </w:tc>
        <w:tc>
          <w:tcPr>
            <w:tcW w:type="dxa" w:w="1474"/>
          </w:tcPr>
          <w:p>
            <w:pPr>
              <w:spacing w:before="40" w:after="40"/>
            </w:pPr>
            <w:r>
              <w:rPr>
                <w:b w:val="0"/>
                <w:sz w:val="17"/>
              </w:rPr>
              <w:t>Functional</w:t>
            </w:r>
          </w:p>
        </w:tc>
        <w:tc>
          <w:tcPr>
            <w:tcW w:type="dxa" w:w="4139"/>
          </w:tcPr>
          <w:p>
            <w:pPr>
              <w:spacing w:before="40" w:after="40"/>
            </w:pPr>
            <w:r>
              <w:rPr>
                <w:b w:val="0"/>
                <w:sz w:val="17"/>
              </w:rPr>
              <w:t>The system shall allow either party to raise a dispute on a milestone, which immediately freezes that milestone's escrowed funds and notifies a Platform Admin for resolution.</w:t>
            </w:r>
          </w:p>
        </w:tc>
        <w:tc>
          <w:tcPr>
            <w:tcW w:type="dxa" w:w="964"/>
          </w:tcPr>
          <w:p>
            <w:pPr>
              <w:spacing w:before="40" w:after="40"/>
            </w:pPr>
            <w:r>
              <w:rPr>
                <w:b w:val="0"/>
                <w:sz w:val="17"/>
              </w:rPr>
              <w:t>Medium</w:t>
            </w:r>
          </w:p>
        </w:tc>
        <w:tc>
          <w:tcPr>
            <w:tcW w:type="dxa" w:w="4252"/>
          </w:tcPr>
          <w:p>
            <w:pPr>
              <w:spacing w:before="40" w:after="40"/>
            </w:pPr>
            <w:r>
              <w:rPr>
                <w:b/>
                <w:sz w:val="17"/>
              </w:rPr>
              <w:t xml:space="preserve">Pass: </w:t>
            </w:r>
            <w:r>
              <w:rPr>
                <w:b w:val="0"/>
                <w:sz w:val="17"/>
              </w:rPr>
              <w:t xml:space="preserve">within 5 seconds of a dispute being raised the milestone shows DISPUTED, any release attempt is refused, and an admin notification record exists. </w:t>
            </w:r>
            <w:r>
              <w:rPr>
                <w:b/>
                <w:sz w:val="17"/>
              </w:rPr>
              <w:t xml:space="preserve">Fail: </w:t>
            </w:r>
            <w:r>
              <w:rPr>
                <w:b w:val="0"/>
                <w:sz w:val="17"/>
              </w:rPr>
              <w:t>a release succeeds on a milestone in DISPUTED state.</w:t>
            </w:r>
          </w:p>
        </w:tc>
        <w:tc>
          <w:tcPr>
            <w:tcW w:type="dxa" w:w="3345"/>
          </w:tcPr>
          <w:p>
            <w:pPr>
              <w:spacing w:before="40" w:after="40"/>
            </w:pPr>
            <w:r>
              <w:rPr>
                <w:b w:val="0"/>
                <w:sz w:val="17"/>
              </w:rPr>
              <w:t>Escrow is only meaningful if there is a defined path for the case where the two parties disagree.</w:t>
            </w:r>
          </w:p>
        </w:tc>
      </w:tr>
    </w:tbl>
    <w:p>
      <w:pPr>
        <w:spacing w:before="200" w:after="80"/>
      </w:pPr>
      <w:r>
        <w:rPr>
          <w:b/>
          <w:color w:val="1F3B73"/>
          <w:sz w:val="24"/>
        </w:rPr>
        <w:t>3. Non-Functional Requirements (NFR-001 – NFR-002)</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c>
          <w:tcPr>
            <w:tcW w:type="dxa" w:w="1077"/>
            <w:shd w:val="clear" w:fill="DCE3F5"/>
          </w:tcPr>
          <w:p>
            <w:pPr>
              <w:spacing w:before="40" w:after="40"/>
            </w:pPr>
            <w:r>
              <w:rPr>
                <w:b/>
                <w:sz w:val="18"/>
              </w:rPr>
              <w:t>Req ID</w:t>
            </w:r>
          </w:p>
        </w:tc>
        <w:tc>
          <w:tcPr>
            <w:tcW w:type="dxa" w:w="1474"/>
            <w:shd w:val="clear" w:fill="DCE3F5"/>
          </w:tcPr>
          <w:p>
            <w:pPr>
              <w:spacing w:before="40" w:after="40"/>
            </w:pPr>
            <w:r>
              <w:rPr>
                <w:b/>
                <w:sz w:val="18"/>
              </w:rPr>
              <w:t>Type</w:t>
            </w:r>
          </w:p>
        </w:tc>
        <w:tc>
          <w:tcPr>
            <w:tcW w:type="dxa" w:w="4139"/>
            <w:shd w:val="clear" w:fill="DCE3F5"/>
          </w:tcPr>
          <w:p>
            <w:pPr>
              <w:spacing w:before="40" w:after="40"/>
            </w:pPr>
            <w:r>
              <w:rPr>
                <w:b/>
                <w:sz w:val="18"/>
              </w:rPr>
              <w:t>Description</w:t>
            </w:r>
          </w:p>
        </w:tc>
        <w:tc>
          <w:tcPr>
            <w:tcW w:type="dxa" w:w="964"/>
            <w:shd w:val="clear" w:fill="DCE3F5"/>
          </w:tcPr>
          <w:p>
            <w:pPr>
              <w:spacing w:before="40" w:after="40"/>
            </w:pPr>
            <w:r>
              <w:rPr>
                <w:b/>
                <w:sz w:val="18"/>
              </w:rPr>
              <w:t>Priority</w:t>
            </w:r>
          </w:p>
        </w:tc>
        <w:tc>
          <w:tcPr>
            <w:tcW w:type="dxa" w:w="4252"/>
            <w:shd w:val="clear" w:fill="DCE3F5"/>
          </w:tcPr>
          <w:p>
            <w:pPr>
              <w:spacing w:before="40" w:after="40"/>
            </w:pPr>
            <w:r>
              <w:rPr>
                <w:b/>
                <w:sz w:val="18"/>
              </w:rPr>
              <w:t>Acceptance Criteria (measurable pass/fail)</w:t>
            </w:r>
          </w:p>
        </w:tc>
        <w:tc>
          <w:tcPr>
            <w:tcW w:type="dxa" w:w="3345"/>
            <w:shd w:val="clear" w:fill="DCE3F5"/>
          </w:tcPr>
          <w:p>
            <w:pPr>
              <w:spacing w:before="40" w:after="40"/>
            </w:pPr>
            <w:r>
              <w:rPr>
                <w:b/>
                <w:sz w:val="18"/>
              </w:rPr>
              <w:t>Rationale (short)</w:t>
            </w:r>
          </w:p>
        </w:tc>
      </w:tr>
      <w:tr>
        <w:tc>
          <w:tcPr>
            <w:tcW w:type="dxa" w:w="1077"/>
          </w:tcPr>
          <w:p>
            <w:pPr>
              <w:spacing w:before="40" w:after="40"/>
            </w:pPr>
            <w:r>
              <w:rPr>
                <w:b/>
                <w:sz w:val="17"/>
              </w:rPr>
              <w:t>NFR-001</w:t>
            </w:r>
          </w:p>
        </w:tc>
        <w:tc>
          <w:tcPr>
            <w:tcW w:type="dxa" w:w="1474"/>
          </w:tcPr>
          <w:p>
            <w:pPr>
              <w:spacing w:before="40" w:after="40"/>
            </w:pPr>
            <w:r>
              <w:rPr>
                <w:b w:val="0"/>
                <w:sz w:val="17"/>
              </w:rPr>
              <w:t>Non-functional</w:t>
              <w:br/>
              <w:t>(Performance &amp; Security)</w:t>
            </w:r>
          </w:p>
        </w:tc>
        <w:tc>
          <w:tcPr>
            <w:tcW w:type="dxa" w:w="4139"/>
          </w:tcPr>
          <w:p>
            <w:pPr>
              <w:spacing w:before="40" w:after="40"/>
            </w:pPr>
            <w:r>
              <w:rPr>
                <w:b w:val="0"/>
                <w:sz w:val="17"/>
              </w:rPr>
              <w:t>The system shall complete automated watermarking of an uploaded image or video draft (up to 200 MB) and make the preview available in under 5 seconds.</w:t>
            </w:r>
          </w:p>
        </w:tc>
        <w:tc>
          <w:tcPr>
            <w:tcW w:type="dxa" w:w="964"/>
          </w:tcPr>
          <w:p>
            <w:pPr>
              <w:spacing w:before="40" w:after="40"/>
            </w:pPr>
            <w:r>
              <w:rPr>
                <w:b w:val="0"/>
                <w:sz w:val="17"/>
              </w:rPr>
              <w:t>High</w:t>
            </w:r>
          </w:p>
        </w:tc>
        <w:tc>
          <w:tcPr>
            <w:tcW w:type="dxa" w:w="4252"/>
          </w:tcPr>
          <w:p>
            <w:pPr>
              <w:spacing w:before="40" w:after="40"/>
            </w:pPr>
            <w:r>
              <w:rPr>
                <w:b/>
                <w:sz w:val="17"/>
              </w:rPr>
              <w:t xml:space="preserve">Pass: </w:t>
            </w:r>
            <w:r>
              <w:rPr>
                <w:b w:val="0"/>
                <w:sz w:val="17"/>
              </w:rPr>
              <w:t xml:space="preserve">in a load benchmark of 100 concurrent uploads, the 95th-percentile time from upload completion to preview-ready is under 5 s. </w:t>
            </w:r>
            <w:r>
              <w:rPr>
                <w:b/>
                <w:sz w:val="17"/>
              </w:rPr>
              <w:t xml:space="preserve">Fail: </w:t>
            </w:r>
            <w:r>
              <w:rPr>
                <w:b w:val="0"/>
                <w:sz w:val="17"/>
              </w:rPr>
              <w:t>p95 is 5 s or more, or any preview is published without a watermark.</w:t>
            </w:r>
          </w:p>
        </w:tc>
        <w:tc>
          <w:tcPr>
            <w:tcW w:type="dxa" w:w="3345"/>
          </w:tcPr>
          <w:p>
            <w:pPr>
              <w:spacing w:before="40" w:after="40"/>
            </w:pPr>
            <w:r>
              <w:rPr>
                <w:b w:val="0"/>
                <w:sz w:val="17"/>
              </w:rPr>
              <w:t>A slow review loop is the main reason sponsors bypass the platform and settle privately, which defeats the escrow.</w:t>
            </w:r>
          </w:p>
        </w:tc>
      </w:tr>
      <w:tr>
        <w:tc>
          <w:tcPr>
            <w:tcW w:type="dxa" w:w="1077"/>
          </w:tcPr>
          <w:p>
            <w:pPr>
              <w:spacing w:before="40" w:after="40"/>
            </w:pPr>
            <w:r>
              <w:rPr>
                <w:b/>
                <w:sz w:val="17"/>
              </w:rPr>
              <w:t>NFR-002</w:t>
            </w:r>
          </w:p>
        </w:tc>
        <w:tc>
          <w:tcPr>
            <w:tcW w:type="dxa" w:w="1474"/>
          </w:tcPr>
          <w:p>
            <w:pPr>
              <w:spacing w:before="40" w:after="40"/>
            </w:pPr>
            <w:r>
              <w:rPr>
                <w:b w:val="0"/>
                <w:sz w:val="17"/>
              </w:rPr>
              <w:t>Non-functional</w:t>
              <w:br/>
              <w:t>(Security &amp; Auditability)</w:t>
            </w:r>
          </w:p>
        </w:tc>
        <w:tc>
          <w:tcPr>
            <w:tcW w:type="dxa" w:w="4139"/>
          </w:tcPr>
          <w:p>
            <w:pPr>
              <w:spacing w:before="40" w:after="40"/>
            </w:pPr>
            <w:r>
              <w:rPr>
                <w:b w:val="0"/>
                <w:sz w:val="17"/>
              </w:rPr>
              <w:t>The system shall encrypt all payment and escrow data in transit (TLS 1.3) and at rest (AES-256), and shall write every escrow state change to an append-only audit log that no user role can edit or delete.</w:t>
            </w:r>
          </w:p>
        </w:tc>
        <w:tc>
          <w:tcPr>
            <w:tcW w:type="dxa" w:w="964"/>
          </w:tcPr>
          <w:p>
            <w:pPr>
              <w:spacing w:before="40" w:after="40"/>
            </w:pPr>
            <w:r>
              <w:rPr>
                <w:b w:val="0"/>
                <w:sz w:val="17"/>
              </w:rPr>
              <w:t>High</w:t>
            </w:r>
          </w:p>
        </w:tc>
        <w:tc>
          <w:tcPr>
            <w:tcW w:type="dxa" w:w="4252"/>
          </w:tcPr>
          <w:p>
            <w:pPr>
              <w:spacing w:before="40" w:after="40"/>
            </w:pPr>
            <w:r>
              <w:rPr>
                <w:b/>
                <w:sz w:val="17"/>
              </w:rPr>
              <w:t xml:space="preserve">Pass: </w:t>
            </w:r>
            <w:r>
              <w:rPr>
                <w:b w:val="0"/>
                <w:sz w:val="17"/>
              </w:rPr>
              <w:t xml:space="preserve">a security scan reports no endpoint below TLS 1.3, and an attempted UPDATE or DELETE on an audit-log row by any application role is rejected. </w:t>
            </w:r>
            <w:r>
              <w:rPr>
                <w:b/>
                <w:sz w:val="17"/>
              </w:rPr>
              <w:t xml:space="preserve">Fail: </w:t>
            </w:r>
            <w:r>
              <w:rPr>
                <w:b w:val="0"/>
                <w:sz w:val="17"/>
              </w:rPr>
              <w:t>any escrow state change occurs with no corresponding audit entry.</w:t>
            </w:r>
          </w:p>
        </w:tc>
        <w:tc>
          <w:tcPr>
            <w:tcW w:type="dxa" w:w="3345"/>
          </w:tcPr>
          <w:p>
            <w:pPr>
              <w:spacing w:before="40" w:after="40"/>
            </w:pPr>
            <w:r>
              <w:rPr>
                <w:b w:val="0"/>
                <w:sz w:val="17"/>
              </w:rPr>
              <w:t>Money movement between strangers must be provable after the fact; the audit log is the evidence used to settle disputes.</w:t>
            </w:r>
          </w:p>
        </w:tc>
      </w:tr>
    </w:tbl>
    <w:p>
      <w:pPr>
        <w:spacing w:before="200" w:after="80"/>
      </w:pPr>
      <w:r>
        <w:rPr>
          <w:b/>
          <w:color w:val="1F3B73"/>
          <w:sz w:val="24"/>
        </w:rPr>
        <w:t>4. Requirement → Use-Case Traceability</w:t>
      </w:r>
    </w:p>
    <w:tbl>
      <w:tblPr>
        <w:tblStyle w:val="TableGrid"/>
        <w:tblW w:type="auto" w:w="0"/>
        <w:jc w:val="center"/>
        <w:tblLayout w:type="fixed"/>
        <w:tblLook w:firstColumn="1" w:firstRow="1" w:lastColumn="0" w:lastRow="0" w:noHBand="0" w:noVBand="1" w:val="04A0"/>
      </w:tblPr>
      <w:tblGrid>
        <w:gridCol w:w="7625"/>
        <w:gridCol w:w="7625"/>
      </w:tblGrid>
      <w:tr>
        <w:tc>
          <w:tcPr>
            <w:tcW w:type="dxa" w:w="1417"/>
            <w:shd w:val="clear" w:fill="DCE3F5"/>
          </w:tcPr>
          <w:p>
            <w:pPr>
              <w:spacing w:before="40" w:after="40"/>
            </w:pPr>
            <w:r>
              <w:rPr>
                <w:b/>
                <w:sz w:val="18"/>
              </w:rPr>
              <w:t>Req ID</w:t>
            </w:r>
          </w:p>
        </w:tc>
        <w:tc>
          <w:tcPr>
            <w:tcW w:type="dxa" w:w="13833"/>
            <w:shd w:val="clear" w:fill="DCE3F5"/>
          </w:tcPr>
          <w:p>
            <w:pPr>
              <w:spacing w:before="40" w:after="40"/>
            </w:pPr>
            <w:r>
              <w:rPr>
                <w:b/>
                <w:sz w:val="18"/>
              </w:rPr>
              <w:t>Realised by</w:t>
            </w:r>
          </w:p>
        </w:tc>
      </w:tr>
      <w:tr>
        <w:tc>
          <w:tcPr>
            <w:tcW w:type="dxa" w:w="1417"/>
          </w:tcPr>
          <w:p>
            <w:pPr>
              <w:spacing w:before="40" w:after="40"/>
            </w:pPr>
            <w:r>
              <w:rPr>
                <w:b/>
                <w:sz w:val="18"/>
              </w:rPr>
              <w:t>FR-001</w:t>
            </w:r>
          </w:p>
        </w:tc>
        <w:tc>
          <w:tcPr>
            <w:tcW w:type="dxa" w:w="13833"/>
          </w:tcPr>
          <w:p>
            <w:pPr>
              <w:spacing w:before="40" w:after="40"/>
            </w:pPr>
            <w:r>
              <w:rPr>
                <w:b w:val="0"/>
                <w:sz w:val="18"/>
              </w:rPr>
              <w:t>UC-02 Upload Draft Deliverable, UC-03 Review Draft &amp; Sign Off, UC-04 Release Milestone Payment</w:t>
            </w:r>
          </w:p>
        </w:tc>
      </w:tr>
      <w:tr>
        <w:tc>
          <w:tcPr>
            <w:tcW w:type="dxa" w:w="1417"/>
          </w:tcPr>
          <w:p>
            <w:pPr>
              <w:spacing w:before="40" w:after="40"/>
            </w:pPr>
            <w:r>
              <w:rPr>
                <w:b/>
                <w:sz w:val="18"/>
              </w:rPr>
              <w:t>FR-002</w:t>
            </w:r>
          </w:p>
        </w:tc>
        <w:tc>
          <w:tcPr>
            <w:tcW w:type="dxa" w:w="13833"/>
          </w:tcPr>
          <w:p>
            <w:pPr>
              <w:spacing w:before="40" w:after="40"/>
            </w:pPr>
            <w:r>
              <w:rPr>
                <w:b w:val="0"/>
                <w:sz w:val="18"/>
              </w:rPr>
              <w:t>UC-01 Create Contract &amp; Fund Escrow</w:t>
            </w:r>
          </w:p>
        </w:tc>
      </w:tr>
      <w:tr>
        <w:tc>
          <w:tcPr>
            <w:tcW w:type="dxa" w:w="1417"/>
          </w:tcPr>
          <w:p>
            <w:pPr>
              <w:spacing w:before="40" w:after="40"/>
            </w:pPr>
            <w:r>
              <w:rPr>
                <w:b/>
                <w:sz w:val="18"/>
              </w:rPr>
              <w:t>FR-003</w:t>
            </w:r>
          </w:p>
        </w:tc>
        <w:tc>
          <w:tcPr>
            <w:tcW w:type="dxa" w:w="13833"/>
          </w:tcPr>
          <w:p>
            <w:pPr>
              <w:spacing w:before="40" w:after="40"/>
            </w:pPr>
            <w:r>
              <w:rPr>
                <w:b w:val="0"/>
                <w:sz w:val="18"/>
              </w:rPr>
              <w:t>UC-06 Apply Watermark («include» of UC-02)</w:t>
            </w:r>
          </w:p>
        </w:tc>
      </w:tr>
      <w:tr>
        <w:tc>
          <w:tcPr>
            <w:tcW w:type="dxa" w:w="1417"/>
          </w:tcPr>
          <w:p>
            <w:pPr>
              <w:spacing w:before="40" w:after="40"/>
            </w:pPr>
            <w:r>
              <w:rPr>
                <w:b/>
                <w:sz w:val="18"/>
              </w:rPr>
              <w:t>FR-004</w:t>
            </w:r>
          </w:p>
        </w:tc>
        <w:tc>
          <w:tcPr>
            <w:tcW w:type="dxa" w:w="13833"/>
          </w:tcPr>
          <w:p>
            <w:pPr>
              <w:spacing w:before="40" w:after="40"/>
            </w:pPr>
            <w:r>
              <w:rPr>
                <w:b w:val="0"/>
                <w:sz w:val="18"/>
              </w:rPr>
              <w:t>UC-07 Request Revision («extend» of UC-03)</w:t>
            </w:r>
          </w:p>
        </w:tc>
      </w:tr>
      <w:tr>
        <w:tc>
          <w:tcPr>
            <w:tcW w:type="dxa" w:w="1417"/>
          </w:tcPr>
          <w:p>
            <w:pPr>
              <w:spacing w:before="40" w:after="40"/>
            </w:pPr>
            <w:r>
              <w:rPr>
                <w:b/>
                <w:sz w:val="18"/>
              </w:rPr>
              <w:t>FR-005</w:t>
            </w:r>
          </w:p>
        </w:tc>
        <w:tc>
          <w:tcPr>
            <w:tcW w:type="dxa" w:w="13833"/>
          </w:tcPr>
          <w:p>
            <w:pPr>
              <w:spacing w:before="40" w:after="40"/>
            </w:pPr>
            <w:r>
              <w:rPr>
                <w:b w:val="0"/>
                <w:sz w:val="18"/>
              </w:rPr>
              <w:t>UC-05 Raise Dispute</w:t>
            </w:r>
          </w:p>
        </w:tc>
      </w:tr>
      <w:tr>
        <w:tc>
          <w:tcPr>
            <w:tcW w:type="dxa" w:w="1417"/>
          </w:tcPr>
          <w:p>
            <w:pPr>
              <w:spacing w:before="40" w:after="40"/>
            </w:pPr>
            <w:r>
              <w:rPr>
                <w:b/>
                <w:sz w:val="18"/>
              </w:rPr>
              <w:t>NFR-001</w:t>
            </w:r>
          </w:p>
        </w:tc>
        <w:tc>
          <w:tcPr>
            <w:tcW w:type="dxa" w:w="13833"/>
          </w:tcPr>
          <w:p>
            <w:pPr>
              <w:spacing w:before="40" w:after="40"/>
            </w:pPr>
            <w:r>
              <w:rPr>
                <w:b w:val="0"/>
                <w:sz w:val="18"/>
              </w:rPr>
              <w:t>Constrains UC-06 Apply Watermark</w:t>
            </w:r>
          </w:p>
        </w:tc>
      </w:tr>
      <w:tr>
        <w:tc>
          <w:tcPr>
            <w:tcW w:type="dxa" w:w="1417"/>
          </w:tcPr>
          <w:p>
            <w:pPr>
              <w:spacing w:before="40" w:after="40"/>
            </w:pPr>
            <w:r>
              <w:rPr>
                <w:b/>
                <w:sz w:val="18"/>
              </w:rPr>
              <w:t>NFR-002</w:t>
            </w:r>
          </w:p>
        </w:tc>
        <w:tc>
          <w:tcPr>
            <w:tcW w:type="dxa" w:w="13833"/>
          </w:tcPr>
          <w:p>
            <w:pPr>
              <w:spacing w:before="40" w:after="40"/>
            </w:pPr>
            <w:r>
              <w:rPr>
                <w:b w:val="0"/>
                <w:sz w:val="18"/>
              </w:rPr>
              <w:t>Constrains UC-04 Release Milestone Payment, UC-08 Authorize Escrow Transfer</w:t>
            </w:r>
          </w:p>
        </w:tc>
      </w:tr>
    </w:tbl>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