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Lab 1 – Use-Case Flow Specification</w:t>
      </w:r>
    </w:p>
    <w:p>
      <w:pPr>
        <w:spacing w:after="40"/>
        <w:jc w:val="center"/>
      </w:pPr>
      <w:r>
        <w:rPr>
          <w:b w:val="0"/>
          <w:sz w:val="20"/>
        </w:rPr>
        <w:t>Requirements Engineering &amp; UML Use-Case Modelling</w:t>
      </w:r>
    </w:p>
    <w:p>
      <w:pPr>
        <w:spacing w:after="40"/>
        <w:jc w:val="center"/>
      </w:pPr>
      <w:r>
        <w:rPr>
          <w:b/>
          <w:sz w:val="20"/>
        </w:rPr>
        <w:t>Problem Statement #53 — Freelance Content Creator Escrow Platform</w:t>
      </w:r>
    </w:p>
    <w:p>
      <w:pPr>
        <w:spacing w:after="160"/>
        <w:jc w:val="center"/>
      </w:pPr>
      <w:r>
        <w:rPr>
          <w:b/>
          <w:sz w:val="20"/>
        </w:rPr>
        <w:t>AMOGH SHARMA   |   PES1UG24CS053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val="clear" w:fill="DCE3F5"/>
          </w:tcPr>
          <w:p>
            <w:pPr>
              <w:spacing w:before="30" w:after="30"/>
            </w:pPr>
            <w:r>
              <w:rPr>
                <w:b/>
                <w:sz w:val="18"/>
              </w:rPr>
              <w:t>Use Case ID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b w:val="0"/>
                <w:sz w:val="18"/>
              </w:rPr>
              <w:t>UC-04</w:t>
            </w:r>
          </w:p>
        </w:tc>
      </w:tr>
      <w:tr>
        <w:tc>
          <w:tcPr>
            <w:tcW w:type="dxa" w:w="2381"/>
            <w:shd w:val="clear" w:fill="DCE3F5"/>
          </w:tcPr>
          <w:p>
            <w:pPr>
              <w:spacing w:before="30" w:after="30"/>
            </w:pPr>
            <w:r>
              <w:rPr>
                <w:b/>
                <w:sz w:val="18"/>
              </w:rPr>
              <w:t>Use Case Name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b w:val="0"/>
                <w:sz w:val="18"/>
              </w:rPr>
              <w:t>Release Milestone Payment</w:t>
            </w:r>
          </w:p>
        </w:tc>
      </w:tr>
      <w:tr>
        <w:tc>
          <w:tcPr>
            <w:tcW w:type="dxa" w:w="2381"/>
            <w:shd w:val="clear" w:fill="DCE3F5"/>
          </w:tcPr>
          <w:p>
            <w:pPr>
              <w:spacing w:before="30" w:after="30"/>
            </w:pPr>
            <w:r>
              <w:rPr>
                <w:b/>
                <w:sz w:val="18"/>
              </w:rPr>
              <w:t>Primary Actor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b w:val="0"/>
                <w:sz w:val="18"/>
              </w:rPr>
              <w:t>Client Sponsor</w:t>
            </w:r>
          </w:p>
        </w:tc>
      </w:tr>
      <w:tr>
        <w:tc>
          <w:tcPr>
            <w:tcW w:type="dxa" w:w="2381"/>
            <w:shd w:val="clear" w:fill="DCE3F5"/>
          </w:tcPr>
          <w:p>
            <w:pPr>
              <w:spacing w:before="30" w:after="30"/>
            </w:pPr>
            <w:r>
              <w:rPr>
                <w:b/>
                <w:sz w:val="18"/>
              </w:rPr>
              <w:t>Secondary Actors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b w:val="0"/>
                <w:sz w:val="18"/>
              </w:rPr>
              <w:t>Content Creator (notified), Payment Gateway (external system)</w:t>
            </w:r>
          </w:p>
        </w:tc>
      </w:tr>
      <w:tr>
        <w:tc>
          <w:tcPr>
            <w:tcW w:type="dxa" w:w="2381"/>
            <w:shd w:val="clear" w:fill="DCE3F5"/>
          </w:tcPr>
          <w:p>
            <w:pPr>
              <w:spacing w:before="30" w:after="30"/>
            </w:pPr>
            <w:r>
              <w:rPr>
                <w:b/>
                <w:sz w:val="18"/>
              </w:rPr>
              <w:t>Related Requirements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b w:val="0"/>
                <w:sz w:val="18"/>
              </w:rPr>
              <w:t>FR-001, FR-002, NFR-002</w:t>
            </w:r>
          </w:p>
        </w:tc>
      </w:tr>
      <w:tr>
        <w:tc>
          <w:tcPr>
            <w:tcW w:type="dxa" w:w="2381"/>
            <w:shd w:val="clear" w:fill="DCE3F5"/>
          </w:tcPr>
          <w:p>
            <w:pPr>
              <w:spacing w:before="30" w:after="30"/>
            </w:pPr>
            <w:r>
              <w:rPr>
                <w:b/>
                <w:sz w:val="18"/>
              </w:rPr>
              <w:t>Relationships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b w:val="0"/>
                <w:sz w:val="18"/>
              </w:rPr>
              <w:t>«include» UC-08 Authorize Escrow Transfer;  extended by UC-05 Raise Dispute</w:t>
            </w:r>
          </w:p>
        </w:tc>
      </w:tr>
      <w:tr>
        <w:tc>
          <w:tcPr>
            <w:tcW w:type="dxa" w:w="2381"/>
            <w:shd w:val="clear" w:fill="DCE3F5"/>
          </w:tcPr>
          <w:p>
            <w:pPr>
              <w:spacing w:before="30" w:after="30"/>
            </w:pPr>
            <w:r>
              <w:rPr>
                <w:b/>
                <w:sz w:val="18"/>
              </w:rPr>
              <w:t>Trigger</w:t>
            </w:r>
          </w:p>
        </w:tc>
        <w:tc>
          <w:tcPr>
            <w:tcW w:type="dxa" w:w="7710"/>
          </w:tcPr>
          <w:p>
            <w:pPr>
              <w:spacing w:before="30" w:after="30"/>
            </w:pPr>
            <w:r>
              <w:rPr>
                <w:b w:val="0"/>
                <w:sz w:val="18"/>
              </w:rPr>
              <w:t>The Client Sponsor selects “Approve &amp; Release” on a milestone whose draft is in SUBMITTED state.</w:t>
            </w:r>
          </w:p>
        </w:tc>
      </w:tr>
    </w:tbl>
    <w:p>
      <w:pPr>
        <w:spacing w:before="160" w:after="60"/>
      </w:pPr>
      <w:r>
        <w:rPr>
          <w:b/>
          <w:color w:val="1F3B73"/>
          <w:sz w:val="22"/>
        </w:rPr>
        <w:t>Preconditions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1. </w:t>
      </w:r>
      <w:r>
        <w:rPr>
          <w:b w:val="0"/>
          <w:sz w:val="19"/>
        </w:rPr>
        <w:t>The Client Sponsor is authenticated and is the owner of the contract.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2. </w:t>
      </w:r>
      <w:r>
        <w:rPr>
          <w:b w:val="0"/>
          <w:sz w:val="19"/>
        </w:rPr>
        <w:t>The contract is ACTIVE and the milestone amount is fully funded in escrow.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3. </w:t>
      </w:r>
      <w:r>
        <w:rPr>
          <w:b w:val="0"/>
          <w:sz w:val="19"/>
        </w:rPr>
        <w:t>The Content Creator has submitted a draft for this milestone (state = SUBMITTED).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4. </w:t>
      </w:r>
      <w:r>
        <w:rPr>
          <w:b w:val="0"/>
          <w:sz w:val="19"/>
        </w:rPr>
        <w:t>The milestone is not in DISPUTED state.</w:t>
      </w:r>
    </w:p>
    <w:p>
      <w:pPr>
        <w:spacing w:before="160" w:after="60"/>
      </w:pPr>
      <w:r>
        <w:rPr>
          <w:b/>
          <w:color w:val="1F3B73"/>
          <w:sz w:val="22"/>
        </w:rPr>
        <w:t>Postconditions</w:t>
      </w:r>
    </w:p>
    <w:p>
      <w:pPr>
        <w:spacing w:after="20" w:before="0"/>
        <w:ind w:left="0"/>
      </w:pPr>
      <w:r>
        <w:rPr>
          <w:b/>
          <w:sz w:val="19"/>
        </w:rPr>
        <w:t xml:space="preserve">On success: 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1. </w:t>
      </w:r>
      <w:r>
        <w:rPr>
          <w:b w:val="0"/>
          <w:sz w:val="19"/>
        </w:rPr>
        <w:t>The milestone state is PAID and its sign-off flag is true.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2. </w:t>
      </w:r>
      <w:r>
        <w:rPr>
          <w:b w:val="0"/>
          <w:sz w:val="19"/>
        </w:rPr>
        <w:t>The escrowed amount is debited from the contract escrow and credited to the Content Creator's platform balance.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3. </w:t>
      </w:r>
      <w:r>
        <w:rPr>
          <w:b w:val="0"/>
          <w:sz w:val="19"/>
        </w:rPr>
        <w:t>The download block on the un-watermarked original asset is lifted for the sponsor.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4. </w:t>
      </w:r>
      <w:r>
        <w:rPr>
          <w:b w:val="0"/>
          <w:sz w:val="19"/>
        </w:rPr>
        <w:t>An append-only audit entry records the sponsor identity, amount, gateway reference and UTC timestamp.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5. </w:t>
      </w:r>
      <w:r>
        <w:rPr>
          <w:b w:val="0"/>
          <w:sz w:val="19"/>
        </w:rPr>
        <w:t>Both parties receive a release notification and a downloadable receipt.</w:t>
      </w:r>
    </w:p>
    <w:p>
      <w:pPr>
        <w:spacing w:after="20" w:before="0"/>
        <w:ind w:left="0"/>
      </w:pPr>
      <w:r>
        <w:rPr>
          <w:b/>
          <w:sz w:val="19"/>
        </w:rPr>
        <w:t xml:space="preserve">On failure: </w:t>
      </w:r>
      <w:r>
        <w:rPr>
          <w:b w:val="0"/>
          <w:sz w:val="19"/>
        </w:rPr>
        <w:t>the milestone remains SUBMITTED, no funds leave escrow, and the failure reason is recorded in the audit log.</w:t>
      </w:r>
    </w:p>
    <w:p>
      <w:pPr>
        <w:spacing w:before="160" w:after="60"/>
      </w:pPr>
      <w:r>
        <w:rPr>
          <w:b/>
          <w:color w:val="1F3B73"/>
          <w:sz w:val="22"/>
        </w:rPr>
        <w:t>Main Success Scenario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1. </w:t>
      </w:r>
      <w:r>
        <w:rPr>
          <w:b/>
          <w:sz w:val="19"/>
        </w:rPr>
        <w:t>Client Sponsor</w:t>
      </w:r>
      <w:r>
        <w:rPr>
          <w:b w:val="0"/>
          <w:sz w:val="19"/>
        </w:rPr>
        <w:t xml:space="preserve"> opens the contract and selects the milestone marked SUBMITTED.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2. </w:t>
      </w:r>
      <w:r>
        <w:rPr>
          <w:b/>
          <w:sz w:val="19"/>
        </w:rPr>
        <w:t>System</w:t>
      </w:r>
      <w:r>
        <w:rPr>
          <w:b w:val="0"/>
          <w:sz w:val="19"/>
        </w:rPr>
        <w:t xml:space="preserve"> displays the watermarked draft preview, the milestone amount and the version history.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3. </w:t>
      </w:r>
      <w:r>
        <w:rPr>
          <w:b/>
          <w:sz w:val="19"/>
        </w:rPr>
        <w:t>Client Sponsor</w:t>
      </w:r>
      <w:r>
        <w:rPr>
          <w:b w:val="0"/>
          <w:sz w:val="19"/>
        </w:rPr>
        <w:t xml:space="preserve"> reviews the preview and selects “Approve &amp; Release”.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4. </w:t>
      </w:r>
      <w:r>
        <w:rPr>
          <w:b/>
          <w:sz w:val="19"/>
        </w:rPr>
        <w:t>System</w:t>
      </w:r>
      <w:r>
        <w:rPr>
          <w:b w:val="0"/>
          <w:sz w:val="19"/>
        </w:rPr>
        <w:t xml:space="preserve"> shows a confirmation dialog stating the amount to be released and that the action is irreversible.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5. </w:t>
      </w:r>
      <w:r>
        <w:rPr>
          <w:b/>
          <w:sz w:val="19"/>
        </w:rPr>
        <w:t>Client Sponsor</w:t>
      </w:r>
      <w:r>
        <w:rPr>
          <w:b w:val="0"/>
          <w:sz w:val="19"/>
        </w:rPr>
        <w:t xml:space="preserve"> confirms and re-enters the account password (step-up authentication).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6. </w:t>
      </w:r>
      <w:r>
        <w:rPr>
          <w:b/>
          <w:sz w:val="19"/>
        </w:rPr>
        <w:t>System</w:t>
      </w:r>
      <w:r>
        <w:rPr>
          <w:b w:val="0"/>
          <w:sz w:val="19"/>
        </w:rPr>
        <w:t xml:space="preserve"> verifies that the milestone is SUBMITTED, is not DISPUTED, and that the escrow balance covers the amount.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7. </w:t>
      </w:r>
      <w:r>
        <w:rPr>
          <w:b/>
          <w:sz w:val="19"/>
        </w:rPr>
        <w:t>System</w:t>
      </w:r>
      <w:r>
        <w:rPr>
          <w:b w:val="0"/>
          <w:sz w:val="19"/>
        </w:rPr>
        <w:t xml:space="preserve"> records the sponsor sign-off and moves the milestone to APPROVED.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8. </w:t>
      </w:r>
      <w:r>
        <w:rPr>
          <w:b/>
          <w:sz w:val="19"/>
        </w:rPr>
        <w:t>System</w:t>
      </w:r>
      <w:r>
        <w:rPr>
          <w:b w:val="0"/>
          <w:sz w:val="19"/>
        </w:rPr>
        <w:t xml:space="preserve"> performs </w:t>
      </w:r>
      <w:r>
        <w:rPr>
          <w:b/>
          <w:sz w:val="19"/>
        </w:rPr>
        <w:t>«include» UC-08 Authorize Escrow Transfer</w:t>
      </w:r>
      <w:r>
        <w:rPr>
          <w:b w:val="0"/>
          <w:sz w:val="19"/>
        </w:rPr>
        <w:t xml:space="preserve"> — it calls the Payment Gateway over TLS 1.3 with an idempotency key to move the funds out of the escrow account.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9. </w:t>
      </w:r>
      <w:r>
        <w:rPr>
          <w:b/>
          <w:sz w:val="19"/>
        </w:rPr>
        <w:t>Payment Gateway</w:t>
      </w:r>
      <w:r>
        <w:rPr>
          <w:b w:val="0"/>
          <w:sz w:val="19"/>
        </w:rPr>
        <w:t xml:space="preserve"> returns an authorization success with a transaction reference.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10. </w:t>
      </w:r>
      <w:r>
        <w:rPr>
          <w:b/>
          <w:sz w:val="19"/>
        </w:rPr>
        <w:t>System</w:t>
      </w:r>
      <w:r>
        <w:rPr>
          <w:b w:val="0"/>
          <w:sz w:val="19"/>
        </w:rPr>
        <w:t xml:space="preserve"> credits the Content Creator's platform balance and sets the milestone to PAID.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11. </w:t>
      </w:r>
      <w:r>
        <w:rPr>
          <w:b/>
          <w:sz w:val="19"/>
        </w:rPr>
        <w:t>System</w:t>
      </w:r>
      <w:r>
        <w:rPr>
          <w:b w:val="0"/>
          <w:sz w:val="19"/>
        </w:rPr>
        <w:t xml:space="preserve"> lifts the download block on the original asset and writes the audit entry.</w:t>
      </w:r>
    </w:p>
    <w:p>
      <w:pPr>
        <w:spacing w:after="40" w:before="0"/>
        <w:ind w:left="312"/>
      </w:pPr>
      <w:r>
        <w:rPr>
          <w:b w:val="0"/>
          <w:sz w:val="19"/>
        </w:rPr>
        <w:t xml:space="preserve">12. </w:t>
      </w:r>
      <w:r>
        <w:rPr>
          <w:b/>
          <w:sz w:val="19"/>
        </w:rPr>
        <w:t>System</w:t>
      </w:r>
      <w:r>
        <w:rPr>
          <w:b w:val="0"/>
          <w:sz w:val="19"/>
        </w:rPr>
        <w:t xml:space="preserve"> notifies both parties and issues a receipt. Use case ends successfully.</w:t>
      </w:r>
    </w:p>
    <w:p>
      <w:pPr>
        <w:spacing w:before="160" w:after="60"/>
      </w:pPr>
      <w:r>
        <w:rPr>
          <w:b/>
          <w:color w:val="1F3B73"/>
          <w:sz w:val="22"/>
        </w:rPr>
        <w:t>Alternate Flow — 9a. Payment Gateway declines the escrow transfer</w:t>
      </w:r>
    </w:p>
    <w:p>
      <w:pPr>
        <w:spacing w:after="40" w:before="0"/>
        <w:ind w:left="312"/>
      </w:pPr>
      <w:r>
        <w:rPr>
          <w:b/>
          <w:sz w:val="19"/>
        </w:rPr>
        <w:t xml:space="preserve">9a1. </w:t>
      </w:r>
      <w:r>
        <w:rPr>
          <w:b w:val="0"/>
          <w:sz w:val="19"/>
        </w:rPr>
        <w:t>The Payment Gateway returns a decline, or times out after 30 seconds.</w:t>
      </w:r>
    </w:p>
    <w:p>
      <w:pPr>
        <w:spacing w:after="40" w:before="0"/>
        <w:ind w:left="312"/>
      </w:pPr>
      <w:r>
        <w:rPr>
          <w:b/>
          <w:sz w:val="19"/>
        </w:rPr>
        <w:t xml:space="preserve">9a2. </w:t>
      </w:r>
      <w:r>
        <w:rPr>
          <w:b w:val="0"/>
          <w:sz w:val="19"/>
        </w:rPr>
        <w:t>The System rolls the milestone back from APPROVED to SUBMITTED in a single transaction, so no partial release is recorded.</w:t>
      </w:r>
    </w:p>
    <w:p>
      <w:pPr>
        <w:spacing w:after="40" w:before="0"/>
        <w:ind w:left="312"/>
      </w:pPr>
      <w:r>
        <w:rPr>
          <w:b/>
          <w:sz w:val="19"/>
        </w:rPr>
        <w:t xml:space="preserve">9a3. </w:t>
      </w:r>
      <w:r>
        <w:rPr>
          <w:b w:val="0"/>
          <w:sz w:val="19"/>
        </w:rPr>
        <w:t>The System writes a RELEASE_FAILED audit entry with the gateway error code.</w:t>
      </w:r>
    </w:p>
    <w:p>
      <w:pPr>
        <w:spacing w:after="40" w:before="0"/>
        <w:ind w:left="312"/>
      </w:pPr>
      <w:r>
        <w:rPr>
          <w:b/>
          <w:sz w:val="19"/>
        </w:rPr>
        <w:t xml:space="preserve">9a4. </w:t>
      </w:r>
      <w:r>
        <w:rPr>
          <w:b w:val="0"/>
          <w:sz w:val="19"/>
        </w:rPr>
        <w:t>The System displays “Payment could not be released — your funds are still safely held in escrow” and offers Retry.</w:t>
      </w:r>
    </w:p>
    <w:p>
      <w:pPr>
        <w:spacing w:after="40" w:before="0"/>
        <w:ind w:left="312"/>
      </w:pPr>
      <w:r>
        <w:rPr>
          <w:b/>
          <w:sz w:val="19"/>
        </w:rPr>
        <w:t xml:space="preserve">9a5. </w:t>
      </w:r>
      <w:r>
        <w:rPr>
          <w:b w:val="0"/>
          <w:sz w:val="19"/>
        </w:rPr>
        <w:t>On retry the System reuses the same idempotency key, so a delayed gateway success is never double-charged.</w:t>
      </w:r>
    </w:p>
    <w:p>
      <w:pPr>
        <w:spacing w:after="40" w:before="0"/>
        <w:ind w:left="312"/>
      </w:pPr>
      <w:r>
        <w:rPr>
          <w:b/>
          <w:sz w:val="19"/>
        </w:rPr>
        <w:t xml:space="preserve">9a6. </w:t>
      </w:r>
      <w:r>
        <w:rPr>
          <w:b w:val="0"/>
          <w:sz w:val="19"/>
        </w:rPr>
        <w:t>After 3 consecutive failures the milestone is flagged for Platform Admin review, both parties are notified, and the use case ends in failure with all funds still in escrow.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