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Lab 3 - Component Modelling &amp; Architectural Pattern Selection</w:t>
      </w:r>
    </w:p>
    <w:p>
      <w:pPr>
        <w:spacing w:after="160"/>
        <w:jc w:val="center"/>
      </w:pPr>
      <w:r>
        <w:rPr>
          <w:color w:val="5A6B7C"/>
          <w:sz w:val="18"/>
        </w:rPr>
        <w:t>Name: AMOGH SHARMA   |   SRN: PES1UG24CS053   |   Course: Software Engineering (Sem 5)</w:t>
        <w:br/>
        <w:t>Problem Statement #53 - Freelance Content Creator Escrow Platform</w:t>
      </w:r>
    </w:p>
    <w:p>
      <w:pPr>
        <w:spacing w:after="160"/>
      </w:pPr>
      <w:r>
        <w:rPr>
          <w:b/>
          <w:color w:val="1F4E79"/>
          <w:sz w:val="22"/>
        </w:rPr>
        <w:t>Architecture Selection: We chose the MICROSERVICES ARCHITECTURE for the Freelance Content Creator Escrow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  <w:t>Style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/>
                <w:sz w:val="17"/>
              </w:rPr>
              <w:t>Fit for this scenario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sz w:val="17"/>
              </w:rPr>
              <w:t>Layered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sz w:val="17"/>
              </w:rPr>
              <w:t>Clean separation, but payments, media watermarking and contract logic would ship as one deployable unit - a slow media job degrades the whole platform and the PCI audit scope covers every layer.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/>
                <w:sz w:val="17"/>
              </w:rPr>
              <w:t>Rejected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sz w:val="17"/>
              </w:rPr>
              <w:t>Client-Server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sz w:val="17"/>
              </w:rPr>
              <w:t>Simple and consistent, but a single server is one point of failure for escrowed money and cannot absorb bursts of large media uploads.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/>
                <w:sz w:val="17"/>
              </w:rPr>
              <w:t>Rejected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sz w:val="17"/>
              </w:rPr>
              <w:t>Microservices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sz w:val="17"/>
              </w:rPr>
              <w:t>Money path, media path and identity are separately deployable, separately scalable and separately secured - exactly the three axes on which this platform differs.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/>
                <w:sz w:val="17"/>
              </w:rPr>
              <w:t>Selected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color w:val="1F4E79"/>
          <w:sz w:val="21"/>
        </w:rPr>
        <w:t>1. Architectural Choice</w:t>
      </w:r>
    </w:p>
    <w:p>
      <w:pPr>
        <w:spacing w:after="60"/>
        <w:jc w:val="both"/>
      </w:pPr>
      <w:r>
        <w:t>The system is decomposed into five independently deployable services - Contract &amp; Milestone Manager, Escrow &amp; Payment Service, Asset &amp; Watermarking Service, Identity &amp; Access Service and Notification Service - fronted by an API Gateway. Each service owns its own data store and is reached only through a published interface (IContractStore, IPaymentProcessing, IObjectStore, IAuthValidation, INotifyChannel), so no service reads another service's tables directly.</w:t>
      </w:r>
    </w:p>
    <w:p>
      <w:pPr>
        <w:spacing w:before="80" w:after="20"/>
      </w:pPr>
      <w:r>
        <w:rPr>
          <w:b/>
          <w:color w:val="1F4E79"/>
          <w:sz w:val="21"/>
        </w:rPr>
        <w:t>2. Reason 1 - the workloads are asymmetric</w:t>
      </w:r>
    </w:p>
    <w:p>
      <w:pPr>
        <w:spacing w:after="60"/>
        <w:jc w:val="both"/>
      </w:pPr>
      <w:r>
        <w:t>Watermarking every draft deliverable (FR-003: creator name, contract ID and timestamp burned into each preview) is CPU- and I/O-heavy and arrives in bursts when creators submit, while contract and milestone operations are light CRUD calls. Microservices let the Asset &amp; Watermarking Service scale horizontally on its own during an upload burst, instead of over-provisioning the entire platform to survive a media spike.</w:t>
      </w:r>
    </w:p>
    <w:p>
      <w:pPr>
        <w:spacing w:before="80" w:after="20"/>
      </w:pPr>
      <w:r>
        <w:rPr>
          <w:b/>
          <w:color w:val="1F4E79"/>
          <w:sz w:val="21"/>
        </w:rPr>
        <w:t>3. Reason 2 - the money path must fail independently</w:t>
      </w:r>
    </w:p>
    <w:p>
      <w:pPr>
        <w:spacing w:after="60"/>
        <w:jc w:val="both"/>
      </w:pPr>
      <w:r>
        <w:t>The escrow guarantee (FR-001, FR-002: funds release only after sponsor sign-off, contracts go ACTIVE only when fully funded) is the behaviour that makes the platform trustworthy. Isolating the Escrow &amp; Payment Service means an outage in preview generation or notification delivery cannot corrupt or block a milestone state transition; the failure is contained to one service instead of taking the whole deployable down with it.</w:t>
      </w:r>
    </w:p>
    <w:p>
      <w:pPr>
        <w:spacing w:before="80" w:after="20"/>
      </w:pPr>
      <w:r>
        <w:rPr>
          <w:b/>
          <w:color w:val="1F4E79"/>
          <w:sz w:val="21"/>
        </w:rPr>
        <w:t>4. Security Advantage - a compartmentalised, narrow trust boundary</w:t>
      </w:r>
    </w:p>
    <w:p>
      <w:pPr>
        <w:spacing w:after="60"/>
        <w:jc w:val="both"/>
      </w:pPr>
      <w:r>
        <w:t>Card data and payment-gateway credentials live only inside the Escrow &amp; Payment Service and are reachable only through the IPaymentProcessing interface. The Asset &amp; Watermarking Service - the component that handles untrusted, user-uploaded media and is therefore the most likely to be exploited - holds no payment secrets and has no network path to the payment gateway, so compromising it cannot reach funds. Authentication and role checks (Creator / Sponsor / Admin) are enforced once at the API Gateway through IAuthValidation, and original un-watermarked assets stay behind the Asset Service's 403 gate until the milestone is PAID. This also shrinks the PCI-DSS audit scope to a single service rather than the whole application.</w:t>
      </w:r>
    </w:p>
    <w:p>
      <w:pPr>
        <w:spacing w:before="80" w:after="20"/>
      </w:pPr>
      <w:r>
        <w:rPr>
          <w:b/>
          <w:color w:val="1F4E79"/>
          <w:sz w:val="21"/>
        </w:rPr>
        <w:t>5. Performance Benefit - heavy work stays off the critical path</w:t>
      </w:r>
    </w:p>
    <w:p>
      <w:pPr>
        <w:spacing w:after="60"/>
        <w:jc w:val="both"/>
      </w:pPr>
      <w:r>
        <w:t>Watermark and preview generation runs on separately scaled Asset Service instances and is triggered asynchronously via events, so a sponsor loading the review page and a creator submitting a draft are not queued behind each other. The p95 latency of contract and escrow API calls therefore stays flat even while large media files are being processed - something a single layered deployment, where all requests share one thread pool and one process, cannot promise.</w:t>
      </w:r>
    </w:p>
    <w:p>
      <w:pPr>
        <w:spacing w:before="80" w:after="20"/>
      </w:pPr>
      <w:r>
        <w:rPr>
          <w:b/>
          <w:color w:val="1F4E79"/>
          <w:sz w:val="21"/>
        </w:rPr>
        <w:t>6. Trade-off Acknowledged</w:t>
      </w:r>
    </w:p>
    <w:p>
      <w:pPr>
        <w:spacing w:after="60"/>
        <w:jc w:val="both"/>
      </w:pPr>
      <w:r>
        <w:t>Microservices cost operational complexity and give up strong cross-service consistency. This is mitigated by keeping the milestone state machine authoritative in exactly one service (Contract &amp; Milestone Manager) and by making IPaymentProcessing idempotent, so a retried release can never pay a creator twice.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