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EDC" w:rsidRDefault="00360F89" w:rsidP="00291EBA">
      <w:pPr>
        <w:pStyle w:val="a3"/>
        <w:spacing w:before="0" w:after="0" w:line="480" w:lineRule="auto"/>
        <w:jc w:val="both"/>
        <w:rPr>
          <w:rFonts w:ascii="Times New Roman" w:hAnsi="Times New Roman" w:cs="Times New Roman"/>
          <w:b/>
          <w:bCs/>
          <w:kern w:val="2"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kern w:val="2"/>
          <w:sz w:val="32"/>
          <w:szCs w:val="32"/>
        </w:rPr>
        <w:t>Supplementary data</w:t>
      </w:r>
    </w:p>
    <w:p w:rsidR="00852EDC" w:rsidRDefault="00360F89" w:rsidP="00291EBA">
      <w:pPr>
        <w:spacing w:after="0" w:line="48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Materials and </w:t>
      </w:r>
      <w:r>
        <w:rPr>
          <w:rFonts w:hint="eastAsia"/>
          <w:b/>
          <w:bCs/>
          <w:sz w:val="32"/>
          <w:szCs w:val="32"/>
        </w:rPr>
        <w:t>m</w:t>
      </w:r>
      <w:r>
        <w:rPr>
          <w:b/>
          <w:bCs/>
          <w:sz w:val="32"/>
          <w:szCs w:val="32"/>
        </w:rPr>
        <w:t>ethods</w:t>
      </w:r>
    </w:p>
    <w:p w:rsidR="00852EDC" w:rsidRDefault="00360F89" w:rsidP="00291EBA">
      <w:pPr>
        <w:spacing w:after="0" w:line="480" w:lineRule="auto"/>
        <w:jc w:val="both"/>
        <w:rPr>
          <w:b/>
          <w:bCs/>
        </w:rPr>
      </w:pPr>
      <w:r>
        <w:rPr>
          <w:b/>
          <w:bCs/>
        </w:rPr>
        <w:t>Cell transfection</w:t>
      </w:r>
    </w:p>
    <w:p w:rsidR="00852EDC" w:rsidRDefault="00360F89" w:rsidP="00291EBA">
      <w:pPr>
        <w:pStyle w:val="a3"/>
        <w:spacing w:before="0" w:after="0" w:line="480" w:lineRule="auto"/>
        <w:ind w:firstLineChars="200" w:firstLine="480"/>
        <w:jc w:val="both"/>
        <w:rPr>
          <w:rFonts w:ascii="Times New Roman" w:hAnsi="Times New Roman" w:cs="Times New Roman"/>
          <w:kern w:val="2"/>
          <w:szCs w:val="22"/>
        </w:rPr>
      </w:pPr>
      <w:r>
        <w:rPr>
          <w:rFonts w:ascii="Times New Roman" w:hAnsi="Times New Roman" w:cs="Times New Roman"/>
          <w:kern w:val="2"/>
          <w:szCs w:val="22"/>
        </w:rPr>
        <w:t xml:space="preserve">KGN cells were transfected with pCDNA3.1-PINK1, pCDNA3.1-METTL3, and pCDNA3.1-NC plasmids using Lipofectamine®2000 (Invitrogen, Carlsbad, CA, USA) at a final </w:t>
      </w:r>
      <w:r>
        <w:rPr>
          <w:rFonts w:ascii="Times New Roman" w:hAnsi="Times New Roman" w:cs="Times New Roman" w:hint="eastAsia"/>
          <w:kern w:val="2"/>
          <w:szCs w:val="22"/>
        </w:rPr>
        <w:t xml:space="preserve">transfection </w:t>
      </w:r>
      <w:r>
        <w:rPr>
          <w:rFonts w:ascii="Times New Roman" w:hAnsi="Times New Roman" w:cs="Times New Roman"/>
          <w:kern w:val="2"/>
          <w:szCs w:val="22"/>
        </w:rPr>
        <w:t>concentration of 100 ng/μL. The plasmid pCDNA3.1(+) was purchased from GenePharma Co., Ltd.</w:t>
      </w:r>
      <w:r w:rsidR="00101850">
        <w:rPr>
          <w:rFonts w:ascii="Times New Roman" w:hAnsi="Times New Roman" w:cs="Times New Roman" w:hint="eastAsia"/>
          <w:kern w:val="2"/>
          <w:szCs w:val="22"/>
        </w:rPr>
        <w:t xml:space="preserve"> (Shanghai, China)</w:t>
      </w:r>
      <w:r>
        <w:rPr>
          <w:rFonts w:ascii="Times New Roman" w:hAnsi="Times New Roman" w:cs="Times New Roman"/>
          <w:kern w:val="2"/>
          <w:szCs w:val="22"/>
        </w:rPr>
        <w:t>, and HindIII and XhoI double enzyme sites</w:t>
      </w:r>
      <w:r>
        <w:rPr>
          <w:rFonts w:ascii="Times New Roman" w:hAnsi="Times New Roman" w:cs="Times New Roman" w:hint="eastAsia"/>
          <w:kern w:val="2"/>
          <w:szCs w:val="22"/>
        </w:rPr>
        <w:t xml:space="preserve"> were used</w:t>
      </w:r>
      <w:r>
        <w:rPr>
          <w:rFonts w:ascii="Times New Roman" w:hAnsi="Times New Roman" w:cs="Times New Roman"/>
          <w:kern w:val="2"/>
          <w:szCs w:val="22"/>
        </w:rPr>
        <w:t xml:space="preserve">. The overexpression primers are listed in </w:t>
      </w:r>
      <w:r>
        <w:rPr>
          <w:rFonts w:ascii="Times New Roman" w:hAnsi="Times New Roman" w:cs="Times New Roman"/>
          <w:color w:val="0000FF"/>
          <w:kern w:val="2"/>
          <w:szCs w:val="22"/>
        </w:rPr>
        <w:t xml:space="preserve">Supplementary </w:t>
      </w:r>
      <w:r w:rsidR="00101850">
        <w:rPr>
          <w:rFonts w:ascii="Times New Roman" w:hAnsi="Times New Roman" w:cs="Times New Roman" w:hint="eastAsia"/>
          <w:color w:val="0000FF"/>
          <w:kern w:val="2"/>
          <w:szCs w:val="22"/>
        </w:rPr>
        <w:t>t</w:t>
      </w:r>
      <w:r>
        <w:rPr>
          <w:rFonts w:ascii="Times New Roman" w:hAnsi="Times New Roman" w:cs="Times New Roman"/>
          <w:color w:val="0000FF"/>
          <w:kern w:val="2"/>
          <w:szCs w:val="22"/>
        </w:rPr>
        <w:t>able 1</w:t>
      </w:r>
      <w:r>
        <w:rPr>
          <w:rFonts w:ascii="Times New Roman" w:hAnsi="Times New Roman" w:cs="Times New Roman"/>
          <w:kern w:val="2"/>
          <w:szCs w:val="22"/>
        </w:rPr>
        <w:t>. Transfection efficiency was determined by RT-</w:t>
      </w:r>
      <w:r>
        <w:rPr>
          <w:rFonts w:ascii="Times New Roman" w:hAnsi="Times New Roman" w:cs="Times New Roman" w:hint="eastAsia"/>
          <w:kern w:val="2"/>
          <w:szCs w:val="22"/>
        </w:rPr>
        <w:t>q</w:t>
      </w:r>
      <w:r>
        <w:rPr>
          <w:rFonts w:ascii="Times New Roman" w:hAnsi="Times New Roman" w:cs="Times New Roman"/>
          <w:kern w:val="2"/>
          <w:szCs w:val="22"/>
        </w:rPr>
        <w:t>PCR 24 h post-transfection.</w:t>
      </w:r>
    </w:p>
    <w:p w:rsidR="00852EDC" w:rsidRDefault="00360F89" w:rsidP="00291EBA">
      <w:pPr>
        <w:spacing w:after="0" w:line="480" w:lineRule="auto"/>
        <w:jc w:val="both"/>
        <w:rPr>
          <w:rFonts w:cs="Times New Roman"/>
          <w:kern w:val="2"/>
          <w:szCs w:val="22"/>
        </w:rPr>
      </w:pPr>
      <w:r>
        <w:rPr>
          <w:rFonts w:cs="Times New Roman"/>
          <w:b/>
          <w:bCs/>
          <w:kern w:val="2"/>
          <w:szCs w:val="22"/>
        </w:rPr>
        <w:t xml:space="preserve">Supplementary </w:t>
      </w:r>
      <w:r w:rsidR="007F3700">
        <w:rPr>
          <w:rFonts w:cs="Times New Roman" w:hint="eastAsia"/>
          <w:b/>
          <w:bCs/>
          <w:kern w:val="2"/>
          <w:szCs w:val="22"/>
        </w:rPr>
        <w:t>t</w:t>
      </w:r>
      <w:r>
        <w:rPr>
          <w:rFonts w:cs="Times New Roman"/>
          <w:b/>
          <w:bCs/>
          <w:kern w:val="2"/>
          <w:szCs w:val="22"/>
        </w:rPr>
        <w:t>able 1</w:t>
      </w:r>
      <w:r>
        <w:rPr>
          <w:rFonts w:cs="Times New Roman" w:hint="eastAsia"/>
          <w:kern w:val="2"/>
          <w:szCs w:val="22"/>
        </w:rPr>
        <w:t xml:space="preserve"> PINK1 and METTL3 overexpression primer sequences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664"/>
        <w:gridCol w:w="3795"/>
        <w:gridCol w:w="4395"/>
      </w:tblGrid>
      <w:tr w:rsidR="00852EDC">
        <w:trPr>
          <w:trHeight w:val="330"/>
        </w:trPr>
        <w:tc>
          <w:tcPr>
            <w:tcW w:w="844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852EDC" w:rsidRDefault="00360F89" w:rsidP="00291EBA">
            <w:pPr>
              <w:spacing w:after="0" w:line="480" w:lineRule="auto"/>
              <w:jc w:val="both"/>
              <w:rPr>
                <w:rFonts w:cs="Times New Roman"/>
                <w:kern w:val="2"/>
                <w:szCs w:val="22"/>
              </w:rPr>
            </w:pPr>
            <w:bookmarkStart w:id="0" w:name="RANGE!A1"/>
            <w:r>
              <w:rPr>
                <w:rFonts w:cs="Times New Roman"/>
                <w:kern w:val="2"/>
                <w:szCs w:val="22"/>
              </w:rPr>
              <w:t>Gene</w:t>
            </w:r>
            <w:bookmarkEnd w:id="0"/>
          </w:p>
        </w:tc>
        <w:tc>
          <w:tcPr>
            <w:tcW w:w="1925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852EDC" w:rsidRDefault="00360F89" w:rsidP="00291EBA">
            <w:pPr>
              <w:spacing w:after="0" w:line="480" w:lineRule="auto"/>
              <w:jc w:val="both"/>
              <w:rPr>
                <w:rFonts w:cs="Times New Roman"/>
                <w:kern w:val="2"/>
                <w:szCs w:val="22"/>
              </w:rPr>
            </w:pPr>
            <w:r>
              <w:rPr>
                <w:rFonts w:cs="Times New Roman"/>
                <w:kern w:val="2"/>
                <w:szCs w:val="22"/>
              </w:rPr>
              <w:t>Forward 5’-3’</w:t>
            </w:r>
          </w:p>
        </w:tc>
        <w:tc>
          <w:tcPr>
            <w:tcW w:w="2230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852EDC" w:rsidRDefault="00360F89" w:rsidP="00291EBA">
            <w:pPr>
              <w:spacing w:after="0" w:line="480" w:lineRule="auto"/>
              <w:jc w:val="both"/>
              <w:rPr>
                <w:rFonts w:cs="Times New Roman"/>
                <w:kern w:val="2"/>
                <w:szCs w:val="22"/>
              </w:rPr>
            </w:pPr>
            <w:r>
              <w:rPr>
                <w:rFonts w:cs="Times New Roman"/>
                <w:kern w:val="2"/>
                <w:szCs w:val="22"/>
              </w:rPr>
              <w:t>Reverse 5’-3’</w:t>
            </w:r>
          </w:p>
        </w:tc>
      </w:tr>
      <w:tr w:rsidR="00852EDC">
        <w:trPr>
          <w:trHeight w:val="540"/>
        </w:trPr>
        <w:tc>
          <w:tcPr>
            <w:tcW w:w="844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EDC" w:rsidRDefault="00360F89" w:rsidP="00291EBA">
            <w:pPr>
              <w:spacing w:after="0" w:line="480" w:lineRule="auto"/>
              <w:jc w:val="both"/>
              <w:rPr>
                <w:rFonts w:cs="Times New Roman"/>
                <w:kern w:val="2"/>
                <w:szCs w:val="22"/>
              </w:rPr>
            </w:pPr>
            <w:r>
              <w:rPr>
                <w:rFonts w:cs="Times New Roman"/>
                <w:kern w:val="2"/>
                <w:szCs w:val="22"/>
              </w:rPr>
              <w:t>oe-PINK1</w:t>
            </w:r>
          </w:p>
        </w:tc>
        <w:tc>
          <w:tcPr>
            <w:tcW w:w="192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EDC" w:rsidRDefault="00360F89" w:rsidP="00291EBA">
            <w:pPr>
              <w:spacing w:after="0" w:line="480" w:lineRule="auto"/>
              <w:jc w:val="both"/>
              <w:rPr>
                <w:rFonts w:cs="Times New Roman"/>
                <w:kern w:val="2"/>
                <w:szCs w:val="22"/>
              </w:rPr>
            </w:pPr>
            <w:r>
              <w:rPr>
                <w:rFonts w:cs="Times New Roman"/>
                <w:kern w:val="2"/>
                <w:szCs w:val="22"/>
              </w:rPr>
              <w:t>GACT-AAGCTT-ATGGCGGTGCGACAGGCG</w:t>
            </w:r>
          </w:p>
        </w:tc>
        <w:tc>
          <w:tcPr>
            <w:tcW w:w="223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EDC" w:rsidRDefault="00360F89" w:rsidP="00291EBA">
            <w:pPr>
              <w:spacing w:after="0" w:line="480" w:lineRule="auto"/>
              <w:jc w:val="both"/>
              <w:rPr>
                <w:rFonts w:cs="Times New Roman"/>
                <w:kern w:val="2"/>
                <w:szCs w:val="22"/>
              </w:rPr>
            </w:pPr>
            <w:r>
              <w:rPr>
                <w:rFonts w:cs="Times New Roman"/>
                <w:kern w:val="2"/>
                <w:szCs w:val="22"/>
              </w:rPr>
              <w:t>GACC-CTCGAG-TCATGCCTGGCAGAGCGTTTC</w:t>
            </w:r>
          </w:p>
        </w:tc>
      </w:tr>
      <w:tr w:rsidR="00852EDC">
        <w:trPr>
          <w:trHeight w:val="555"/>
        </w:trPr>
        <w:tc>
          <w:tcPr>
            <w:tcW w:w="84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852EDC" w:rsidRDefault="00360F89" w:rsidP="00291EBA">
            <w:pPr>
              <w:spacing w:after="0" w:line="480" w:lineRule="auto"/>
              <w:jc w:val="both"/>
              <w:rPr>
                <w:rFonts w:cs="Times New Roman"/>
                <w:kern w:val="2"/>
                <w:szCs w:val="22"/>
              </w:rPr>
            </w:pPr>
            <w:r>
              <w:rPr>
                <w:rFonts w:cs="Times New Roman"/>
                <w:kern w:val="2"/>
                <w:szCs w:val="22"/>
              </w:rPr>
              <w:t>oe-METTL3</w:t>
            </w:r>
          </w:p>
        </w:tc>
        <w:tc>
          <w:tcPr>
            <w:tcW w:w="192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852EDC" w:rsidRDefault="00360F89" w:rsidP="00291EBA">
            <w:pPr>
              <w:spacing w:after="0" w:line="480" w:lineRule="auto"/>
              <w:jc w:val="both"/>
              <w:rPr>
                <w:rFonts w:cs="Times New Roman"/>
                <w:kern w:val="2"/>
                <w:szCs w:val="22"/>
              </w:rPr>
            </w:pPr>
            <w:r>
              <w:rPr>
                <w:rFonts w:cs="Times New Roman"/>
                <w:kern w:val="2"/>
                <w:szCs w:val="22"/>
              </w:rPr>
              <w:t>GACT-AAGCTT-ATGTCGGACACGTGGAGCTC</w:t>
            </w:r>
          </w:p>
        </w:tc>
        <w:tc>
          <w:tcPr>
            <w:tcW w:w="223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852EDC" w:rsidRDefault="00360F89" w:rsidP="00291EBA">
            <w:pPr>
              <w:spacing w:after="0" w:line="480" w:lineRule="auto"/>
              <w:jc w:val="both"/>
              <w:rPr>
                <w:rFonts w:cs="Times New Roman"/>
                <w:kern w:val="2"/>
                <w:szCs w:val="22"/>
              </w:rPr>
            </w:pPr>
            <w:r>
              <w:rPr>
                <w:rFonts w:cs="Times New Roman"/>
                <w:kern w:val="2"/>
                <w:szCs w:val="22"/>
              </w:rPr>
              <w:t>GACC-CTCGAG-CTAACCATCTGGGTACCTTTG</w:t>
            </w:r>
          </w:p>
        </w:tc>
      </w:tr>
    </w:tbl>
    <w:p w:rsidR="00852EDC" w:rsidRDefault="00360F89" w:rsidP="00291EBA">
      <w:pPr>
        <w:spacing w:after="0" w:line="480" w:lineRule="auto"/>
        <w:jc w:val="both"/>
        <w:rPr>
          <w:rFonts w:cs="Times New Roman"/>
          <w:b/>
          <w:bCs/>
          <w:kern w:val="2"/>
          <w:szCs w:val="22"/>
        </w:rPr>
      </w:pPr>
      <w:r>
        <w:rPr>
          <w:rFonts w:cs="Times New Roman"/>
          <w:b/>
          <w:bCs/>
          <w:kern w:val="2"/>
          <w:szCs w:val="22"/>
        </w:rPr>
        <w:t>RT-</w:t>
      </w:r>
      <w:bookmarkStart w:id="1" w:name="OLE_LINK199"/>
      <w:r>
        <w:rPr>
          <w:rFonts w:cs="Times New Roman" w:hint="eastAsia"/>
          <w:b/>
          <w:bCs/>
          <w:kern w:val="2"/>
          <w:szCs w:val="22"/>
        </w:rPr>
        <w:t>q</w:t>
      </w:r>
      <w:r>
        <w:rPr>
          <w:rFonts w:cs="Times New Roman"/>
          <w:b/>
          <w:bCs/>
          <w:kern w:val="2"/>
          <w:szCs w:val="22"/>
        </w:rPr>
        <w:t>PCR</w:t>
      </w:r>
      <w:bookmarkEnd w:id="1"/>
    </w:p>
    <w:p w:rsidR="00852EDC" w:rsidRDefault="00360F89" w:rsidP="00291EBA">
      <w:pPr>
        <w:spacing w:after="0" w:line="480" w:lineRule="auto"/>
        <w:ind w:firstLineChars="200" w:firstLine="480"/>
        <w:jc w:val="both"/>
        <w:rPr>
          <w:rFonts w:eastAsia="等线" w:cs="Times New Roman"/>
          <w:bCs/>
          <w:kern w:val="2"/>
        </w:rPr>
      </w:pPr>
      <w:r>
        <w:rPr>
          <w:rFonts w:eastAsia="等线" w:cs="Times New Roman"/>
          <w:bCs/>
          <w:kern w:val="2"/>
        </w:rPr>
        <w:t>Cells were subjected to total RNA extraction using Trizol reagent (</w:t>
      </w:r>
      <w:bookmarkStart w:id="2" w:name="OLE_LINK257"/>
      <w:r>
        <w:rPr>
          <w:rFonts w:eastAsia="等线" w:cs="Times New Roman"/>
          <w:bCs/>
          <w:kern w:val="2"/>
        </w:rPr>
        <w:t>Thermo Fisher Scientific</w:t>
      </w:r>
      <w:bookmarkEnd w:id="2"/>
      <w:r>
        <w:rPr>
          <w:rFonts w:eastAsia="等线" w:cs="Times New Roman"/>
          <w:bCs/>
          <w:kern w:val="2"/>
        </w:rPr>
        <w:t>). RNA concentrations were ascertained using a spectrophotometer (Thermo Fisher Scientific). The synthesis of cDNA was performed by reverse transcribing 1 μg total RNA using the PrimeScript</w:t>
      </w:r>
      <w:bookmarkStart w:id="3" w:name="OLE_LINK184"/>
      <w:bookmarkStart w:id="4" w:name="OLE_LINK183"/>
      <w:r>
        <w:rPr>
          <w:rFonts w:eastAsia="等线" w:cs="Times New Roman"/>
          <w:bCs/>
          <w:kern w:val="2"/>
          <w:vertAlign w:val="superscript"/>
        </w:rPr>
        <w:t>TM</w:t>
      </w:r>
      <w:bookmarkEnd w:id="3"/>
      <w:bookmarkEnd w:id="4"/>
      <w:r>
        <w:rPr>
          <w:rFonts w:eastAsia="等线" w:cs="Times New Roman"/>
          <w:bCs/>
          <w:kern w:val="2"/>
        </w:rPr>
        <w:t xml:space="preserve"> RT Reagent Kit (</w:t>
      </w:r>
      <w:bookmarkStart w:id="5" w:name="OLE_LINK53"/>
      <w:r>
        <w:rPr>
          <w:rFonts w:eastAsia="等线" w:cs="Times New Roman"/>
          <w:bCs/>
          <w:kern w:val="2"/>
        </w:rPr>
        <w:t>Invitrogen</w:t>
      </w:r>
      <w:bookmarkEnd w:id="5"/>
      <w:r>
        <w:rPr>
          <w:rFonts w:eastAsia="等线" w:cs="Times New Roman"/>
          <w:bCs/>
          <w:kern w:val="2"/>
        </w:rPr>
        <w:t>). RT-qPCR analysis was carried out using an ABI ViiA7DX system (</w:t>
      </w:r>
      <w:bookmarkStart w:id="6" w:name="OLE_LINK54"/>
      <w:r>
        <w:rPr>
          <w:rFonts w:eastAsia="等线" w:cs="Times New Roman"/>
          <w:bCs/>
          <w:kern w:val="2"/>
        </w:rPr>
        <w:t>Foster City</w:t>
      </w:r>
      <w:bookmarkEnd w:id="6"/>
      <w:r>
        <w:rPr>
          <w:rFonts w:eastAsia="等线" w:cs="Times New Roman"/>
          <w:bCs/>
          <w:kern w:val="2"/>
        </w:rPr>
        <w:t>, CA, USA)</w:t>
      </w:r>
      <w:r>
        <w:rPr>
          <w:rFonts w:eastAsia="等线" w:cs="Times New Roman" w:hint="eastAsia"/>
          <w:bCs/>
          <w:kern w:val="2"/>
        </w:rPr>
        <w:t>.</w:t>
      </w:r>
      <w:r>
        <w:rPr>
          <w:rFonts w:eastAsia="等线" w:cs="Times New Roman"/>
          <w:bCs/>
          <w:kern w:val="2"/>
        </w:rPr>
        <w:t xml:space="preserve"> </w:t>
      </w:r>
      <w:r>
        <w:rPr>
          <w:rFonts w:eastAsia="等线" w:cs="Times New Roman" w:hint="eastAsia"/>
          <w:bCs/>
          <w:kern w:val="2"/>
        </w:rPr>
        <w:t>W</w:t>
      </w:r>
      <w:r>
        <w:rPr>
          <w:rFonts w:eastAsia="等线" w:cs="Times New Roman"/>
          <w:bCs/>
          <w:kern w:val="2"/>
        </w:rPr>
        <w:t>ith GAPDH as an internal reference, data analysis was conducted using the 2</w:t>
      </w:r>
      <w:r>
        <w:rPr>
          <w:rFonts w:eastAsia="等线" w:cs="Times New Roman"/>
          <w:bCs/>
          <w:kern w:val="2"/>
          <w:vertAlign w:val="superscript"/>
        </w:rPr>
        <w:t>-ΔΔCt</w:t>
      </w:r>
      <w:r>
        <w:rPr>
          <w:rFonts w:eastAsia="等线" w:cs="Times New Roman"/>
          <w:bCs/>
          <w:kern w:val="2"/>
        </w:rPr>
        <w:t xml:space="preserve"> method. The primers are illustrated in </w:t>
      </w:r>
      <w:r>
        <w:rPr>
          <w:rFonts w:eastAsia="等线" w:cs="Times New Roman" w:hint="eastAsia"/>
          <w:bCs/>
          <w:color w:val="0000FF"/>
          <w:kern w:val="2"/>
        </w:rPr>
        <w:t xml:space="preserve">Supplementary </w:t>
      </w:r>
      <w:r w:rsidR="00580B19">
        <w:rPr>
          <w:rFonts w:eastAsia="等线" w:cs="Times New Roman" w:hint="eastAsia"/>
          <w:bCs/>
          <w:color w:val="0000FF"/>
          <w:kern w:val="2"/>
        </w:rPr>
        <w:t>t</w:t>
      </w:r>
      <w:r>
        <w:rPr>
          <w:rFonts w:eastAsia="等线" w:cs="Times New Roman"/>
          <w:bCs/>
          <w:color w:val="0000FF"/>
          <w:kern w:val="2"/>
        </w:rPr>
        <w:t>able 2</w:t>
      </w:r>
      <w:r>
        <w:rPr>
          <w:rFonts w:eastAsia="等线" w:cs="Times New Roman"/>
          <w:bCs/>
          <w:kern w:val="2"/>
        </w:rPr>
        <w:t>.</w:t>
      </w:r>
    </w:p>
    <w:p w:rsidR="00852EDC" w:rsidRDefault="00360F89" w:rsidP="00291EBA">
      <w:pPr>
        <w:spacing w:after="0" w:line="480" w:lineRule="auto"/>
        <w:jc w:val="both"/>
        <w:rPr>
          <w:rFonts w:cs="Times New Roman"/>
          <w:kern w:val="2"/>
          <w:szCs w:val="22"/>
        </w:rPr>
      </w:pPr>
      <w:r>
        <w:rPr>
          <w:rFonts w:cs="Times New Roman" w:hint="eastAsia"/>
          <w:b/>
          <w:bCs/>
          <w:kern w:val="2"/>
          <w:szCs w:val="22"/>
        </w:rPr>
        <w:t xml:space="preserve">Supplementary </w:t>
      </w:r>
      <w:r w:rsidR="00580B19">
        <w:rPr>
          <w:rFonts w:cs="Times New Roman" w:hint="eastAsia"/>
          <w:b/>
          <w:bCs/>
          <w:kern w:val="2"/>
          <w:szCs w:val="22"/>
        </w:rPr>
        <w:t>t</w:t>
      </w:r>
      <w:r>
        <w:rPr>
          <w:rFonts w:cs="Times New Roman" w:hint="eastAsia"/>
          <w:b/>
          <w:bCs/>
          <w:kern w:val="2"/>
          <w:szCs w:val="22"/>
        </w:rPr>
        <w:t>able 2</w:t>
      </w:r>
      <w:r>
        <w:rPr>
          <w:rFonts w:cs="Times New Roman" w:hint="eastAsia"/>
          <w:kern w:val="2"/>
          <w:szCs w:val="22"/>
        </w:rPr>
        <w:t xml:space="preserve"> Primer sequences</w:t>
      </w:r>
    </w:p>
    <w:tbl>
      <w:tblPr>
        <w:tblW w:w="4999" w:type="pct"/>
        <w:tblLook w:val="04A0" w:firstRow="1" w:lastRow="0" w:firstColumn="1" w:lastColumn="0" w:noHBand="0" w:noVBand="1"/>
      </w:tblPr>
      <w:tblGrid>
        <w:gridCol w:w="1319"/>
        <w:gridCol w:w="4427"/>
        <w:gridCol w:w="4106"/>
      </w:tblGrid>
      <w:tr w:rsidR="00852EDC">
        <w:trPr>
          <w:trHeight w:val="330"/>
        </w:trPr>
        <w:tc>
          <w:tcPr>
            <w:tcW w:w="669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852EDC" w:rsidRDefault="00360F89" w:rsidP="00291EBA">
            <w:pPr>
              <w:spacing w:after="0" w:line="480" w:lineRule="auto"/>
              <w:jc w:val="both"/>
              <w:rPr>
                <w:rFonts w:cs="Times New Roman"/>
                <w:kern w:val="2"/>
                <w:szCs w:val="22"/>
              </w:rPr>
            </w:pPr>
            <w:r>
              <w:rPr>
                <w:rFonts w:cs="Times New Roman"/>
                <w:kern w:val="2"/>
                <w:szCs w:val="22"/>
              </w:rPr>
              <w:t>Gene</w:t>
            </w:r>
          </w:p>
        </w:tc>
        <w:tc>
          <w:tcPr>
            <w:tcW w:w="2246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852EDC" w:rsidRDefault="00360F89" w:rsidP="00291EBA">
            <w:pPr>
              <w:spacing w:after="0" w:line="480" w:lineRule="auto"/>
              <w:jc w:val="both"/>
              <w:rPr>
                <w:rFonts w:cs="Times New Roman"/>
                <w:kern w:val="2"/>
                <w:szCs w:val="22"/>
              </w:rPr>
            </w:pPr>
            <w:r>
              <w:rPr>
                <w:rFonts w:cs="Times New Roman"/>
                <w:kern w:val="2"/>
                <w:szCs w:val="22"/>
              </w:rPr>
              <w:t>Forward 5’-3’</w:t>
            </w:r>
          </w:p>
        </w:tc>
        <w:tc>
          <w:tcPr>
            <w:tcW w:w="2084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852EDC" w:rsidRDefault="00360F89" w:rsidP="00291EBA">
            <w:pPr>
              <w:spacing w:after="0" w:line="480" w:lineRule="auto"/>
              <w:jc w:val="both"/>
              <w:rPr>
                <w:rFonts w:cs="Times New Roman"/>
                <w:kern w:val="2"/>
                <w:szCs w:val="22"/>
              </w:rPr>
            </w:pPr>
            <w:r>
              <w:rPr>
                <w:rFonts w:cs="Times New Roman"/>
                <w:kern w:val="2"/>
                <w:szCs w:val="22"/>
              </w:rPr>
              <w:t>Reverse 5’-3’</w:t>
            </w:r>
          </w:p>
        </w:tc>
      </w:tr>
      <w:tr w:rsidR="00852EDC">
        <w:trPr>
          <w:trHeight w:val="315"/>
        </w:trPr>
        <w:tc>
          <w:tcPr>
            <w:tcW w:w="669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EDC" w:rsidRDefault="00360F89" w:rsidP="00291EBA">
            <w:pPr>
              <w:spacing w:after="0" w:line="480" w:lineRule="auto"/>
              <w:jc w:val="both"/>
              <w:rPr>
                <w:rFonts w:cs="Times New Roman"/>
                <w:kern w:val="2"/>
                <w:szCs w:val="22"/>
              </w:rPr>
            </w:pPr>
            <w:r>
              <w:rPr>
                <w:rFonts w:cs="Times New Roman"/>
                <w:kern w:val="2"/>
                <w:szCs w:val="22"/>
              </w:rPr>
              <w:t>PINK1</w:t>
            </w:r>
          </w:p>
        </w:tc>
        <w:tc>
          <w:tcPr>
            <w:tcW w:w="224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EDC" w:rsidRDefault="00360F89" w:rsidP="00291EBA">
            <w:pPr>
              <w:spacing w:after="0" w:line="480" w:lineRule="auto"/>
              <w:jc w:val="both"/>
              <w:rPr>
                <w:rFonts w:cs="Times New Roman"/>
                <w:kern w:val="2"/>
                <w:szCs w:val="22"/>
              </w:rPr>
            </w:pPr>
            <w:r>
              <w:rPr>
                <w:rFonts w:cs="Times New Roman"/>
                <w:kern w:val="2"/>
                <w:szCs w:val="22"/>
              </w:rPr>
              <w:t>GCCTCATCGAGGAAAAACAGG</w:t>
            </w:r>
          </w:p>
        </w:tc>
        <w:tc>
          <w:tcPr>
            <w:tcW w:w="2084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EDC" w:rsidRDefault="00360F89" w:rsidP="00291EBA">
            <w:pPr>
              <w:spacing w:after="0" w:line="480" w:lineRule="auto"/>
              <w:jc w:val="both"/>
              <w:rPr>
                <w:rFonts w:cs="Times New Roman"/>
                <w:kern w:val="2"/>
                <w:szCs w:val="22"/>
              </w:rPr>
            </w:pPr>
            <w:r>
              <w:rPr>
                <w:rFonts w:cs="Times New Roman"/>
                <w:kern w:val="2"/>
                <w:szCs w:val="22"/>
              </w:rPr>
              <w:t>GTCTCGTGTCCAACGGGTC</w:t>
            </w:r>
          </w:p>
        </w:tc>
      </w:tr>
      <w:tr w:rsidR="00852EDC">
        <w:trPr>
          <w:trHeight w:val="315"/>
        </w:trPr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EDC" w:rsidRDefault="00360F89" w:rsidP="00291EBA">
            <w:pPr>
              <w:spacing w:after="0" w:line="480" w:lineRule="auto"/>
              <w:jc w:val="both"/>
              <w:rPr>
                <w:rFonts w:cs="Times New Roman"/>
                <w:kern w:val="2"/>
                <w:szCs w:val="22"/>
              </w:rPr>
            </w:pPr>
            <w:r>
              <w:rPr>
                <w:rFonts w:cs="Times New Roman"/>
                <w:kern w:val="2"/>
                <w:szCs w:val="22"/>
              </w:rPr>
              <w:lastRenderedPageBreak/>
              <w:t>METTL3</w:t>
            </w:r>
          </w:p>
        </w:tc>
        <w:tc>
          <w:tcPr>
            <w:tcW w:w="2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EDC" w:rsidRDefault="00360F89" w:rsidP="00291EBA">
            <w:pPr>
              <w:spacing w:after="0" w:line="480" w:lineRule="auto"/>
              <w:jc w:val="both"/>
              <w:rPr>
                <w:rFonts w:cs="Times New Roman"/>
                <w:kern w:val="2"/>
                <w:szCs w:val="22"/>
              </w:rPr>
            </w:pPr>
            <w:r>
              <w:rPr>
                <w:rFonts w:cs="Times New Roman"/>
                <w:kern w:val="2"/>
                <w:szCs w:val="22"/>
              </w:rPr>
              <w:t>AGCCTTCTGAACCAACAGTCC</w:t>
            </w:r>
          </w:p>
        </w:tc>
        <w:tc>
          <w:tcPr>
            <w:tcW w:w="20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EDC" w:rsidRDefault="00360F89" w:rsidP="00291EBA">
            <w:pPr>
              <w:spacing w:after="0" w:line="480" w:lineRule="auto"/>
              <w:jc w:val="both"/>
              <w:rPr>
                <w:rFonts w:cs="Times New Roman"/>
                <w:kern w:val="2"/>
                <w:szCs w:val="22"/>
              </w:rPr>
            </w:pPr>
            <w:r>
              <w:rPr>
                <w:rFonts w:cs="Times New Roman"/>
                <w:kern w:val="2"/>
                <w:szCs w:val="22"/>
              </w:rPr>
              <w:t>CCGACCTCGAGAGCGAAAT</w:t>
            </w:r>
          </w:p>
        </w:tc>
      </w:tr>
      <w:tr w:rsidR="00852EDC">
        <w:trPr>
          <w:trHeight w:val="330"/>
        </w:trPr>
        <w:tc>
          <w:tcPr>
            <w:tcW w:w="66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852EDC" w:rsidRDefault="00360F89" w:rsidP="00291EBA">
            <w:pPr>
              <w:spacing w:after="0" w:line="480" w:lineRule="auto"/>
              <w:jc w:val="both"/>
              <w:rPr>
                <w:rFonts w:cs="Times New Roman"/>
                <w:kern w:val="2"/>
                <w:szCs w:val="22"/>
              </w:rPr>
            </w:pPr>
            <w:r>
              <w:rPr>
                <w:rFonts w:cs="Times New Roman"/>
                <w:kern w:val="2"/>
                <w:szCs w:val="22"/>
              </w:rPr>
              <w:t>GAPDH</w:t>
            </w:r>
          </w:p>
        </w:tc>
        <w:tc>
          <w:tcPr>
            <w:tcW w:w="224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852EDC" w:rsidRDefault="00360F89" w:rsidP="00291EBA">
            <w:pPr>
              <w:spacing w:after="0" w:line="480" w:lineRule="auto"/>
              <w:jc w:val="both"/>
              <w:rPr>
                <w:rFonts w:cs="Times New Roman"/>
                <w:kern w:val="2"/>
                <w:szCs w:val="22"/>
              </w:rPr>
            </w:pPr>
            <w:r>
              <w:rPr>
                <w:rFonts w:cs="Times New Roman"/>
                <w:kern w:val="2"/>
                <w:szCs w:val="22"/>
              </w:rPr>
              <w:t>CAATGACCCCTTCATTGACC</w:t>
            </w:r>
          </w:p>
        </w:tc>
        <w:tc>
          <w:tcPr>
            <w:tcW w:w="208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852EDC" w:rsidRDefault="00360F89" w:rsidP="00291EBA">
            <w:pPr>
              <w:spacing w:after="0" w:line="480" w:lineRule="auto"/>
              <w:jc w:val="both"/>
              <w:rPr>
                <w:rFonts w:cs="Times New Roman"/>
                <w:kern w:val="2"/>
                <w:szCs w:val="22"/>
              </w:rPr>
            </w:pPr>
            <w:r>
              <w:rPr>
                <w:rFonts w:cs="Times New Roman"/>
                <w:kern w:val="2"/>
                <w:szCs w:val="22"/>
              </w:rPr>
              <w:t>GACAAGCTTCCCGTTCTCAG</w:t>
            </w:r>
          </w:p>
        </w:tc>
      </w:tr>
    </w:tbl>
    <w:p w:rsidR="00852EDC" w:rsidRDefault="00852EDC" w:rsidP="00291EBA">
      <w:pPr>
        <w:spacing w:after="0" w:line="480" w:lineRule="auto"/>
        <w:jc w:val="both"/>
        <w:rPr>
          <w:rFonts w:cs="Times New Roman"/>
          <w:kern w:val="2"/>
          <w:szCs w:val="22"/>
        </w:rPr>
      </w:pPr>
    </w:p>
    <w:p w:rsidR="00852EDC" w:rsidRDefault="00360F89" w:rsidP="00291EBA">
      <w:pPr>
        <w:spacing w:after="0" w:line="480" w:lineRule="auto"/>
        <w:jc w:val="both"/>
        <w:rPr>
          <w:rFonts w:cs="Times New Roman"/>
          <w:b/>
          <w:bCs/>
          <w:kern w:val="2"/>
          <w:sz w:val="32"/>
          <w:szCs w:val="32"/>
        </w:rPr>
      </w:pPr>
      <w:r>
        <w:rPr>
          <w:rFonts w:cs="Times New Roman" w:hint="eastAsia"/>
          <w:b/>
          <w:bCs/>
          <w:kern w:val="2"/>
          <w:sz w:val="32"/>
          <w:szCs w:val="32"/>
        </w:rPr>
        <w:t>Results</w:t>
      </w:r>
    </w:p>
    <w:p w:rsidR="00852EDC" w:rsidRDefault="00360F89" w:rsidP="00291EBA">
      <w:pPr>
        <w:spacing w:after="0" w:line="480" w:lineRule="auto"/>
        <w:jc w:val="both"/>
        <w:rPr>
          <w:rFonts w:cs="Times New Roman"/>
          <w:b/>
          <w:bCs/>
          <w:kern w:val="2"/>
          <w:szCs w:val="22"/>
        </w:rPr>
      </w:pPr>
      <w:r>
        <w:rPr>
          <w:rFonts w:cs="Times New Roman"/>
          <w:b/>
          <w:bCs/>
          <w:kern w:val="2"/>
          <w:szCs w:val="22"/>
        </w:rPr>
        <w:t>Detection of transfection efficiency of PINK1 and METTL3 overexpression</w:t>
      </w:r>
    </w:p>
    <w:p w:rsidR="00852EDC" w:rsidRDefault="00360F89" w:rsidP="00291EBA">
      <w:pPr>
        <w:spacing w:after="0" w:line="480" w:lineRule="auto"/>
        <w:ind w:firstLineChars="200" w:firstLine="480"/>
        <w:jc w:val="both"/>
        <w:rPr>
          <w:rFonts w:cs="Times New Roman"/>
          <w:kern w:val="2"/>
          <w:szCs w:val="22"/>
        </w:rPr>
      </w:pPr>
      <w:r>
        <w:rPr>
          <w:rFonts w:cs="Times New Roman"/>
          <w:kern w:val="2"/>
          <w:szCs w:val="22"/>
        </w:rPr>
        <w:t>Transfection efficiency of pCDNA3.1-PINK1, pCDNA3.1-METTL3, and pCDNA3.1-NC in</w:t>
      </w:r>
      <w:r w:rsidR="00404F81">
        <w:rPr>
          <w:rFonts w:cs="Times New Roman" w:hint="eastAsia"/>
          <w:kern w:val="2"/>
          <w:szCs w:val="22"/>
        </w:rPr>
        <w:t>to</w:t>
      </w:r>
      <w:r>
        <w:rPr>
          <w:rFonts w:cs="Times New Roman"/>
          <w:kern w:val="2"/>
          <w:szCs w:val="22"/>
        </w:rPr>
        <w:t xml:space="preserve"> KGN cells was assessed by RT-</w:t>
      </w:r>
      <w:r>
        <w:rPr>
          <w:rFonts w:cs="Times New Roman" w:hint="eastAsia"/>
          <w:kern w:val="2"/>
          <w:szCs w:val="22"/>
        </w:rPr>
        <w:t>q</w:t>
      </w:r>
      <w:r>
        <w:rPr>
          <w:rFonts w:cs="Times New Roman"/>
          <w:kern w:val="2"/>
          <w:szCs w:val="22"/>
        </w:rPr>
        <w:t>PCR 24 h post-transfection. The results showed that, compared to the negative control group, the expression levels of PINK1 and METTL3 mRNA were significantly increased, indicating that the overexpression vectors effectively enhan</w:t>
      </w:r>
      <w:r w:rsidR="00404F81">
        <w:rPr>
          <w:rFonts w:cs="Times New Roman"/>
          <w:kern w:val="2"/>
          <w:szCs w:val="22"/>
        </w:rPr>
        <w:t>ced the transcriptional activit</w:t>
      </w:r>
      <w:r w:rsidR="00404F81">
        <w:rPr>
          <w:rFonts w:cs="Times New Roman" w:hint="eastAsia"/>
          <w:kern w:val="2"/>
          <w:szCs w:val="22"/>
        </w:rPr>
        <w:t>ies</w:t>
      </w:r>
      <w:r>
        <w:rPr>
          <w:rFonts w:cs="Times New Roman"/>
          <w:kern w:val="2"/>
          <w:szCs w:val="22"/>
        </w:rPr>
        <w:t xml:space="preserve"> of PINK1 and METTL3 genes (</w:t>
      </w:r>
      <w:r>
        <w:rPr>
          <w:rFonts w:cs="Times New Roman" w:hint="eastAsia"/>
          <w:i/>
          <w:iCs/>
          <w:kern w:val="2"/>
          <w:szCs w:val="22"/>
        </w:rPr>
        <w:t>p</w:t>
      </w:r>
      <w:r>
        <w:rPr>
          <w:rFonts w:cs="Times New Roman"/>
          <w:kern w:val="2"/>
          <w:szCs w:val="22"/>
        </w:rPr>
        <w:t xml:space="preserve"> &lt; 0.001, </w:t>
      </w:r>
      <w:r>
        <w:rPr>
          <w:rFonts w:cs="Times New Roman"/>
          <w:color w:val="0000FF"/>
          <w:kern w:val="2"/>
          <w:szCs w:val="22"/>
        </w:rPr>
        <w:t xml:space="preserve">Supplementary </w:t>
      </w:r>
      <w:r w:rsidR="003D7900">
        <w:rPr>
          <w:rFonts w:cs="Times New Roman" w:hint="eastAsia"/>
          <w:color w:val="0000FF"/>
          <w:kern w:val="2"/>
          <w:szCs w:val="22"/>
        </w:rPr>
        <w:t>f</w:t>
      </w:r>
      <w:r>
        <w:rPr>
          <w:rFonts w:cs="Times New Roman"/>
          <w:color w:val="0000FF"/>
          <w:kern w:val="2"/>
          <w:szCs w:val="22"/>
        </w:rPr>
        <w:t>igure 1A-B</w:t>
      </w:r>
      <w:r>
        <w:rPr>
          <w:rFonts w:cs="Times New Roman"/>
          <w:kern w:val="2"/>
          <w:szCs w:val="22"/>
        </w:rPr>
        <w:t>).</w:t>
      </w:r>
      <w:r>
        <w:rPr>
          <w:rFonts w:cs="Times New Roman" w:hint="eastAsia"/>
          <w:kern w:val="2"/>
          <w:szCs w:val="22"/>
        </w:rPr>
        <w:t xml:space="preserve"> </w:t>
      </w:r>
    </w:p>
    <w:p w:rsidR="00852EDC" w:rsidRDefault="00852EDC" w:rsidP="00291EBA">
      <w:pPr>
        <w:spacing w:after="0" w:line="480" w:lineRule="auto"/>
        <w:jc w:val="both"/>
        <w:rPr>
          <w:rFonts w:cs="Times New Roman"/>
          <w:kern w:val="2"/>
          <w:szCs w:val="22"/>
        </w:rPr>
      </w:pPr>
      <w:bookmarkStart w:id="7" w:name="_GoBack"/>
      <w:bookmarkEnd w:id="7"/>
    </w:p>
    <w:p w:rsidR="00852EDC" w:rsidRDefault="00291EBA" w:rsidP="00291EBA">
      <w:pPr>
        <w:spacing w:after="0" w:line="480" w:lineRule="auto"/>
        <w:jc w:val="both"/>
        <w:rPr>
          <w:rFonts w:cs="Times New Roman"/>
          <w:kern w:val="2"/>
          <w:szCs w:val="22"/>
        </w:rPr>
      </w:pPr>
      <w:r>
        <w:rPr>
          <w:rFonts w:cs="Times New Roman" w:hint="eastAsia"/>
          <w:b/>
        </w:rPr>
        <w:t>Supplementary f</w:t>
      </w:r>
      <w:r>
        <w:rPr>
          <w:rFonts w:cs="Times New Roman"/>
          <w:b/>
        </w:rPr>
        <w:t>ig</w:t>
      </w:r>
      <w:r>
        <w:rPr>
          <w:rFonts w:cs="Times New Roman" w:hint="eastAsia"/>
          <w:b/>
        </w:rPr>
        <w:t xml:space="preserve">ure </w:t>
      </w:r>
      <w:r>
        <w:rPr>
          <w:rFonts w:cs="Times New Roman"/>
          <w:b/>
        </w:rPr>
        <w:t>1</w:t>
      </w:r>
      <w:r w:rsidRPr="009F4726">
        <w:rPr>
          <w:rFonts w:cs="Times New Roman"/>
          <w:bCs/>
        </w:rPr>
        <w:t xml:space="preserve"> Detection of transfection efficiency of PINK1 and METTL3 overexpression. Transfection of pCDNA3.1-PINK1 and pCDNA3.1-METTL3 overexpression plasmids in</w:t>
      </w:r>
      <w:r>
        <w:rPr>
          <w:rFonts w:cs="Times New Roman" w:hint="eastAsia"/>
          <w:bCs/>
        </w:rPr>
        <w:t>to</w:t>
      </w:r>
      <w:r w:rsidRPr="009F4726">
        <w:rPr>
          <w:rFonts w:cs="Times New Roman"/>
          <w:bCs/>
        </w:rPr>
        <w:t xml:space="preserve"> KGN cells c</w:t>
      </w:r>
      <w:r>
        <w:rPr>
          <w:rFonts w:cs="Times New Roman" w:hint="eastAsia"/>
          <w:bCs/>
        </w:rPr>
        <w:t>ould</w:t>
      </w:r>
      <w:r w:rsidRPr="009F4726">
        <w:rPr>
          <w:rFonts w:cs="Times New Roman"/>
          <w:bCs/>
        </w:rPr>
        <w:t xml:space="preserve"> efficiently increase the transcriptional activit</w:t>
      </w:r>
      <w:r>
        <w:rPr>
          <w:rFonts w:cs="Times New Roman" w:hint="eastAsia"/>
          <w:bCs/>
        </w:rPr>
        <w:t>ies</w:t>
      </w:r>
      <w:r w:rsidRPr="009F4726">
        <w:rPr>
          <w:rFonts w:cs="Times New Roman"/>
          <w:bCs/>
        </w:rPr>
        <w:t xml:space="preserve"> of PINK1 and METTL3 genes. (A) (B) RT-qPCR to dete</w:t>
      </w:r>
      <w:r>
        <w:rPr>
          <w:rFonts w:cs="Times New Roman" w:hint="eastAsia"/>
          <w:bCs/>
        </w:rPr>
        <w:t>rmine</w:t>
      </w:r>
      <w:r w:rsidRPr="009F4726">
        <w:rPr>
          <w:rFonts w:cs="Times New Roman"/>
          <w:bCs/>
        </w:rPr>
        <w:t xml:space="preserve"> the mRNA expression levels of PINK1 and METTL3 in KGN cells. The KGN cells used were the third passage cells. Cell experiments were independently repeated three times, and data </w:t>
      </w:r>
      <w:r>
        <w:rPr>
          <w:rFonts w:cs="Times New Roman" w:hint="eastAsia"/>
          <w:bCs/>
        </w:rPr>
        <w:t>were</w:t>
      </w:r>
      <w:r w:rsidRPr="009F4726">
        <w:rPr>
          <w:rFonts w:cs="Times New Roman"/>
          <w:bCs/>
        </w:rPr>
        <w:t xml:space="preserve"> presented as mean ± SD. Comparisons among multiple groups were performed using one-way ANOVA, followed by Tukey's multiple comparison test. *** </w:t>
      </w:r>
      <w:r w:rsidRPr="009F4726">
        <w:rPr>
          <w:rFonts w:cs="Times New Roman"/>
          <w:bCs/>
          <w:i/>
          <w:iCs/>
        </w:rPr>
        <w:t>p</w:t>
      </w:r>
      <w:r w:rsidRPr="009F4726">
        <w:rPr>
          <w:rFonts w:cs="Times New Roman"/>
          <w:bCs/>
        </w:rPr>
        <w:t xml:space="preserve"> &lt; 0.001. PINK1, PTEN-induced kinase 1; METTL3, methyltransferase-like 3; oe-NC, overexpression negative control; oe-PINK1, overexpression of PINK1; oe-METTL3, overexpression of METTL3.</w:t>
      </w:r>
    </w:p>
    <w:p w:rsidR="00852EDC" w:rsidRDefault="00852EDC" w:rsidP="00291EBA">
      <w:pPr>
        <w:spacing w:after="0" w:line="480" w:lineRule="auto"/>
        <w:ind w:firstLineChars="200" w:firstLine="480"/>
        <w:jc w:val="both"/>
        <w:rPr>
          <w:rFonts w:cs="Times New Roman"/>
          <w:kern w:val="2"/>
          <w:szCs w:val="22"/>
        </w:rPr>
      </w:pPr>
    </w:p>
    <w:sectPr w:rsidR="00852EDC">
      <w:pgSz w:w="11906" w:h="16838"/>
      <w:pgMar w:top="1134" w:right="1134" w:bottom="1134" w:left="1134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F5F" w:rsidRDefault="00E40F5F">
      <w:pPr>
        <w:spacing w:after="0"/>
      </w:pPr>
      <w:r>
        <w:separator/>
      </w:r>
    </w:p>
  </w:endnote>
  <w:endnote w:type="continuationSeparator" w:id="0">
    <w:p w:rsidR="00E40F5F" w:rsidRDefault="00E40F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F5F" w:rsidRDefault="00E40F5F">
      <w:pPr>
        <w:spacing w:after="0"/>
      </w:pPr>
      <w:r>
        <w:separator/>
      </w:r>
    </w:p>
  </w:footnote>
  <w:footnote w:type="continuationSeparator" w:id="0">
    <w:p w:rsidR="00E40F5F" w:rsidRDefault="00E40F5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A1tDAysLQwNTEyMDBQ0lEKTi0uzszPAykwqgUAZbE4GywAAAA="/>
    <w:docVar w:name="commondata" w:val="eyJoZGlkIjoiMmJhYjQyYzk3ZDU4ZDI4MmFhN2Q4YWUxNWRjM2Y1NTYifQ=="/>
  </w:docVars>
  <w:rsids>
    <w:rsidRoot w:val="00172A27"/>
    <w:rsid w:val="000E3574"/>
    <w:rsid w:val="00101850"/>
    <w:rsid w:val="00172A27"/>
    <w:rsid w:val="001B4941"/>
    <w:rsid w:val="00291EBA"/>
    <w:rsid w:val="00360F89"/>
    <w:rsid w:val="003D7900"/>
    <w:rsid w:val="00404F81"/>
    <w:rsid w:val="004C6050"/>
    <w:rsid w:val="00580B19"/>
    <w:rsid w:val="007F3700"/>
    <w:rsid w:val="00852EDC"/>
    <w:rsid w:val="009339B8"/>
    <w:rsid w:val="00C550A8"/>
    <w:rsid w:val="00C91786"/>
    <w:rsid w:val="00E40F5F"/>
    <w:rsid w:val="02DB1050"/>
    <w:rsid w:val="03084090"/>
    <w:rsid w:val="039931C3"/>
    <w:rsid w:val="05173FCA"/>
    <w:rsid w:val="056E2007"/>
    <w:rsid w:val="07EF6488"/>
    <w:rsid w:val="091313A7"/>
    <w:rsid w:val="0A916473"/>
    <w:rsid w:val="0B830974"/>
    <w:rsid w:val="0DE0038F"/>
    <w:rsid w:val="0F515C7A"/>
    <w:rsid w:val="147D1ED8"/>
    <w:rsid w:val="15443A4D"/>
    <w:rsid w:val="174E26C0"/>
    <w:rsid w:val="18122C27"/>
    <w:rsid w:val="18EB0D9F"/>
    <w:rsid w:val="19571E4D"/>
    <w:rsid w:val="19781B17"/>
    <w:rsid w:val="19921947"/>
    <w:rsid w:val="1B7C3D03"/>
    <w:rsid w:val="1E660A7D"/>
    <w:rsid w:val="24860BA8"/>
    <w:rsid w:val="24CC03F6"/>
    <w:rsid w:val="253E08B7"/>
    <w:rsid w:val="2BC04B49"/>
    <w:rsid w:val="2C6A2B18"/>
    <w:rsid w:val="2CC002B3"/>
    <w:rsid w:val="2D4A66CD"/>
    <w:rsid w:val="2DE25FC4"/>
    <w:rsid w:val="2F672695"/>
    <w:rsid w:val="30FA7AC8"/>
    <w:rsid w:val="31376467"/>
    <w:rsid w:val="32577224"/>
    <w:rsid w:val="34700546"/>
    <w:rsid w:val="36CA26CF"/>
    <w:rsid w:val="37FD2A11"/>
    <w:rsid w:val="38AA3653"/>
    <w:rsid w:val="38BD38B5"/>
    <w:rsid w:val="3A2F6786"/>
    <w:rsid w:val="3B080AB1"/>
    <w:rsid w:val="3BDA141A"/>
    <w:rsid w:val="3E1149E6"/>
    <w:rsid w:val="3EDC6A5F"/>
    <w:rsid w:val="3FB427B9"/>
    <w:rsid w:val="3FD2382B"/>
    <w:rsid w:val="41D6209E"/>
    <w:rsid w:val="42D3328C"/>
    <w:rsid w:val="440D1834"/>
    <w:rsid w:val="44F44409"/>
    <w:rsid w:val="44FB73A7"/>
    <w:rsid w:val="45E87A97"/>
    <w:rsid w:val="489E0C17"/>
    <w:rsid w:val="4CD215A8"/>
    <w:rsid w:val="4D5A571F"/>
    <w:rsid w:val="4DE1647B"/>
    <w:rsid w:val="50A81DEE"/>
    <w:rsid w:val="51F7003D"/>
    <w:rsid w:val="527F3531"/>
    <w:rsid w:val="53935F59"/>
    <w:rsid w:val="554F1B11"/>
    <w:rsid w:val="55CE2795"/>
    <w:rsid w:val="56B700EC"/>
    <w:rsid w:val="58EB1254"/>
    <w:rsid w:val="5ABF6B4D"/>
    <w:rsid w:val="5B590213"/>
    <w:rsid w:val="5E6D1915"/>
    <w:rsid w:val="5EA902B4"/>
    <w:rsid w:val="617C3A5E"/>
    <w:rsid w:val="620F5E87"/>
    <w:rsid w:val="62D0551C"/>
    <w:rsid w:val="62DB07C5"/>
    <w:rsid w:val="667253B0"/>
    <w:rsid w:val="68660054"/>
    <w:rsid w:val="6D1425F3"/>
    <w:rsid w:val="6D33103F"/>
    <w:rsid w:val="6EEF28D7"/>
    <w:rsid w:val="724578F3"/>
    <w:rsid w:val="728F351E"/>
    <w:rsid w:val="72EB27F1"/>
    <w:rsid w:val="7407381D"/>
    <w:rsid w:val="744523DD"/>
    <w:rsid w:val="76DB1416"/>
    <w:rsid w:val="77E02B03"/>
    <w:rsid w:val="7A8C5CE8"/>
    <w:rsid w:val="7D6D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oa heading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cstheme="minorBidi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oa heading"/>
    <w:basedOn w:val="a"/>
    <w:next w:val="a"/>
    <w:qFormat/>
    <w:pPr>
      <w:spacing w:before="120"/>
    </w:pPr>
    <w:rPr>
      <w:rFonts w:ascii="Arial" w:hAnsi="Arial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Times New Roman" w:hint="eastAsia"/>
    </w:rPr>
  </w:style>
  <w:style w:type="paragraph" w:styleId="a4">
    <w:name w:val="Normal (Web)"/>
    <w:basedOn w:val="a"/>
    <w:qFormat/>
    <w:pPr>
      <w:spacing w:beforeAutospacing="1" w:after="0" w:afterAutospacing="1"/>
    </w:pPr>
    <w:rPr>
      <w:rFonts w:cs="Times New Roman"/>
    </w:rPr>
  </w:style>
  <w:style w:type="table" w:styleId="a5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Hyperlink"/>
    <w:basedOn w:val="a0"/>
    <w:qFormat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oa heading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cstheme="minorBidi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oa heading"/>
    <w:basedOn w:val="a"/>
    <w:next w:val="a"/>
    <w:qFormat/>
    <w:pPr>
      <w:spacing w:before="120"/>
    </w:pPr>
    <w:rPr>
      <w:rFonts w:ascii="Arial" w:hAnsi="Arial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Times New Roman" w:hint="eastAsia"/>
    </w:rPr>
  </w:style>
  <w:style w:type="paragraph" w:styleId="a4">
    <w:name w:val="Normal (Web)"/>
    <w:basedOn w:val="a"/>
    <w:qFormat/>
    <w:pPr>
      <w:spacing w:beforeAutospacing="1" w:after="0" w:afterAutospacing="1"/>
    </w:pPr>
    <w:rPr>
      <w:rFonts w:cs="Times New Roman"/>
    </w:rPr>
  </w:style>
  <w:style w:type="table" w:styleId="a5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Adminstration</dc:creator>
  <cp:lastModifiedBy>Administration</cp:lastModifiedBy>
  <cp:revision>5</cp:revision>
  <dcterms:created xsi:type="dcterms:W3CDTF">2024-09-11T07:58:00Z</dcterms:created>
  <dcterms:modified xsi:type="dcterms:W3CDTF">2025-02-08T08:41:00Z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0E675053851B4D80A892D0ED87160D67_13</vt:lpwstr>
  </property>
  <property fmtid="{D5CDD505-2E9C-101B-9397-08002B2CF9AE}" pid="4" name="KSOTemplateDocerSaveRecord">
    <vt:lpwstr>eyJoZGlkIjoiMmJhYjQyYzk3ZDU4ZDI4MmFhN2Q4YWUxNWRjM2Y1NTYiLCJ1c2VySWQiOiIzMDY1NDg2MjkifQ==</vt:lpwstr>
  </property>
</Properties>
</file>