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F8" w:rsidRDefault="005041F8" w:rsidP="005041F8">
      <w:pPr>
        <w:pStyle w:val="Heading1"/>
        <w:jc w:val="right"/>
      </w:pPr>
    </w:p>
    <w:p w:rsidR="005041F8" w:rsidRPr="00EE579D" w:rsidRDefault="005041F8" w:rsidP="005041F8">
      <w:pPr>
        <w:spacing w:line="360" w:lineRule="auto"/>
        <w:ind w:left="284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36830</wp:posOffset>
            </wp:positionV>
            <wp:extent cx="899160" cy="868680"/>
            <wp:effectExtent l="0" t="0" r="0" b="762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3804" r="6061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8" w:history="1">
        <w:r w:rsidRPr="00EE579D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5041F8" w:rsidRPr="00EE579D" w:rsidRDefault="005041F8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 w:rsidRPr="00EE579D"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MATHEMATICAL ROUTINES</w:t>
      </w:r>
    </w:p>
    <w:p w:rsidR="005041F8" w:rsidRPr="00E87932" w:rsidRDefault="005041F8" w:rsidP="005041F8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 w:rsidRPr="00791888">
        <w:rPr>
          <w:rFonts w:ascii="Tahoma" w:hAnsi="Tahoma" w:cs="Tahoma"/>
          <w:color w:val="0000CC"/>
        </w:rPr>
        <w:t xml:space="preserve"> </w:t>
      </w:r>
      <w:r>
        <w:rPr>
          <w:rFonts w:ascii="Tahoma" w:hAnsi="Tahoma" w:cs="Tahoma"/>
          <w:color w:val="0000CC"/>
        </w:rPr>
        <w:t xml:space="preserve">    </w:t>
      </w:r>
      <w:r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>COMPUTATION OF ONE-DIMENSIONAL</w:t>
      </w:r>
    </w:p>
    <w:p w:rsidR="005041F8" w:rsidRPr="00E87932" w:rsidRDefault="005041F8" w:rsidP="005041F8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      INTEGRALS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ab/>
        <w:t xml:space="preserve"> 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5041F8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5041F8">
      <w:pPr>
        <w:spacing w:line="276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5041F8" w:rsidRPr="00A00B3E" w:rsidRDefault="005041F8" w:rsidP="005041F8">
      <w:pPr>
        <w:spacing w:line="360" w:lineRule="auto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</w:p>
    <w:p w:rsidR="005041F8" w:rsidRDefault="00926D3F" w:rsidP="005041F8">
      <w:pPr>
        <w:rPr>
          <w:rFonts w:ascii="Bookman Old Style" w:hAnsi="Bookman Old Style" w:cs="Tahoma"/>
          <w:b/>
          <w:color w:val="000099"/>
        </w:rPr>
      </w:pPr>
      <w:hyperlink r:id="rId9" w:history="1">
        <w:r w:rsidR="005041F8">
          <w:rPr>
            <w:rStyle w:val="Hyperlink"/>
            <w:rFonts w:ascii="Bookman Old Style" w:hAnsi="Bookman Old Style" w:cs="Tahoma"/>
            <w:b/>
          </w:rPr>
          <w:t>DOWNLOAD DIRECTORY FOR MATLAB SCRIPTS</w:t>
        </w:r>
      </w:hyperlink>
    </w:p>
    <w:p w:rsidR="005041F8" w:rsidRDefault="005041F8" w:rsidP="005041F8">
      <w:pPr>
        <w:pStyle w:val="Heading1"/>
      </w:pPr>
    </w:p>
    <w:p w:rsidR="005041F8" w:rsidRDefault="00E87932" w:rsidP="00E87932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math_integration_1D</w:t>
      </w:r>
      <w:r w:rsidR="005041F8"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E87932" w:rsidRDefault="00E87932" w:rsidP="00E87932">
      <w:r>
        <w:t>Demonstration mscript evaluating the integral of two functions using a number of different methods</w:t>
      </w:r>
    </w:p>
    <w:p w:rsidR="00E87932" w:rsidRDefault="00E87932" w:rsidP="00E87932"/>
    <w:p w:rsidR="00E87932" w:rsidRDefault="00E87932" w:rsidP="00E87932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simpson1d</w:t>
      </w:r>
      <w:r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E87932" w:rsidRDefault="0035357F" w:rsidP="00E87932">
      <w:r>
        <w:t>Function to give the integral o</w:t>
      </w:r>
      <w:r w:rsidR="00E87932">
        <w:t>f a function using Simpson’s 1/3 rule.</w:t>
      </w:r>
    </w:p>
    <w:p w:rsidR="00E87932" w:rsidRDefault="00E87932" w:rsidP="00E87932"/>
    <w:p w:rsidR="00E87932" w:rsidRDefault="00E87932" w:rsidP="00E87932"/>
    <w:p w:rsidR="005041F8" w:rsidRDefault="005041F8" w:rsidP="00E87932">
      <w:pPr>
        <w:pStyle w:val="Title"/>
        <w:jc w:val="left"/>
      </w:pPr>
    </w:p>
    <w:p w:rsidR="00DC5D00" w:rsidRPr="00E87932" w:rsidRDefault="00DC5D00" w:rsidP="00E87932">
      <w:pPr>
        <w:rPr>
          <w:rFonts w:ascii="Bookman Old Style" w:hAnsi="Bookman Old Style"/>
          <w:b/>
          <w:color w:val="0000FF"/>
          <w:sz w:val="28"/>
          <w:szCs w:val="28"/>
        </w:rPr>
      </w:pPr>
      <w:r w:rsidRPr="00E87932">
        <w:rPr>
          <w:rFonts w:ascii="Bookman Old Style" w:hAnsi="Bookman Old Style"/>
          <w:b/>
          <w:color w:val="0000FF"/>
          <w:sz w:val="28"/>
          <w:szCs w:val="28"/>
        </w:rPr>
        <w:t>NUMERICAL INTEGRATION</w:t>
      </w:r>
    </w:p>
    <w:p w:rsidR="00DC5D00" w:rsidRPr="00E87932" w:rsidRDefault="00DC5D00" w:rsidP="00E87932">
      <w:pPr>
        <w:rPr>
          <w:rFonts w:ascii="Bookman Old Style" w:hAnsi="Bookman Old Style"/>
          <w:b/>
          <w:color w:val="0000FF"/>
          <w:sz w:val="28"/>
          <w:szCs w:val="28"/>
        </w:rPr>
      </w:pPr>
      <w:r w:rsidRPr="00E87932">
        <w:rPr>
          <w:rFonts w:ascii="Bookman Old Style" w:hAnsi="Bookman Old Style"/>
          <w:b/>
          <w:color w:val="0000FF"/>
          <w:sz w:val="28"/>
          <w:szCs w:val="28"/>
        </w:rPr>
        <w:t>COMPUTATION OF ONE-DIMENSIONAL INTEGRALS</w:t>
      </w:r>
    </w:p>
    <w:p w:rsidR="00DC5D00" w:rsidRDefault="00DC5D00"/>
    <w:p w:rsidR="00E87932" w:rsidRDefault="00E87932" w:rsidP="00E87932">
      <w:r>
        <w:t xml:space="preserve">The function  </w:t>
      </w:r>
      <w:r w:rsidRPr="00E87932">
        <w:rPr>
          <w:rFonts w:ascii="Calibri" w:hAnsi="Calibri"/>
          <w:b/>
          <w:color w:val="984806"/>
        </w:rPr>
        <w:t>simpson1d.m</w:t>
      </w:r>
      <w:r>
        <w:rPr>
          <w:rFonts w:ascii="Calibri" w:hAnsi="Calibri"/>
          <w:b/>
          <w:color w:val="984806"/>
        </w:rPr>
        <w:t xml:space="preserve"> </w:t>
      </w:r>
      <w:r w:rsidR="0035357F">
        <w:rPr>
          <w:rFonts w:ascii="Calibri" w:hAnsi="Calibri"/>
          <w:b/>
          <w:color w:val="984806"/>
        </w:rPr>
        <w:t xml:space="preserve"> </w:t>
      </w:r>
      <w:r>
        <w:t xml:space="preserve">is a very versatile , accurate and easy to implement function that can be used to evaluate a definite integral of a function between a lower bound and an upper bound. It is easier to use than the standard Matlab integration functions such as </w:t>
      </w:r>
      <w:r w:rsidRPr="00E87932">
        <w:rPr>
          <w:rFonts w:asciiTheme="minorHAnsi" w:hAnsiTheme="minorHAnsi"/>
          <w:color w:val="984806" w:themeColor="accent6" w:themeShade="80"/>
        </w:rPr>
        <w:t>quad</w:t>
      </w:r>
      <w:r>
        <w:t>. The function</w:t>
      </w:r>
      <w:r w:rsidR="0035357F">
        <w:t xml:space="preserve"> </w:t>
      </w:r>
      <w:r>
        <w:t xml:space="preserve"> </w:t>
      </w:r>
      <w:r w:rsidRPr="00E87932">
        <w:rPr>
          <w:rFonts w:ascii="Calibri" w:hAnsi="Calibri"/>
          <w:b/>
          <w:color w:val="984806"/>
        </w:rPr>
        <w:t>simpson1d.m</w:t>
      </w:r>
      <w:r>
        <w:t xml:space="preserve">  is described in detail below.</w:t>
      </w:r>
    </w:p>
    <w:p w:rsidR="00E87932" w:rsidRDefault="00E87932" w:rsidP="006C63ED">
      <w:pPr>
        <w:pBdr>
          <w:bottom w:val="single" w:sz="6" w:space="1" w:color="auto"/>
        </w:pBdr>
        <w:spacing w:line="276" w:lineRule="auto"/>
      </w:pPr>
    </w:p>
    <w:p w:rsidR="00E87932" w:rsidRDefault="00E87932" w:rsidP="006C63ED">
      <w:pPr>
        <w:spacing w:line="276" w:lineRule="auto"/>
      </w:pPr>
    </w:p>
    <w:p w:rsidR="00DC5D00" w:rsidRDefault="00DC5D00" w:rsidP="006C63ED">
      <w:pPr>
        <w:spacing w:line="276" w:lineRule="auto"/>
      </w:pPr>
      <w:r>
        <w:t xml:space="preserve">We want to compute a number expressing the definite integral of the function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between two specific limits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</w:p>
    <w:p w:rsidR="00DC5D00" w:rsidRDefault="00DC5D00" w:rsidP="006C63ED">
      <w:pPr>
        <w:pStyle w:val="Footer"/>
        <w:tabs>
          <w:tab w:val="clear" w:pos="4153"/>
          <w:tab w:val="clear" w:pos="8306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0"/>
        </w:rPr>
        <w:object w:dxaOrig="14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28.2pt" o:ole="">
            <v:imagedata r:id="rId10" o:title=""/>
          </v:shape>
          <o:OLEObject Type="Embed" ProgID="Equation.DSMT4" ShapeID="_x0000_i1025" DrawAspect="Content" ObjectID="_1470467428" r:id="rId11"/>
        </w:objec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 xml:space="preserve">The evaluation of such integrals is often called </w:t>
      </w:r>
      <w:r w:rsidRPr="00FD7DC6">
        <w:rPr>
          <w:b/>
          <w:bCs/>
          <w:i/>
          <w:iCs/>
          <w:color w:val="0000FF"/>
        </w:rPr>
        <w:t>quadrature</w:t>
      </w:r>
      <w:r>
        <w:t>.</w: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E87932" w:rsidRDefault="00E87932">
      <w:r>
        <w:br w:type="page"/>
      </w:r>
    </w:p>
    <w:p w:rsidR="00DC5D00" w:rsidRDefault="006C63ED" w:rsidP="006C63ED">
      <w:pPr>
        <w:tabs>
          <w:tab w:val="left" w:pos="900"/>
          <w:tab w:val="left" w:pos="6840"/>
        </w:tabs>
        <w:spacing w:line="276" w:lineRule="auto"/>
      </w:pPr>
      <w:r>
        <w:lastRenderedPageBreak/>
        <w:t xml:space="preserve">We will consider the following </w:t>
      </w:r>
      <w:r w:rsidR="00DC5D00">
        <w:t>integrands to test the</w:t>
      </w:r>
      <w:r w:rsidR="00257F01">
        <w:t xml:space="preserve"> accu</w:t>
      </w:r>
      <w:r w:rsidR="00DC5D00">
        <w:t>racy</w:t>
      </w:r>
      <w:r w:rsidR="00257F01">
        <w:t xml:space="preserve"> </w:t>
      </w:r>
      <w:r w:rsidR="00DC5D00">
        <w:t xml:space="preserve">of different </w:t>
      </w:r>
      <w:r>
        <w:t xml:space="preserve">integration </w:t>
      </w:r>
      <w:r w:rsidR="00DC5D00">
        <w:t>procedures</w:t>
      </w:r>
      <w:r>
        <w:t>:</w: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6C63ED" w:rsidRDefault="00DC5D00" w:rsidP="006C63ED">
      <w:pPr>
        <w:tabs>
          <w:tab w:val="left" w:pos="567"/>
          <w:tab w:val="left" w:pos="1418"/>
          <w:tab w:val="left" w:pos="4500"/>
          <w:tab w:val="left" w:pos="6840"/>
        </w:tabs>
        <w:spacing w:line="276" w:lineRule="auto"/>
      </w:pPr>
      <w:r>
        <w:tab/>
      </w:r>
      <w:r w:rsidR="006C63ED">
        <w:t>(1)</w:t>
      </w:r>
      <w:r w:rsidR="006C63ED">
        <w:tab/>
      </w:r>
      <w:r>
        <w:rPr>
          <w:position w:val="-10"/>
        </w:rPr>
        <w:object w:dxaOrig="1380" w:dyaOrig="320">
          <v:shape id="_x0000_i1026" type="#_x0000_t75" style="width:69pt;height:16.2pt" o:ole="">
            <v:imagedata r:id="rId12" o:title=""/>
          </v:shape>
          <o:OLEObject Type="Embed" ProgID="Equation.DSMT4" ShapeID="_x0000_i1026" DrawAspect="Content" ObjectID="_1470467429" r:id="rId13"/>
        </w:object>
      </w:r>
    </w:p>
    <w:p w:rsidR="006C63ED" w:rsidRDefault="006C63ED" w:rsidP="006C63ED">
      <w:pPr>
        <w:tabs>
          <w:tab w:val="left" w:pos="567"/>
          <w:tab w:val="left" w:pos="1418"/>
          <w:tab w:val="left" w:pos="4500"/>
          <w:tab w:val="left" w:pos="6840"/>
        </w:tabs>
        <w:spacing w:line="276" w:lineRule="auto"/>
      </w:pPr>
    </w:p>
    <w:p w:rsidR="00DC5D00" w:rsidRDefault="006C63ED" w:rsidP="006C63ED">
      <w:pPr>
        <w:tabs>
          <w:tab w:val="left" w:pos="567"/>
          <w:tab w:val="left" w:pos="1418"/>
          <w:tab w:val="left" w:pos="4500"/>
          <w:tab w:val="left" w:pos="6840"/>
        </w:tabs>
        <w:spacing w:line="276" w:lineRule="auto"/>
      </w:pPr>
      <w:r>
        <w:tab/>
        <w:t>(2)</w:t>
      </w:r>
      <w:r>
        <w:tab/>
      </w:r>
      <w:r w:rsidR="00DC5D00">
        <w:rPr>
          <w:position w:val="-10"/>
        </w:rPr>
        <w:object w:dxaOrig="1100" w:dyaOrig="400">
          <v:shape id="_x0000_i1027" type="#_x0000_t75" style="width:55.2pt;height:19.8pt" o:ole="">
            <v:imagedata r:id="rId14" o:title=""/>
          </v:shape>
          <o:OLEObject Type="Embed" ProgID="Equation.DSMT4" ShapeID="_x0000_i1027" DrawAspect="Content" ObjectID="_1470467430" r:id="rId15"/>
        </w:object>
      </w:r>
    </w:p>
    <w:tbl>
      <w:tblPr>
        <w:tblW w:w="0" w:type="auto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000" w:firstRow="0" w:lastRow="0" w:firstColumn="0" w:lastColumn="0" w:noHBand="0" w:noVBand="0"/>
      </w:tblPr>
      <w:tblGrid>
        <w:gridCol w:w="7920"/>
      </w:tblGrid>
      <w:tr w:rsidR="00DC5D00">
        <w:tc>
          <w:tcPr>
            <w:tcW w:w="7920" w:type="dxa"/>
          </w:tcPr>
          <w:p w:rsidR="00DC5D00" w:rsidRDefault="00DC5D00" w:rsidP="00E87932">
            <w:pPr>
              <w:tabs>
                <w:tab w:val="left" w:pos="900"/>
                <w:tab w:val="center" w:pos="3852"/>
                <w:tab w:val="left" w:pos="6840"/>
                <w:tab w:val="right" w:pos="7704"/>
              </w:tabs>
              <w:spacing w:line="276" w:lineRule="auto"/>
            </w:pPr>
          </w:p>
        </w:tc>
      </w:tr>
    </w:tbl>
    <w:p w:rsidR="006C63ED" w:rsidRDefault="00DC5D00" w:rsidP="006C63ED">
      <w:pPr>
        <w:tabs>
          <w:tab w:val="left" w:pos="900"/>
          <w:tab w:val="left" w:pos="6840"/>
        </w:tabs>
        <w:spacing w:line="276" w:lineRule="auto"/>
      </w:pPr>
      <w:r>
        <w:t>The integrals are evaluated over a quarter cycle in an attempt to find a minimum number of partitions of the domain that produce accurate results within a reasonable time.  For the testing procedures, the following integrals are to be evaluated</w:t>
      </w:r>
      <w:r w:rsidR="006C63ED">
        <w:t xml:space="preserve"> from</w:t>
      </w:r>
    </w:p>
    <w:p w:rsidR="00DC5D00" w:rsidRDefault="006C63ED" w:rsidP="006C63ED">
      <w:pPr>
        <w:tabs>
          <w:tab w:val="left" w:pos="567"/>
          <w:tab w:val="left" w:pos="6840"/>
        </w:tabs>
        <w:spacing w:line="276" w:lineRule="auto"/>
      </w:pPr>
      <w:r w:rsidRPr="006C63ED">
        <w:rPr>
          <w:i/>
        </w:rPr>
        <w:t>a</w:t>
      </w:r>
      <w:r>
        <w:t xml:space="preserve"> = 0 to </w:t>
      </w:r>
      <w:r w:rsidRPr="006C63ED">
        <w:rPr>
          <w:i/>
        </w:rPr>
        <w:t>b</w:t>
      </w:r>
      <w:r>
        <w:t xml:space="preserve"> = </w:t>
      </w:r>
      <w:r>
        <w:sym w:font="Symbol" w:char="F070"/>
      </w:r>
      <w:r>
        <w:t>/2</w: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0"/>
        </w:rPr>
        <w:object w:dxaOrig="1820" w:dyaOrig="560">
          <v:shape id="_x0000_i1028" type="#_x0000_t75" style="width:91.2pt;height:28.2pt" o:ole="">
            <v:imagedata r:id="rId16" o:title=""/>
          </v:shape>
          <o:OLEObject Type="Embed" ProgID="Equation.DSMT4" ShapeID="_x0000_i1028" DrawAspect="Content" ObjectID="_1470467431" r:id="rId17"/>
        </w:object>
      </w:r>
      <w:r>
        <w:t xml:space="preserve">     and     </w:t>
      </w:r>
      <w:r>
        <w:rPr>
          <w:position w:val="-20"/>
        </w:rPr>
        <w:object w:dxaOrig="1520" w:dyaOrig="560">
          <v:shape id="_x0000_i1029" type="#_x0000_t75" style="width:76.2pt;height:28.2pt" o:ole="">
            <v:imagedata r:id="rId18" o:title=""/>
          </v:shape>
          <o:OLEObject Type="Embed" ProgID="Equation.DSMT4" ShapeID="_x0000_i1029" DrawAspect="Content" ObjectID="_1470467432" r:id="rId19"/>
        </w:objec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>These integral</w:t>
      </w:r>
      <w:r w:rsidR="006C63ED">
        <w:t>s</w:t>
      </w:r>
      <w:r>
        <w:t xml:space="preserve"> can be evaluated analytically and the exact answers are</w: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0"/>
        </w:rPr>
        <w:object w:dxaOrig="5179" w:dyaOrig="560">
          <v:shape id="_x0000_i1030" type="#_x0000_t75" style="width:259.2pt;height:28.2pt" o:ole="">
            <v:imagedata r:id="rId20" o:title=""/>
          </v:shape>
          <o:OLEObject Type="Embed" ProgID="Equation.DSMT4" ShapeID="_x0000_i1030" DrawAspect="Content" ObjectID="_1470467433" r:id="rId21"/>
        </w:objec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34"/>
        </w:rPr>
        <w:object w:dxaOrig="5060" w:dyaOrig="840">
          <v:shape id="_x0000_i1031" type="#_x0000_t75" style="width:253.2pt;height:42pt" o:ole="">
            <v:imagedata r:id="rId22" o:title=""/>
          </v:shape>
          <o:OLEObject Type="Embed" ProgID="Equation.DSMT4" ShapeID="_x0000_i1031" DrawAspect="Content" ObjectID="_1470467434" r:id="rId23"/>
        </w:objec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 xml:space="preserve">The numerical procedures assume that neither the integrand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 nor any of its derivat</w:t>
      </w:r>
      <w:r w:rsidR="0035357F">
        <w:t>iv</w:t>
      </w:r>
      <w:r>
        <w:t>es become infinite at any point over the domain of the integration [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], and that the limits of integration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finite. Furthermore, we assume that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can be computed, or its values are known at </w:t>
      </w:r>
      <w:r>
        <w:rPr>
          <w:i/>
          <w:iCs/>
        </w:rPr>
        <w:t>N</w:t>
      </w:r>
      <w:r>
        <w:t xml:space="preserve"> points </w:t>
      </w:r>
      <w:r>
        <w:rPr>
          <w:i/>
          <w:iCs/>
        </w:rPr>
        <w:t>x</w:t>
      </w:r>
      <w:r w:rsidR="006C63ED" w:rsidRPr="006C63ED">
        <w:rPr>
          <w:i/>
          <w:sz w:val="28"/>
          <w:vertAlign w:val="subscript"/>
        </w:rPr>
        <w:t>c</w:t>
      </w:r>
      <w:r w:rsidR="006C63ED" w:rsidRPr="006C63ED">
        <w:t xml:space="preserve"> where </w:t>
      </w:r>
      <w:r>
        <w:t xml:space="preserve"> </w:t>
      </w:r>
      <w:r w:rsidR="006C63ED" w:rsidRPr="006C63ED">
        <w:rPr>
          <w:i/>
        </w:rPr>
        <w:t>c</w:t>
      </w:r>
      <w:r>
        <w:t xml:space="preserve"> = 1, 2, …, </w:t>
      </w:r>
      <w:r>
        <w:rPr>
          <w:i/>
          <w:iCs/>
        </w:rPr>
        <w:t xml:space="preserve">N </w:t>
      </w:r>
      <w:r>
        <w:t xml:space="preserve"> that are distributed in some manner over the domain [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] with </w:t>
      </w:r>
      <w:r>
        <w:rPr>
          <w:i/>
          <w:iCs/>
        </w:rPr>
        <w:t>x</w:t>
      </w:r>
      <w:r>
        <w:rPr>
          <w:sz w:val="28"/>
          <w:vertAlign w:val="subscript"/>
        </w:rPr>
        <w:t>1</w:t>
      </w:r>
      <w:r>
        <w:t xml:space="preserve"> =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x</w:t>
      </w:r>
      <w:r w:rsidRPr="006C63ED">
        <w:rPr>
          <w:i/>
          <w:sz w:val="28"/>
          <w:vertAlign w:val="subscript"/>
        </w:rPr>
        <w:t>N</w:t>
      </w:r>
      <w:r>
        <w:t xml:space="preserve"> = </w:t>
      </w:r>
      <w:r>
        <w:rPr>
          <w:i/>
          <w:iCs/>
        </w:rPr>
        <w:t>b</w:t>
      </w:r>
      <w:r>
        <w:t>.</w: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 xml:space="preserve">The qualifier </w:t>
      </w:r>
      <w:r>
        <w:rPr>
          <w:i/>
          <w:iCs/>
        </w:rPr>
        <w:t>closed</w:t>
      </w:r>
      <w:r>
        <w:t xml:space="preserve"> signifies that the integration involves the values of the integrand at both the end-points. If only one or none of the end points are included, the qualifiers used are </w:t>
      </w:r>
      <w:r>
        <w:rPr>
          <w:i/>
          <w:iCs/>
        </w:rPr>
        <w:t>semi-closed</w:t>
      </w:r>
      <w:r>
        <w:t xml:space="preserve"> and </w:t>
      </w:r>
      <w:r>
        <w:rPr>
          <w:i/>
          <w:iCs/>
        </w:rPr>
        <w:t>open</w:t>
      </w:r>
      <w:r>
        <w:t xml:space="preserve"> respectively</w:t>
      </w:r>
      <w:r w:rsidR="00FD7DC6">
        <w:t>.</w:t>
      </w:r>
    </w:p>
    <w:p w:rsidR="00FD7DC6" w:rsidRDefault="00FD7DC6" w:rsidP="006C63ED">
      <w:pPr>
        <w:tabs>
          <w:tab w:val="left" w:pos="900"/>
          <w:tab w:val="left" w:pos="6840"/>
        </w:tabs>
        <w:spacing w:line="276" w:lineRule="auto"/>
      </w:pPr>
    </w:p>
    <w:p w:rsidR="00FD7DC6" w:rsidRDefault="00FD7DC6" w:rsidP="00FD7DC6">
      <w:pPr>
        <w:tabs>
          <w:tab w:val="left" w:pos="900"/>
          <w:tab w:val="left" w:pos="6840"/>
        </w:tabs>
        <w:spacing w:line="276" w:lineRule="auto"/>
      </w:pPr>
      <w:r>
        <w:t xml:space="preserve">A major problem that arises with non-adaptive methods is that the number </w:t>
      </w:r>
      <w:r w:rsidRPr="00FD7DC6">
        <w:rPr>
          <w:i/>
        </w:rPr>
        <w:t>N</w:t>
      </w:r>
      <w:r>
        <w:t xml:space="preserve"> of partitions of the function required to provide a given accuracy is initially unknown. One approach to this problem is to successively double the number of partitions, and compare the results as the number of partitions increase. </w:t>
      </w:r>
    </w:p>
    <w:p w:rsidR="00FD7DC6" w:rsidRDefault="00FD7DC6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DC5D00" w:rsidRPr="00FD7DC6" w:rsidRDefault="00FD7DC6">
      <w:pPr>
        <w:pStyle w:val="Heading1"/>
        <w:tabs>
          <w:tab w:val="left" w:pos="900"/>
          <w:tab w:val="left" w:pos="6840"/>
        </w:tabs>
        <w:rPr>
          <w:rFonts w:ascii="Bookman Old Style" w:hAnsi="Bookman Old Style"/>
          <w:color w:val="0000FF"/>
        </w:rPr>
      </w:pPr>
      <w:r>
        <w:rPr>
          <w:rFonts w:ascii="Bookman Old Style" w:hAnsi="Bookman Old Style"/>
          <w:color w:val="0000FF"/>
        </w:rPr>
        <w:br w:type="page"/>
      </w:r>
      <w:r w:rsidR="00DC5D00" w:rsidRPr="00FD7DC6">
        <w:rPr>
          <w:rFonts w:ascii="Bookman Old Style" w:hAnsi="Bookman Old Style"/>
          <w:color w:val="0000FF"/>
        </w:rPr>
        <w:t>Closed Rectangle Rule</w:t>
      </w:r>
    </w:p>
    <w:p w:rsidR="00DC5D00" w:rsidRDefault="00DC5D00">
      <w:pPr>
        <w:tabs>
          <w:tab w:val="left" w:pos="900"/>
          <w:tab w:val="left" w:pos="6840"/>
        </w:tabs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The region from </w:t>
      </w:r>
      <w:r>
        <w:rPr>
          <w:i/>
          <w:iCs/>
        </w:rPr>
        <w:t>a</w:t>
      </w:r>
      <w:r>
        <w:t xml:space="preserve"> to </w:t>
      </w:r>
      <w:r>
        <w:rPr>
          <w:i/>
          <w:iCs/>
        </w:rPr>
        <w:t>b</w:t>
      </w:r>
      <w:r>
        <w:t xml:space="preserve"> is divided into </w:t>
      </w:r>
      <w:r>
        <w:rPr>
          <w:i/>
          <w:iCs/>
        </w:rPr>
        <w:t>N</w:t>
      </w:r>
      <w:r>
        <w:t xml:space="preserve"> rectangles of equal width </w:t>
      </w:r>
      <w:r>
        <w:sym w:font="Symbol" w:char="F044"/>
      </w:r>
      <w:r>
        <w:rPr>
          <w:i/>
          <w:iCs/>
        </w:rPr>
        <w:t>x</w:t>
      </w:r>
      <w:r>
        <w:t xml:space="preserve"> </w:t>
      </w:r>
      <w:r>
        <w:sym w:font="Symbol" w:char="F0BA"/>
      </w:r>
      <w:r>
        <w:t xml:space="preserve"> </w:t>
      </w:r>
      <w:r>
        <w:rPr>
          <w:i/>
          <w:iCs/>
        </w:rPr>
        <w:t>h</w:t>
      </w:r>
      <w:r>
        <w:t xml:space="preserve"> where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4"/>
        </w:rPr>
        <w:object w:dxaOrig="1460" w:dyaOrig="620">
          <v:shape id="_x0000_i1032" type="#_x0000_t75" style="width:73.2pt;height:31.2pt" o:ole="">
            <v:imagedata r:id="rId24" o:title=""/>
          </v:shape>
          <o:OLEObject Type="Embed" ProgID="Equation.DSMT4" ShapeID="_x0000_i1032" DrawAspect="Content" ObjectID="_1470467435" r:id="rId25"/>
        </w:object>
      </w:r>
      <w:r>
        <w:tab/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with each rectangle centre occurring at the points </w:t>
      </w:r>
      <w:r>
        <w:rPr>
          <w:i/>
          <w:iCs/>
        </w:rPr>
        <w:t>x</w:t>
      </w:r>
      <w:r>
        <w:rPr>
          <w:sz w:val="28"/>
          <w:vertAlign w:val="subscript"/>
        </w:rPr>
        <w:t>1</w:t>
      </w:r>
      <w:r>
        <w:t xml:space="preserve"> =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x</w:t>
      </w:r>
      <w:r>
        <w:rPr>
          <w:sz w:val="28"/>
          <w:vertAlign w:val="subscript"/>
        </w:rPr>
        <w:t>2</w:t>
      </w:r>
      <w:r>
        <w:t xml:space="preserve"> = </w:t>
      </w:r>
      <w:r>
        <w:rPr>
          <w:i/>
          <w:iCs/>
        </w:rPr>
        <w:t>x</w:t>
      </w:r>
      <w:r>
        <w:rPr>
          <w:sz w:val="28"/>
          <w:vertAlign w:val="subscript"/>
        </w:rPr>
        <w:t>1</w:t>
      </w:r>
      <w:r>
        <w:t xml:space="preserve">+ </w:t>
      </w:r>
      <w:r>
        <w:rPr>
          <w:i/>
          <w:iCs/>
        </w:rPr>
        <w:t>h</w:t>
      </w:r>
      <w:r>
        <w:t xml:space="preserve">, … </w:t>
      </w:r>
      <w:r>
        <w:rPr>
          <w:i/>
          <w:iCs/>
        </w:rPr>
        <w:t>x</w:t>
      </w:r>
      <w:r>
        <w:rPr>
          <w:sz w:val="28"/>
          <w:vertAlign w:val="subscript"/>
        </w:rPr>
        <w:t>N</w:t>
      </w:r>
      <w:r>
        <w:t xml:space="preserve"> = </w:t>
      </w:r>
      <w:r>
        <w:rPr>
          <w:i/>
          <w:iCs/>
        </w:rPr>
        <w:t>b</w:t>
      </w:r>
      <w:r>
        <w:t>.</w:t>
      </w:r>
    </w:p>
    <w:p w:rsidR="00FD7DC6" w:rsidRDefault="00FD7DC6" w:rsidP="00FD7DC6">
      <w:pPr>
        <w:pStyle w:val="Footer"/>
        <w:tabs>
          <w:tab w:val="clear" w:pos="4153"/>
          <w:tab w:val="clear" w:pos="8306"/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pStyle w:val="Footer"/>
        <w:tabs>
          <w:tab w:val="clear" w:pos="4153"/>
          <w:tab w:val="clear" w:pos="8306"/>
          <w:tab w:val="left" w:pos="900"/>
          <w:tab w:val="left" w:pos="6840"/>
        </w:tabs>
        <w:spacing w:line="276" w:lineRule="auto"/>
      </w:pPr>
      <w:r>
        <w:t xml:space="preserve">For example, the plot below shows the domain divided into 4 rectangles, </w:t>
      </w:r>
      <w:r>
        <w:rPr>
          <w:i/>
          <w:iCs/>
        </w:rPr>
        <w:t>N</w:t>
      </w:r>
      <w:r>
        <w:t xml:space="preserve"> = 4. However, the sub-division of the domain by this means extends from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rPr>
          <w:i/>
          <w:iCs/>
        </w:rPr>
        <w:t>a</w:t>
      </w:r>
      <w:r>
        <w:t xml:space="preserve"> - </w:t>
      </w:r>
      <w:r>
        <w:rPr>
          <w:i/>
          <w:iCs/>
        </w:rPr>
        <w:t>h</w:t>
      </w:r>
      <w:r>
        <w:t xml:space="preserve">/2 to </w:t>
      </w:r>
      <w:r>
        <w:rPr>
          <w:i/>
          <w:iCs/>
        </w:rPr>
        <w:t>b</w:t>
      </w:r>
      <w:r>
        <w:t xml:space="preserve"> + </w:t>
      </w:r>
      <w:r>
        <w:rPr>
          <w:i/>
          <w:iCs/>
        </w:rPr>
        <w:t>h</w:t>
      </w:r>
      <w:r>
        <w:t xml:space="preserve">/2 and not simply from </w:t>
      </w:r>
      <w:r>
        <w:rPr>
          <w:i/>
          <w:iCs/>
        </w:rPr>
        <w:t>a</w:t>
      </w:r>
      <w:r>
        <w:t xml:space="preserve"> to b.  </w:t>
      </w:r>
    </w:p>
    <w:p w:rsidR="00DC5D00" w:rsidRDefault="005041F8">
      <w:pPr>
        <w:tabs>
          <w:tab w:val="left" w:pos="900"/>
          <w:tab w:val="left" w:pos="6840"/>
        </w:tabs>
        <w:jc w:val="center"/>
      </w:pPr>
      <w:r>
        <w:rPr>
          <w:noProof/>
          <w:lang w:eastAsia="zh-CN"/>
        </w:rPr>
        <w:drawing>
          <wp:inline distT="0" distB="0" distL="0" distR="0">
            <wp:extent cx="3169920" cy="1798320"/>
            <wp:effectExtent l="0" t="0" r="0" b="0"/>
            <wp:docPr id="10" name="Objec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>The integral is approximated by the contribution from each rectangle, such that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38"/>
        </w:rPr>
        <w:object w:dxaOrig="1540" w:dyaOrig="840">
          <v:shape id="_x0000_i1033" type="#_x0000_t75" style="width:76.8pt;height:42pt" o:ole="">
            <v:imagedata r:id="rId27" o:title=""/>
          </v:shape>
          <o:OLEObject Type="Embed" ProgID="Equation.DSMT4" ShapeID="_x0000_i1033" DrawAspect="Content" ObjectID="_1470467436" r:id="rId28"/>
        </w:objec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For the case shown in the plot above where </w:t>
      </w:r>
      <w:r>
        <w:rPr>
          <w:i/>
          <w:iCs/>
        </w:rPr>
        <w:t>N</w:t>
      </w:r>
      <w:r>
        <w:t xml:space="preserve"> = 4, the integral is approximated by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14"/>
        </w:rPr>
        <w:object w:dxaOrig="3660" w:dyaOrig="400">
          <v:shape id="_x0000_i1034" type="#_x0000_t75" style="width:183pt;height:19.8pt" o:ole="">
            <v:imagedata r:id="rId29" o:title=""/>
          </v:shape>
          <o:OLEObject Type="Embed" ProgID="Equation.DSMT4" ShapeID="_x0000_i1034" DrawAspect="Content" ObjectID="_1470467437" r:id="rId30"/>
        </w:object>
      </w:r>
      <w:r>
        <w:t xml:space="preserve">   where </w:t>
      </w:r>
      <w:r>
        <w:rPr>
          <w:position w:val="-24"/>
        </w:rPr>
        <w:object w:dxaOrig="920" w:dyaOrig="620">
          <v:shape id="_x0000_i1035" type="#_x0000_t75" style="width:46.2pt;height:31.2pt" o:ole="">
            <v:imagedata r:id="rId31" o:title=""/>
          </v:shape>
          <o:OLEObject Type="Embed" ProgID="Equation.DSMT4" ShapeID="_x0000_i1035" DrawAspect="Content" ObjectID="_1470467438" r:id="rId32"/>
        </w:object>
      </w:r>
      <w:r>
        <w:t>.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pStyle w:val="Heading1"/>
        <w:tabs>
          <w:tab w:val="left" w:pos="900"/>
          <w:tab w:val="left" w:pos="6840"/>
        </w:tabs>
        <w:spacing w:line="276" w:lineRule="auto"/>
      </w:pPr>
    </w:p>
    <w:p w:rsidR="00DC5D00" w:rsidRPr="00FD7DC6" w:rsidRDefault="00FD7DC6" w:rsidP="00FD7DC6">
      <w:pPr>
        <w:pStyle w:val="Heading1"/>
        <w:tabs>
          <w:tab w:val="left" w:pos="900"/>
          <w:tab w:val="left" w:pos="6840"/>
        </w:tabs>
        <w:spacing w:line="276" w:lineRule="auto"/>
        <w:rPr>
          <w:rFonts w:ascii="Bookman Old Style" w:hAnsi="Bookman Old Style"/>
          <w:color w:val="0000FF"/>
        </w:rPr>
      </w:pPr>
      <w:r>
        <w:rPr>
          <w:rFonts w:ascii="Bookman Old Style" w:hAnsi="Bookman Old Style"/>
          <w:color w:val="0000FF"/>
        </w:rPr>
        <w:br w:type="page"/>
      </w:r>
      <w:r w:rsidR="00DC5D00" w:rsidRPr="00FD7DC6">
        <w:rPr>
          <w:rFonts w:ascii="Bookman Old Style" w:hAnsi="Bookman Old Style"/>
          <w:color w:val="0000FF"/>
        </w:rPr>
        <w:t xml:space="preserve">Open Midpoint Rule  </w:t>
      </w:r>
    </w:p>
    <w:p w:rsidR="00DC5D00" w:rsidRDefault="00DC5D00" w:rsidP="00FD7DC6">
      <w:pPr>
        <w:pStyle w:val="Heading1"/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spacing w:line="276" w:lineRule="auto"/>
      </w:pPr>
      <w:r>
        <w:t xml:space="preserve">The mid-point rule is the first member of a family of open Newton-Cotes rules corresponding to quadratic, cubic and higher-order interpolating polynomials with evenly spaced points.  In the open midpoint rule, the area of each rectangle is added to find the integral. The domain </w:t>
      </w:r>
      <w:r>
        <w:rPr>
          <w:i/>
          <w:iCs/>
        </w:rPr>
        <w:t>a</w:t>
      </w:r>
      <w:r>
        <w:t xml:space="preserve"> to </w:t>
      </w:r>
      <w:r>
        <w:rPr>
          <w:i/>
          <w:iCs/>
        </w:rPr>
        <w:t>b</w:t>
      </w:r>
      <w:r>
        <w:t xml:space="preserve"> in divided into </w:t>
      </w:r>
      <w:r>
        <w:rPr>
          <w:i/>
          <w:iCs/>
        </w:rPr>
        <w:t>N</w:t>
      </w:r>
      <w:r>
        <w:t xml:space="preserve"> partitions, with the width of each partition being </w:t>
      </w:r>
      <w:r>
        <w:rPr>
          <w:i/>
          <w:iCs/>
        </w:rPr>
        <w:t>h</w:t>
      </w:r>
      <w:r>
        <w:t xml:space="preserve"> = (</w:t>
      </w:r>
      <w:r>
        <w:rPr>
          <w:i/>
          <w:iCs/>
        </w:rPr>
        <w:t>b</w:t>
      </w:r>
      <w:r>
        <w:t xml:space="preserve"> – </w:t>
      </w:r>
      <w:r>
        <w:rPr>
          <w:i/>
          <w:iCs/>
        </w:rPr>
        <w:t>a</w:t>
      </w:r>
      <w:r>
        <w:t>)/</w:t>
      </w:r>
      <w:r>
        <w:rPr>
          <w:i/>
          <w:iCs/>
        </w:rPr>
        <w:t>N</w:t>
      </w:r>
      <w:r>
        <w:t xml:space="preserve">. The function is evaluated at the midpoint </w:t>
      </w:r>
      <w:r>
        <w:rPr>
          <w:i/>
          <w:iCs/>
        </w:rPr>
        <w:t>x</w:t>
      </w:r>
      <w:r>
        <w:rPr>
          <w:sz w:val="28"/>
          <w:vertAlign w:val="subscript"/>
        </w:rPr>
        <w:t>i</w:t>
      </w:r>
      <w:r>
        <w:t xml:space="preserve"> of each rectangle where </w:t>
      </w:r>
      <w:r>
        <w:rPr>
          <w:i/>
          <w:iCs/>
        </w:rPr>
        <w:t>x</w:t>
      </w:r>
      <w:r>
        <w:rPr>
          <w:sz w:val="28"/>
          <w:vertAlign w:val="subscript"/>
        </w:rPr>
        <w:t>i</w:t>
      </w:r>
      <w:r>
        <w:t xml:space="preserve"> = </w:t>
      </w:r>
      <w:r>
        <w:rPr>
          <w:i/>
          <w:iCs/>
        </w:rPr>
        <w:t>a</w:t>
      </w:r>
      <w:r>
        <w:t xml:space="preserve"> + (</w:t>
      </w:r>
      <w:r>
        <w:rPr>
          <w:i/>
          <w:iCs/>
        </w:rPr>
        <w:t>h</w:t>
      </w:r>
      <w:r>
        <w:t>/2)(2</w:t>
      </w:r>
      <w:r>
        <w:rPr>
          <w:i/>
          <w:iCs/>
        </w:rPr>
        <w:t>N</w:t>
      </w:r>
      <w:r>
        <w:t>-1). The value of the integral is then given by</w:t>
      </w:r>
    </w:p>
    <w:p w:rsidR="00DC5D00" w:rsidRDefault="00DC5D00" w:rsidP="00FD7DC6">
      <w:pPr>
        <w:spacing w:line="276" w:lineRule="auto"/>
      </w:pPr>
    </w:p>
    <w:bookmarkStart w:id="0" w:name="_GoBack"/>
    <w:p w:rsidR="00DC5D00" w:rsidRDefault="00257F01" w:rsidP="00FD7DC6">
      <w:pPr>
        <w:spacing w:line="276" w:lineRule="auto"/>
        <w:ind w:firstLine="720"/>
      </w:pPr>
      <w:r>
        <w:rPr>
          <w:position w:val="-34"/>
        </w:rPr>
        <w:object w:dxaOrig="2620" w:dyaOrig="800">
          <v:shape id="_x0000_i1043" type="#_x0000_t75" style="width:130.8pt;height:40.2pt" o:ole="">
            <v:imagedata r:id="rId33" o:title=""/>
          </v:shape>
          <o:OLEObject Type="Embed" ProgID="Equation.DSMT4" ShapeID="_x0000_i1043" DrawAspect="Content" ObjectID="_1470467439" r:id="rId34"/>
        </w:object>
      </w:r>
      <w:bookmarkEnd w:id="0"/>
      <w:r w:rsidR="00DC5D00">
        <w:t xml:space="preserve"> </w:t>
      </w:r>
    </w:p>
    <w:p w:rsidR="00DC5D00" w:rsidRDefault="00DC5D00" w:rsidP="00FD7DC6">
      <w:pPr>
        <w:spacing w:line="276" w:lineRule="auto"/>
      </w:pPr>
    </w:p>
    <w:p w:rsidR="00DC5D00" w:rsidRDefault="00DC5D00" w:rsidP="00FD7DC6">
      <w:pPr>
        <w:pStyle w:val="Heading1"/>
        <w:tabs>
          <w:tab w:val="left" w:pos="900"/>
          <w:tab w:val="left" w:pos="6840"/>
        </w:tabs>
        <w:spacing w:line="276" w:lineRule="auto"/>
      </w:pPr>
    </w:p>
    <w:p w:rsidR="00DC5D00" w:rsidRPr="00FD7DC6" w:rsidRDefault="00FD7DC6" w:rsidP="00FD7DC6">
      <w:pPr>
        <w:pStyle w:val="Heading1"/>
        <w:tabs>
          <w:tab w:val="left" w:pos="900"/>
          <w:tab w:val="left" w:pos="6840"/>
        </w:tabs>
        <w:spacing w:line="276" w:lineRule="auto"/>
        <w:rPr>
          <w:rFonts w:ascii="Bookman Old Style" w:hAnsi="Bookman Old Style"/>
          <w:color w:val="0000FF"/>
        </w:rPr>
      </w:pPr>
      <w:r>
        <w:rPr>
          <w:rFonts w:ascii="Bookman Old Style" w:hAnsi="Bookman Old Style"/>
          <w:color w:val="0000FF"/>
        </w:rPr>
        <w:br w:type="page"/>
      </w:r>
      <w:r w:rsidR="00DC5D00" w:rsidRPr="00FD7DC6">
        <w:rPr>
          <w:rFonts w:ascii="Bookman Old Style" w:hAnsi="Bookman Old Style"/>
          <w:color w:val="0000FF"/>
        </w:rPr>
        <w:t>Trapezoidal Rule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The function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is approximated by a straight line segment connecting adjacent points. The area under the curve is then approximated by adding the area of each trapezium. The interval </w:t>
      </w:r>
      <w:r>
        <w:rPr>
          <w:i/>
          <w:iCs/>
        </w:rPr>
        <w:t>a</w:t>
      </w:r>
      <w:r>
        <w:t xml:space="preserve"> to </w:t>
      </w:r>
      <w:r>
        <w:rPr>
          <w:i/>
          <w:iCs/>
        </w:rPr>
        <w:t>b</w:t>
      </w:r>
      <w:r>
        <w:t xml:space="preserve"> is divided into </w:t>
      </w:r>
      <w:r>
        <w:rPr>
          <w:i/>
          <w:iCs/>
        </w:rPr>
        <w:t>N</w:t>
      </w:r>
      <w:r>
        <w:t xml:space="preserve">-1 partitions of width </w:t>
      </w:r>
      <w:r>
        <w:rPr>
          <w:i/>
          <w:iCs/>
        </w:rPr>
        <w:t>h</w:t>
      </w:r>
      <w:r>
        <w:t xml:space="preserve"> (</w:t>
      </w:r>
      <w:r>
        <w:rPr>
          <w:i/>
          <w:iCs/>
        </w:rPr>
        <w:t>h</w:t>
      </w:r>
      <w:r>
        <w:t xml:space="preserve">  </w:t>
      </w:r>
      <w:r>
        <w:sym w:font="Symbol" w:char="F0BA"/>
      </w:r>
      <w:r>
        <w:t xml:space="preserve"> </w:t>
      </w:r>
      <w:r>
        <w:sym w:font="Symbol" w:char="F044"/>
      </w:r>
      <w:r>
        <w:rPr>
          <w:i/>
          <w:iCs/>
        </w:rPr>
        <w:t>x</w:t>
      </w:r>
      <w:r>
        <w:t xml:space="preserve">) where </w:t>
      </w:r>
      <w:r>
        <w:rPr>
          <w:i/>
          <w:iCs/>
        </w:rPr>
        <w:t>h</w:t>
      </w:r>
      <w:r>
        <w:t xml:space="preserve"> = (</w:t>
      </w:r>
      <w:r>
        <w:rPr>
          <w:i/>
          <w:iCs/>
        </w:rPr>
        <w:t>b</w:t>
      </w:r>
      <w:r>
        <w:t xml:space="preserve"> – </w:t>
      </w:r>
      <w:r>
        <w:rPr>
          <w:i/>
          <w:iCs/>
        </w:rPr>
        <w:t>a</w:t>
      </w:r>
      <w:r>
        <w:t>)/(</w:t>
      </w:r>
      <w:r>
        <w:rPr>
          <w:i/>
          <w:iCs/>
        </w:rPr>
        <w:t>N</w:t>
      </w:r>
      <w:r>
        <w:t xml:space="preserve"> - 1). The area of each partition is simply the area of a trapezium which is its base times its mean height. The area of the i</w:t>
      </w:r>
      <w:r>
        <w:rPr>
          <w:vertAlign w:val="superscript"/>
        </w:rPr>
        <w:t>th</w:t>
      </w:r>
      <w:r>
        <w:t xml:space="preserve">  trapezium is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ab/>
      </w:r>
      <w:r w:rsidR="00FD7DC6" w:rsidRPr="00FD7DC6">
        <w:rPr>
          <w:position w:val="-28"/>
        </w:rPr>
        <w:object w:dxaOrig="1359" w:dyaOrig="680">
          <v:shape id="_x0000_i1036" type="#_x0000_t75" style="width:67.8pt;height:34.2pt" o:ole="">
            <v:imagedata r:id="rId35" o:title=""/>
          </v:shape>
          <o:OLEObject Type="Embed" ProgID="Equation.DSMT4" ShapeID="_x0000_i1036" DrawAspect="Content" ObjectID="_1470467440" r:id="rId36"/>
        </w:object>
      </w:r>
      <w:r>
        <w:t xml:space="preserve">     where </w:t>
      </w:r>
      <w:r>
        <w:rPr>
          <w:i/>
          <w:iCs/>
        </w:rPr>
        <w:t>f</w:t>
      </w:r>
      <w:r>
        <w:rPr>
          <w:sz w:val="28"/>
          <w:vertAlign w:val="subscript"/>
        </w:rPr>
        <w:t>i</w:t>
      </w:r>
      <w:r>
        <w:t xml:space="preserve"> </w:t>
      </w:r>
      <w:r>
        <w:sym w:font="Symbol" w:char="F0BA"/>
      </w:r>
      <w:r>
        <w:t xml:space="preserve">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rPr>
          <w:sz w:val="28"/>
          <w:vertAlign w:val="subscript"/>
        </w:rPr>
        <w:t>i</w:t>
      </w:r>
      <w:r>
        <w:t xml:space="preserve">) and  </w:t>
      </w:r>
      <w:r>
        <w:rPr>
          <w:i/>
          <w:iCs/>
        </w:rPr>
        <w:t>i</w:t>
      </w:r>
      <w:r>
        <w:t xml:space="preserve"> = 1, 2, …..</w:t>
      </w:r>
      <w:r>
        <w:rPr>
          <w:i/>
          <w:iCs/>
        </w:rPr>
        <w:t>N</w:t>
      </w:r>
      <w:r>
        <w:t>-1</w:t>
      </w:r>
    </w:p>
    <w:p w:rsidR="00DC5D00" w:rsidRDefault="00DC5D00" w:rsidP="00FD7DC6">
      <w:pPr>
        <w:pStyle w:val="Footer"/>
        <w:tabs>
          <w:tab w:val="clear" w:pos="4153"/>
          <w:tab w:val="clear" w:pos="8306"/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Summing all the trapezia gives the </w:t>
      </w:r>
      <w:r>
        <w:rPr>
          <w:b/>
          <w:bCs/>
          <w:i/>
          <w:iCs/>
        </w:rPr>
        <w:t>composite, closed trapezoidal rule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36"/>
        </w:rPr>
        <w:object w:dxaOrig="4459" w:dyaOrig="840">
          <v:shape id="_x0000_i1037" type="#_x0000_t75" style="width:223.2pt;height:42pt" o:ole="">
            <v:imagedata r:id="rId37" o:title=""/>
          </v:shape>
          <o:OLEObject Type="Embed" ProgID="Equation.DSMT4" ShapeID="_x0000_i1037" DrawAspect="Content" ObjectID="_1470467441" r:id="rId38"/>
        </w:objec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For evenly distributed spacings, the composite rule is equivalent to the trapezoidal version of the closed </w:t>
      </w:r>
      <w:r>
        <w:rPr>
          <w:b/>
          <w:bCs/>
          <w:i/>
          <w:iCs/>
        </w:rPr>
        <w:t>Newton-cotes rule</w:t>
      </w:r>
      <w:r>
        <w:t xml:space="preserve">. 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B74177" w:rsidRDefault="00DC5D00" w:rsidP="00B74177">
      <w:pPr>
        <w:tabs>
          <w:tab w:val="left" w:pos="900"/>
          <w:tab w:val="left" w:pos="6840"/>
        </w:tabs>
        <w:spacing w:line="276" w:lineRule="auto"/>
      </w:pPr>
      <w:r>
        <w:t>The M</w:t>
      </w:r>
      <w:r w:rsidR="0035357F">
        <w:t>atlab</w:t>
      </w:r>
      <w:r>
        <w:t xml:space="preserve"> function, </w:t>
      </w:r>
      <w:r w:rsidRPr="00FD7DC6">
        <w:rPr>
          <w:rFonts w:ascii="Arial" w:hAnsi="Arial" w:cs="Arial"/>
          <w:color w:val="984806" w:themeColor="accent6" w:themeShade="80"/>
        </w:rPr>
        <w:t>trapz</w:t>
      </w:r>
      <w:r>
        <w:t xml:space="preserve"> implements a procedure to calculate the integral by the trapezoidal rule.</w:t>
      </w:r>
      <w:r w:rsidR="00B74177">
        <w:t xml:space="preserve"> For example, the integration of the function </w:t>
      </w:r>
      <w:r w:rsidR="00B74177" w:rsidRPr="00B74177">
        <w:rPr>
          <w:i/>
        </w:rPr>
        <w:t>y</w:t>
      </w:r>
      <w:r w:rsidR="00B74177" w:rsidRPr="00B74177">
        <w:rPr>
          <w:vertAlign w:val="subscript"/>
        </w:rPr>
        <w:t>1</w:t>
      </w:r>
      <w:r w:rsidR="00B74177">
        <w:t xml:space="preserve"> w.r.t the variable </w:t>
      </w:r>
      <w:r w:rsidR="00B74177" w:rsidRPr="00B74177">
        <w:rPr>
          <w:i/>
        </w:rPr>
        <w:t>x</w:t>
      </w:r>
    </w:p>
    <w:p w:rsidR="00B74177" w:rsidRDefault="00B74177" w:rsidP="00FD7DC6">
      <w:pPr>
        <w:tabs>
          <w:tab w:val="left" w:pos="900"/>
          <w:tab w:val="left" w:pos="6840"/>
        </w:tabs>
        <w:spacing w:line="276" w:lineRule="auto"/>
      </w:pPr>
    </w:p>
    <w:p w:rsidR="00B74177" w:rsidRDefault="00B74177" w:rsidP="00B7417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Integral_1 = trapz(x,y1)    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estimate of the integral</w:t>
      </w:r>
    </w:p>
    <w:p w:rsidR="00B74177" w:rsidRDefault="00B74177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  </w:t>
      </w:r>
    </w:p>
    <w:p w:rsidR="00DC5D00" w:rsidRDefault="00B74177" w:rsidP="00FD7DC6">
      <w:pPr>
        <w:pStyle w:val="Heading1"/>
        <w:tabs>
          <w:tab w:val="left" w:pos="900"/>
          <w:tab w:val="left" w:pos="6840"/>
        </w:tabs>
        <w:spacing w:line="276" w:lineRule="auto"/>
        <w:rPr>
          <w:rFonts w:ascii="Bookman Old Style" w:hAnsi="Bookman Old Style"/>
          <w:color w:val="0000FF"/>
        </w:rPr>
      </w:pPr>
      <w:r>
        <w:rPr>
          <w:rFonts w:ascii="Bookman Old Style" w:hAnsi="Bookman Old Style"/>
          <w:color w:val="0000FF"/>
        </w:rPr>
        <w:br w:type="page"/>
      </w:r>
      <w:r w:rsidR="00DC5D00" w:rsidRPr="00FD7DC6">
        <w:rPr>
          <w:rFonts w:ascii="Bookman Old Style" w:hAnsi="Bookman Old Style"/>
          <w:color w:val="0000FF"/>
        </w:rPr>
        <w:t>Simpson’s 1/3 rule</w:t>
      </w:r>
    </w:p>
    <w:p w:rsidR="00FD7DC6" w:rsidRPr="00FD7DC6" w:rsidRDefault="00FD7DC6" w:rsidP="00FD7DC6"/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This rule is based on using a quadratic polynomial approximation to the function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over a pair of partitions.  </w:t>
      </w:r>
      <w:r>
        <w:rPr>
          <w:i/>
          <w:iCs/>
        </w:rPr>
        <w:t>N</w:t>
      </w:r>
      <w:r>
        <w:t xml:space="preserve">-1 is the number of partitions where </w:t>
      </w:r>
      <w:r>
        <w:rPr>
          <w:i/>
          <w:iCs/>
        </w:rPr>
        <w:t>N</w:t>
      </w:r>
      <w:r>
        <w:t xml:space="preserve"> must be </w:t>
      </w:r>
      <w:r>
        <w:rPr>
          <w:b/>
          <w:bCs/>
        </w:rPr>
        <w:t>odd</w:t>
      </w:r>
      <w:r>
        <w:t xml:space="preserve"> and 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rPr>
          <w:i/>
          <w:iCs/>
        </w:rPr>
        <w:t>h</w:t>
      </w:r>
      <w:r>
        <w:t xml:space="preserve"> = (</w:t>
      </w:r>
      <w:r>
        <w:rPr>
          <w:i/>
          <w:iCs/>
        </w:rPr>
        <w:t>b</w:t>
      </w:r>
      <w:r>
        <w:t xml:space="preserve"> – </w:t>
      </w:r>
      <w:r>
        <w:rPr>
          <w:i/>
          <w:iCs/>
        </w:rPr>
        <w:t>a</w:t>
      </w:r>
      <w:r>
        <w:t>) / (</w:t>
      </w:r>
      <w:r>
        <w:rPr>
          <w:i/>
          <w:iCs/>
        </w:rPr>
        <w:t>N</w:t>
      </w:r>
      <w:r w:rsidRPr="00FD7DC6">
        <w:rPr>
          <w:iCs/>
        </w:rPr>
        <w:t>-1</w:t>
      </w:r>
      <w:r>
        <w:t xml:space="preserve">). The integral is expressed below and is known as </w:t>
      </w:r>
      <w:r>
        <w:rPr>
          <w:b/>
          <w:bCs/>
          <w:i/>
          <w:iCs/>
        </w:rPr>
        <w:t>composite Simpson’s 1/3 rule</w:t>
      </w:r>
      <w:r>
        <w:t>.</w:t>
      </w:r>
    </w:p>
    <w:p w:rsidR="00DC5D00" w:rsidRDefault="00DC5D00" w:rsidP="00FD7DC6">
      <w:pPr>
        <w:pStyle w:val="Footer"/>
        <w:tabs>
          <w:tab w:val="clear" w:pos="4153"/>
          <w:tab w:val="clear" w:pos="8306"/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4"/>
        </w:rPr>
        <w:object w:dxaOrig="6180" w:dyaOrig="620">
          <v:shape id="_x0000_i1038" type="#_x0000_t75" style="width:309pt;height:31.2pt" o:ole="">
            <v:imagedata r:id="rId39" o:title=""/>
          </v:shape>
          <o:OLEObject Type="Embed" ProgID="Equation.DSMT4" ShapeID="_x0000_i1038" DrawAspect="Content" ObjectID="_1470467442" r:id="rId40"/>
        </w:objec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>Simpson’s rule can be written vector form as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4"/>
        </w:rPr>
        <w:object w:dxaOrig="980" w:dyaOrig="620">
          <v:shape id="_x0000_i1039" type="#_x0000_t75" style="width:49.2pt;height:31.2pt" o:ole="">
            <v:imagedata r:id="rId41" o:title=""/>
          </v:shape>
          <o:OLEObject Type="Embed" ProgID="Equation.DSMT4" ShapeID="_x0000_i1039" DrawAspect="Content" ObjectID="_1470467443" r:id="rId42"/>
        </w:objec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where </w:t>
      </w:r>
      <w:r>
        <w:rPr>
          <w:position w:val="-14"/>
        </w:rPr>
        <w:object w:dxaOrig="4200" w:dyaOrig="400">
          <v:shape id="_x0000_i1040" type="#_x0000_t75" style="width:210pt;height:19.8pt" o:ole="">
            <v:imagedata r:id="rId43" o:title=""/>
          </v:shape>
          <o:OLEObject Type="Embed" ProgID="Equation.DSMT4" ShapeID="_x0000_i1040" DrawAspect="Content" ObjectID="_1470467444" r:id="rId44"/>
        </w:object>
      </w:r>
      <w:r>
        <w:t>.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Simpson’s rule is an example of a </w:t>
      </w:r>
      <w:r>
        <w:rPr>
          <w:b/>
          <w:bCs/>
          <w:i/>
          <w:iCs/>
        </w:rPr>
        <w:t xml:space="preserve">closed Newton’s-Cotes </w:t>
      </w:r>
      <w:r>
        <w:t xml:space="preserve">formula for integration. Other examples can be obtained by fitting higher degree polynomials through the appropriate number of points. In general we fit a polynomial of degree </w:t>
      </w:r>
      <w:r>
        <w:rPr>
          <w:i/>
          <w:iCs/>
        </w:rPr>
        <w:t>N</w:t>
      </w:r>
      <w:r>
        <w:t xml:space="preserve"> through </w:t>
      </w:r>
      <w:r w:rsidR="00FD7DC6">
        <w:t xml:space="preserve">     </w:t>
      </w:r>
      <w:r>
        <w:rPr>
          <w:i/>
          <w:iCs/>
        </w:rPr>
        <w:t>N</w:t>
      </w:r>
      <w:r w:rsidR="00FD7DC6">
        <w:rPr>
          <w:i/>
          <w:iCs/>
        </w:rPr>
        <w:t xml:space="preserve"> </w:t>
      </w:r>
      <w:r>
        <w:t>+1 points. The resulting polynomials can them be integrated to provide an integration formula. Because of the lurking oscillations associated with the Gibbs effect, higher-order formulas are not used for practical integration.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35357F" w:rsidRDefault="0035357F" w:rsidP="00FD7DC6">
      <w:pPr>
        <w:tabs>
          <w:tab w:val="left" w:pos="900"/>
          <w:tab w:val="left" w:pos="6840"/>
        </w:tabs>
        <w:spacing w:line="276" w:lineRule="auto"/>
      </w:pPr>
    </w:p>
    <w:p w:rsidR="00DE01A7" w:rsidRDefault="00DE01A7" w:rsidP="00DE01A7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simpson1d</w:t>
      </w:r>
      <w:r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35357F" w:rsidRDefault="0035357F" w:rsidP="0035357F">
      <w:pPr>
        <w:spacing w:line="276" w:lineRule="auto"/>
      </w:pPr>
      <w:r>
        <w:t xml:space="preserve">The function </w:t>
      </w:r>
      <w:r w:rsidRPr="0035357F">
        <w:rPr>
          <w:i/>
        </w:rPr>
        <w:t>f</w:t>
      </w:r>
      <w:r>
        <w:t xml:space="preserve"> and the lower bound </w:t>
      </w:r>
      <w:r w:rsidRPr="0035357F">
        <w:rPr>
          <w:i/>
        </w:rPr>
        <w:t>a</w:t>
      </w:r>
      <w:r>
        <w:t xml:space="preserve"> and the upper bound </w:t>
      </w:r>
      <w:r w:rsidRPr="0035357F">
        <w:rPr>
          <w:i/>
        </w:rPr>
        <w:t>b</w:t>
      </w:r>
      <w:r>
        <w:t xml:space="preserve"> are passed onto the function (in the order </w:t>
      </w:r>
      <w:r w:rsidRPr="0035357F">
        <w:rPr>
          <w:i/>
        </w:rPr>
        <w:t>f</w:t>
      </w:r>
      <w:r>
        <w:t xml:space="preserve">, </w:t>
      </w:r>
      <w:r w:rsidRPr="0035357F">
        <w:rPr>
          <w:i/>
        </w:rPr>
        <w:t>a</w:t>
      </w:r>
      <w:r>
        <w:t xml:space="preserve">, </w:t>
      </w:r>
      <w:r w:rsidRPr="0035357F">
        <w:rPr>
          <w:i/>
        </w:rPr>
        <w:t>b</w:t>
      </w:r>
      <w:r>
        <w:t>) and the function returns the value of the integral</w:t>
      </w:r>
    </w:p>
    <w:p w:rsidR="00DE01A7" w:rsidRPr="00DE01A7" w:rsidRDefault="00DE01A7" w:rsidP="00DE01A7"/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integral = simpson1d(f,a,b)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[1D] integration - Simpson's 1/3 rule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     f function    a = lower bound    b = upper bound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     Must have odd number of data points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     Simpson's coefficients   1 4 2 4 ... 2 4 1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numS = length(f);              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number of data points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sc = 2*ones(numS,1);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sc(2:2:numS-1) = 4;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sc(1) = 1; sc(numS) = 1;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h = (b-a)/(numS-1);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integral = (h/3) * f * sc;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3B1197" w:rsidRPr="003B1197" w:rsidRDefault="00FD7DC6">
      <w:pPr>
        <w:rPr>
          <w:rFonts w:ascii="Bookman Old Style" w:hAnsi="Bookman Old Style"/>
          <w:b/>
          <w:color w:val="0000FF"/>
          <w:sz w:val="28"/>
          <w:szCs w:val="28"/>
        </w:rPr>
      </w:pPr>
      <w:r>
        <w:br w:type="page"/>
      </w:r>
      <w:r w:rsidR="003B1197" w:rsidRPr="003B1197">
        <w:rPr>
          <w:rFonts w:ascii="Bookman Old Style" w:hAnsi="Bookman Old Style"/>
          <w:b/>
          <w:color w:val="0000FF"/>
          <w:sz w:val="28"/>
          <w:szCs w:val="28"/>
        </w:rPr>
        <w:t>EXAMPLES</w:t>
      </w:r>
    </w:p>
    <w:p w:rsidR="003B1197" w:rsidRDefault="003B1197"/>
    <w:p w:rsidR="008520AB" w:rsidRDefault="008520AB"/>
    <w:p w:rsidR="003B1197" w:rsidRDefault="008520AB">
      <w:r>
        <w:t xml:space="preserve">(1)   </w:t>
      </w:r>
      <w:r w:rsidR="003B1197">
        <w:rPr>
          <w:position w:val="-20"/>
        </w:rPr>
        <w:object w:dxaOrig="2180" w:dyaOrig="560">
          <v:shape id="_x0000_i1041" type="#_x0000_t75" style="width:109.2pt;height:28.2pt" o:ole="">
            <v:imagedata r:id="rId45" o:title=""/>
          </v:shape>
          <o:OLEObject Type="Embed" ProgID="Equation.DSMT4" ShapeID="_x0000_i1041" DrawAspect="Content" ObjectID="_1470467445" r:id="rId46"/>
        </w:object>
      </w:r>
      <w:r>
        <w:t xml:space="preserve">            (2)   </w:t>
      </w:r>
      <w:r>
        <w:rPr>
          <w:position w:val="-20"/>
        </w:rPr>
        <w:object w:dxaOrig="2220" w:dyaOrig="560">
          <v:shape id="_x0000_i1042" type="#_x0000_t75" style="width:111.6pt;height:28.2pt" o:ole="">
            <v:imagedata r:id="rId47" o:title=""/>
          </v:shape>
          <o:OLEObject Type="Embed" ProgID="Equation.DSMT4" ShapeID="_x0000_i1042" DrawAspect="Content" ObjectID="_1470467446" r:id="rId48"/>
        </w:object>
      </w:r>
    </w:p>
    <w:p w:rsidR="003B1197" w:rsidRDefault="003B1197"/>
    <w:tbl>
      <w:tblPr>
        <w:tblStyle w:val="TableGrid"/>
        <w:tblW w:w="0" w:type="auto"/>
        <w:tblInd w:w="867" w:type="dxa"/>
        <w:tblLook w:val="04A0" w:firstRow="1" w:lastRow="0" w:firstColumn="1" w:lastColumn="0" w:noHBand="0" w:noVBand="1"/>
      </w:tblPr>
      <w:tblGrid>
        <w:gridCol w:w="2024"/>
        <w:gridCol w:w="2512"/>
        <w:gridCol w:w="993"/>
      </w:tblGrid>
      <w:tr w:rsidR="0066001A" w:rsidTr="008520AB">
        <w:tc>
          <w:tcPr>
            <w:tcW w:w="2024" w:type="dxa"/>
          </w:tcPr>
          <w:p w:rsidR="0066001A" w:rsidRPr="003B1197" w:rsidRDefault="0066001A" w:rsidP="003B1197">
            <w:pPr>
              <w:jc w:val="center"/>
              <w:rPr>
                <w:b/>
              </w:rPr>
            </w:pPr>
            <w:r w:rsidRPr="003B1197">
              <w:rPr>
                <w:b/>
              </w:rPr>
              <w:t>Method</w:t>
            </w:r>
          </w:p>
        </w:tc>
        <w:tc>
          <w:tcPr>
            <w:tcW w:w="2512" w:type="dxa"/>
          </w:tcPr>
          <w:p w:rsidR="0066001A" w:rsidRPr="003B1197" w:rsidRDefault="0066001A" w:rsidP="003B1197">
            <w:pPr>
              <w:jc w:val="center"/>
              <w:rPr>
                <w:b/>
              </w:rPr>
            </w:pPr>
            <w:r w:rsidRPr="003B1197">
              <w:rPr>
                <w:b/>
              </w:rPr>
              <w:t>Estimate</w:t>
            </w:r>
          </w:p>
        </w:tc>
        <w:tc>
          <w:tcPr>
            <w:tcW w:w="993" w:type="dxa"/>
          </w:tcPr>
          <w:p w:rsidR="0066001A" w:rsidRPr="003B1197" w:rsidRDefault="0066001A" w:rsidP="003B1197">
            <w:pPr>
              <w:jc w:val="center"/>
              <w:rPr>
                <w:b/>
              </w:rPr>
            </w:pPr>
            <w:r w:rsidRPr="003B1197">
              <w:rPr>
                <w:b/>
              </w:rPr>
              <w:t>N</w:t>
            </w:r>
          </w:p>
        </w:tc>
      </w:tr>
      <w:tr w:rsidR="008520AB" w:rsidTr="008520AB">
        <w:tc>
          <w:tcPr>
            <w:tcW w:w="2024" w:type="dxa"/>
            <w:vMerge w:val="restart"/>
          </w:tcPr>
          <w:p w:rsidR="008520AB" w:rsidRDefault="008520AB">
            <w:r>
              <w:t>Closed Rectangle</w:t>
            </w:r>
          </w:p>
        </w:tc>
        <w:tc>
          <w:tcPr>
            <w:tcW w:w="2512" w:type="dxa"/>
          </w:tcPr>
          <w:p w:rsidR="008520AB" w:rsidRDefault="008520AB" w:rsidP="0066001A">
            <w:r>
              <w:t xml:space="preserve">(1)   </w:t>
            </w:r>
            <w:r>
              <w:t>1.0950</w:t>
            </w:r>
          </w:p>
          <w:p w:rsidR="008520AB" w:rsidRDefault="008520AB" w:rsidP="008520AB">
            <w:r>
              <w:t xml:space="preserve">(2)   </w:t>
            </w:r>
            <w:r>
              <w:t>1.0950 + 1.0950i</w:t>
            </w:r>
          </w:p>
        </w:tc>
        <w:tc>
          <w:tcPr>
            <w:tcW w:w="993" w:type="dxa"/>
            <w:vMerge w:val="restart"/>
          </w:tcPr>
          <w:p w:rsidR="008520AB" w:rsidRDefault="008520AB" w:rsidP="0066001A">
            <w:pPr>
              <w:jc w:val="center"/>
            </w:pPr>
            <w:r>
              <w:t>9</w:t>
            </w:r>
          </w:p>
          <w:p w:rsidR="008520AB" w:rsidRDefault="008520AB" w:rsidP="008520AB"/>
          <w:p w:rsidR="008520AB" w:rsidRDefault="008520AB" w:rsidP="0066001A">
            <w:pPr>
              <w:jc w:val="center"/>
            </w:pPr>
            <w:r>
              <w:t>99</w:t>
            </w:r>
          </w:p>
        </w:tc>
      </w:tr>
      <w:tr w:rsidR="008520AB" w:rsidTr="008520AB">
        <w:trPr>
          <w:trHeight w:val="552"/>
        </w:trPr>
        <w:tc>
          <w:tcPr>
            <w:tcW w:w="2024" w:type="dxa"/>
            <w:vMerge/>
            <w:tcBorders>
              <w:bottom w:val="single" w:sz="4" w:space="0" w:color="auto"/>
            </w:tcBorders>
          </w:tcPr>
          <w:p w:rsidR="008520AB" w:rsidRDefault="008520AB"/>
        </w:tc>
        <w:tc>
          <w:tcPr>
            <w:tcW w:w="2512" w:type="dxa"/>
            <w:tcBorders>
              <w:bottom w:val="single" w:sz="4" w:space="0" w:color="auto"/>
            </w:tcBorders>
          </w:tcPr>
          <w:p w:rsidR="008520AB" w:rsidRDefault="008520AB" w:rsidP="0066001A">
            <w:r>
              <w:t xml:space="preserve">(1)   </w:t>
            </w:r>
            <w:r>
              <w:t>1.0080</w:t>
            </w:r>
          </w:p>
          <w:p w:rsidR="008520AB" w:rsidRDefault="008520AB" w:rsidP="008520AB">
            <w:r>
              <w:t xml:space="preserve">(2)   </w:t>
            </w:r>
            <w:r>
              <w:t>1.0080 + 1.0080i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8520AB" w:rsidRDefault="008520AB" w:rsidP="0066001A">
            <w:pPr>
              <w:jc w:val="center"/>
            </w:pPr>
          </w:p>
        </w:tc>
      </w:tr>
      <w:tr w:rsidR="008520AB" w:rsidTr="008520AB">
        <w:tc>
          <w:tcPr>
            <w:tcW w:w="2024" w:type="dxa"/>
            <w:vMerge w:val="restart"/>
          </w:tcPr>
          <w:p w:rsidR="008520AB" w:rsidRDefault="008520AB">
            <w:r>
              <w:t>Open-Midpoint</w:t>
            </w:r>
          </w:p>
        </w:tc>
        <w:tc>
          <w:tcPr>
            <w:tcW w:w="2512" w:type="dxa"/>
          </w:tcPr>
          <w:p w:rsidR="008520AB" w:rsidRDefault="008520AB" w:rsidP="0066001A">
            <w:r>
              <w:t xml:space="preserve">(1)   </w:t>
            </w:r>
            <w:r>
              <w:t>0.9978</w:t>
            </w:r>
          </w:p>
          <w:p w:rsidR="008520AB" w:rsidRDefault="008520AB">
            <w:r>
              <w:t xml:space="preserve">(2)   </w:t>
            </w:r>
            <w:r>
              <w:t>0.9978 + 0.9978i</w:t>
            </w:r>
          </w:p>
        </w:tc>
        <w:tc>
          <w:tcPr>
            <w:tcW w:w="993" w:type="dxa"/>
            <w:vMerge w:val="restart"/>
          </w:tcPr>
          <w:p w:rsidR="008520AB" w:rsidRDefault="008520AB" w:rsidP="0066001A">
            <w:pPr>
              <w:jc w:val="center"/>
            </w:pPr>
            <w:r>
              <w:t>9</w:t>
            </w:r>
          </w:p>
          <w:p w:rsidR="008520AB" w:rsidRDefault="008520AB" w:rsidP="0066001A">
            <w:pPr>
              <w:jc w:val="center"/>
            </w:pPr>
          </w:p>
          <w:p w:rsidR="008520AB" w:rsidRDefault="008520AB" w:rsidP="0066001A">
            <w:pPr>
              <w:jc w:val="center"/>
            </w:pPr>
            <w:r>
              <w:t>99</w:t>
            </w:r>
          </w:p>
        </w:tc>
      </w:tr>
      <w:tr w:rsidR="008520AB" w:rsidTr="008520AB">
        <w:tc>
          <w:tcPr>
            <w:tcW w:w="2024" w:type="dxa"/>
            <w:vMerge/>
          </w:tcPr>
          <w:p w:rsidR="008520AB" w:rsidRDefault="008520AB"/>
        </w:tc>
        <w:tc>
          <w:tcPr>
            <w:tcW w:w="2512" w:type="dxa"/>
          </w:tcPr>
          <w:p w:rsidR="008520AB" w:rsidRDefault="008520AB">
            <w:r>
              <w:t xml:space="preserve">(1)   </w:t>
            </w:r>
            <w:r>
              <w:t>0.9968</w:t>
            </w:r>
          </w:p>
          <w:p w:rsidR="008520AB" w:rsidRDefault="008520AB">
            <w:r>
              <w:t xml:space="preserve">(2)  </w:t>
            </w:r>
            <w:r>
              <w:t xml:space="preserve"> 0.9733 + 0.9733i</w:t>
            </w:r>
          </w:p>
        </w:tc>
        <w:tc>
          <w:tcPr>
            <w:tcW w:w="993" w:type="dxa"/>
            <w:vMerge/>
          </w:tcPr>
          <w:p w:rsidR="008520AB" w:rsidRDefault="008520AB" w:rsidP="0066001A">
            <w:pPr>
              <w:jc w:val="center"/>
            </w:pPr>
          </w:p>
        </w:tc>
      </w:tr>
      <w:tr w:rsidR="008520AB" w:rsidTr="008520AB">
        <w:tc>
          <w:tcPr>
            <w:tcW w:w="2024" w:type="dxa"/>
            <w:vMerge w:val="restart"/>
          </w:tcPr>
          <w:p w:rsidR="008520AB" w:rsidRDefault="008520AB">
            <w:r>
              <w:t>Trapezoidal</w:t>
            </w:r>
          </w:p>
        </w:tc>
        <w:tc>
          <w:tcPr>
            <w:tcW w:w="2512" w:type="dxa"/>
          </w:tcPr>
          <w:p w:rsidR="008520AB" w:rsidRDefault="008520AB" w:rsidP="0066001A">
            <w:r>
              <w:t>(1)   1.0000</w:t>
            </w:r>
          </w:p>
          <w:p w:rsidR="008520AB" w:rsidRDefault="008520AB" w:rsidP="0066001A">
            <w:r>
              <w:t>(2)   1.0000 + 1.0000i</w:t>
            </w:r>
          </w:p>
        </w:tc>
        <w:tc>
          <w:tcPr>
            <w:tcW w:w="993" w:type="dxa"/>
            <w:vMerge w:val="restart"/>
          </w:tcPr>
          <w:p w:rsidR="008520AB" w:rsidRDefault="008520AB" w:rsidP="0066001A">
            <w:pPr>
              <w:jc w:val="center"/>
            </w:pPr>
            <w:r>
              <w:t>9</w:t>
            </w:r>
          </w:p>
          <w:p w:rsidR="008520AB" w:rsidRDefault="008520AB" w:rsidP="0066001A">
            <w:pPr>
              <w:jc w:val="center"/>
            </w:pPr>
          </w:p>
          <w:p w:rsidR="008520AB" w:rsidRDefault="008520AB" w:rsidP="0066001A">
            <w:pPr>
              <w:jc w:val="center"/>
            </w:pPr>
            <w:r>
              <w:t>99</w:t>
            </w:r>
          </w:p>
        </w:tc>
      </w:tr>
      <w:tr w:rsidR="008520AB" w:rsidTr="008520AB">
        <w:tc>
          <w:tcPr>
            <w:tcW w:w="2024" w:type="dxa"/>
            <w:vMerge/>
          </w:tcPr>
          <w:p w:rsidR="008520AB" w:rsidRDefault="008520AB"/>
        </w:tc>
        <w:tc>
          <w:tcPr>
            <w:tcW w:w="2512" w:type="dxa"/>
          </w:tcPr>
          <w:p w:rsidR="008520AB" w:rsidRDefault="008520AB">
            <w:r>
              <w:t xml:space="preserve">(1)   </w:t>
            </w:r>
            <w:r>
              <w:t>1.0000</w:t>
            </w:r>
          </w:p>
          <w:p w:rsidR="008520AB" w:rsidRDefault="008520AB" w:rsidP="0066001A">
            <w:r>
              <w:t xml:space="preserve">(2)   </w:t>
            </w:r>
            <w:r>
              <w:t>1.0000 + 1.0000i</w:t>
            </w:r>
          </w:p>
        </w:tc>
        <w:tc>
          <w:tcPr>
            <w:tcW w:w="993" w:type="dxa"/>
            <w:vMerge/>
          </w:tcPr>
          <w:p w:rsidR="008520AB" w:rsidRDefault="008520AB" w:rsidP="0066001A">
            <w:pPr>
              <w:jc w:val="center"/>
            </w:pPr>
          </w:p>
        </w:tc>
      </w:tr>
      <w:tr w:rsidR="008520AB" w:rsidTr="008520AB">
        <w:tc>
          <w:tcPr>
            <w:tcW w:w="2024" w:type="dxa"/>
          </w:tcPr>
          <w:p w:rsidR="008520AB" w:rsidRDefault="008520AB">
            <w:r>
              <w:t>Simpson’s 1/3</w:t>
            </w:r>
          </w:p>
        </w:tc>
        <w:tc>
          <w:tcPr>
            <w:tcW w:w="2512" w:type="dxa"/>
          </w:tcPr>
          <w:p w:rsidR="008520AB" w:rsidRDefault="008520AB" w:rsidP="00EA0D8E">
            <w:r>
              <w:t xml:space="preserve">(1)   </w:t>
            </w:r>
            <w:r>
              <w:t>1.0000</w:t>
            </w:r>
          </w:p>
          <w:p w:rsidR="008520AB" w:rsidRDefault="008520AB" w:rsidP="00EA0D8E">
            <w:r>
              <w:t xml:space="preserve">(2)   </w:t>
            </w:r>
            <w:r>
              <w:t>1.0000 + 1.0000i</w:t>
            </w:r>
          </w:p>
        </w:tc>
        <w:tc>
          <w:tcPr>
            <w:tcW w:w="993" w:type="dxa"/>
          </w:tcPr>
          <w:p w:rsidR="008520AB" w:rsidRDefault="008520AB" w:rsidP="0066001A">
            <w:pPr>
              <w:jc w:val="center"/>
            </w:pPr>
            <w:r>
              <w:t>9</w:t>
            </w:r>
          </w:p>
        </w:tc>
      </w:tr>
    </w:tbl>
    <w:p w:rsidR="008520AB" w:rsidRDefault="008520AB" w:rsidP="008520AB"/>
    <w:p w:rsidR="008520AB" w:rsidRDefault="008520AB" w:rsidP="008520AB">
      <w:r>
        <w:t>All the integrations took less than one second on a fast Windows computer. Even with only 9 points, the Simpson’s 1/3 rule estimate was equal to the exact values.</w:t>
      </w:r>
    </w:p>
    <w:p w:rsidR="008520AB" w:rsidRDefault="008520AB" w:rsidP="008520AB"/>
    <w:p w:rsidR="0066001A" w:rsidRDefault="008520AB" w:rsidP="008520AB">
      <w:r>
        <w:t xml:space="preserve">    </w:t>
      </w:r>
    </w:p>
    <w:p w:rsidR="0066001A" w:rsidRDefault="0066001A"/>
    <w:sectPr w:rsidR="0066001A">
      <w:footerReference w:type="even" r:id="rId49"/>
      <w:footerReference w:type="default" r:id="rId50"/>
      <w:pgSz w:w="11906" w:h="16838" w:code="9"/>
      <w:pgMar w:top="1440" w:right="1797" w:bottom="1440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D3F" w:rsidRDefault="00926D3F">
      <w:r>
        <w:separator/>
      </w:r>
    </w:p>
  </w:endnote>
  <w:endnote w:type="continuationSeparator" w:id="0">
    <w:p w:rsidR="00926D3F" w:rsidRDefault="0092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33F9" w:rsidRDefault="003D33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6D3F">
      <w:rPr>
        <w:rStyle w:val="PageNumber"/>
        <w:noProof/>
      </w:rPr>
      <w:t>1</w:t>
    </w:r>
    <w:r>
      <w:rPr>
        <w:rStyle w:val="PageNumber"/>
      </w:rPr>
      <w:fldChar w:fldCharType="end"/>
    </w:r>
  </w:p>
  <w:p w:rsidR="003D33F9" w:rsidRPr="00E87932" w:rsidRDefault="00E87932">
    <w:pPr>
      <w:pStyle w:val="Footer"/>
      <w:ind w:right="360"/>
      <w:rPr>
        <w:sz w:val="20"/>
        <w:szCs w:val="20"/>
      </w:rPr>
    </w:pPr>
    <w:r w:rsidRPr="00E87932">
      <w:rPr>
        <w:sz w:val="20"/>
        <w:szCs w:val="20"/>
      </w:rPr>
      <w:t>Doing Physics with Matlab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D3F" w:rsidRDefault="00926D3F">
      <w:r>
        <w:separator/>
      </w:r>
    </w:p>
  </w:footnote>
  <w:footnote w:type="continuationSeparator" w:id="0">
    <w:p w:rsidR="00926D3F" w:rsidRDefault="00926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ED"/>
    <w:rsid w:val="000029EE"/>
    <w:rsid w:val="000712D9"/>
    <w:rsid w:val="00257F01"/>
    <w:rsid w:val="0035357F"/>
    <w:rsid w:val="003B1197"/>
    <w:rsid w:val="003D33F9"/>
    <w:rsid w:val="005041F8"/>
    <w:rsid w:val="0066001A"/>
    <w:rsid w:val="006C63ED"/>
    <w:rsid w:val="008520AB"/>
    <w:rsid w:val="00926D3F"/>
    <w:rsid w:val="00B74177"/>
    <w:rsid w:val="00DC5D00"/>
    <w:rsid w:val="00DE01A7"/>
    <w:rsid w:val="00DF10ED"/>
    <w:rsid w:val="00E10A70"/>
    <w:rsid w:val="00E87932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chart" Target="charts/chart1.xml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hysics.usyd.edu.au/teach_res/mp/mscripts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8" Type="http://schemas.openxmlformats.org/officeDocument/2006/relationships/hyperlink" Target="http://www.physics.usyd.edu.au/teach_res/mp/mphome.htm" TargetMode="External"/><Relationship Id="rId51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174129353233828"/>
          <c:y val="0.19369369369369369"/>
          <c:w val="0.78358208955223874"/>
          <c:h val="0.6531531531531530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FFFF99"/>
            </a:solidFill>
            <a:ln w="12686">
              <a:solidFill>
                <a:srgbClr val="000000"/>
              </a:solidFill>
              <a:prstDash val="solid"/>
            </a:ln>
          </c:spPr>
          <c:invertIfNegative val="0"/>
          <c:val>
            <c:numRef>
              <c:f>Sheet1!$C$5:$C$8</c:f>
              <c:numCache>
                <c:formatCode>General</c:formatCode>
                <c:ptCount val="4"/>
                <c:pt idx="0">
                  <c:v>100</c:v>
                </c:pt>
                <c:pt idx="1">
                  <c:v>50</c:v>
                </c:pt>
                <c:pt idx="2">
                  <c:v>80</c:v>
                </c:pt>
                <c:pt idx="3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6892288"/>
        <c:axId val="153776128"/>
      </c:barChart>
      <c:catAx>
        <c:axId val="126892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4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5377612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537761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4" b="0" i="0" u="none" strike="noStrike" baseline="0">
                <a:solidFill>
                  <a:srgbClr val="FFFFFF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26892288"/>
        <c:crosses val="autoZero"/>
        <c:crossBetween val="between"/>
      </c:valAx>
      <c:spPr>
        <a:noFill/>
        <a:ln w="25371">
          <a:noFill/>
        </a:ln>
      </c:spPr>
    </c:plotArea>
    <c:plotVisOnly val="1"/>
    <c:dispBlanksAs val="gap"/>
    <c:showDLblsOverMax val="0"/>
  </c:chart>
  <c:spPr>
    <a:solidFill>
      <a:srgbClr val="FFFFFF"/>
    </a:solidFill>
    <a:ln w="12686">
      <a:solidFill>
        <a:srgbClr val="FFFFFF"/>
      </a:solidFill>
      <a:prstDash val="solid"/>
    </a:ln>
  </c:spPr>
  <c:txPr>
    <a:bodyPr/>
    <a:lstStyle/>
    <a:p>
      <a:pPr>
        <a:defRPr sz="874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1057</Words>
  <Characters>6026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Numerical Integration</vt:lpstr>
      <vt:lpstr/>
      <vt:lpstr>COMPUTATION OF ONE-DIMENSIONAL</vt:lpstr>
      <vt:lpstr>INTEGRALS</vt:lpstr>
      <vt:lpstr/>
      <vt:lpstr>Closed Rectangle Rule</vt:lpstr>
      <vt:lpstr/>
      <vt:lpstr>Open Midpoint Rule  </vt:lpstr>
      <vt:lpstr/>
      <vt:lpstr/>
      <vt:lpstr>Trapezoidal Rule</vt:lpstr>
      <vt:lpstr>Simpson’s 1/3 rule</vt:lpstr>
    </vt:vector>
  </TitlesOfParts>
  <Company>university of sydney</Company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Integration</dc:title>
  <dc:subject>Matlab, Computational Physics</dc:subject>
  <dc:creator>Ian Cooper</dc:creator>
  <cp:keywords>computational physics, integration, Simpson's rule, Matlab, definite integral</cp:keywords>
  <cp:lastModifiedBy>Admin</cp:lastModifiedBy>
  <cp:revision>9</cp:revision>
  <cp:lastPrinted>2014-08-25T00:22:00Z</cp:lastPrinted>
  <dcterms:created xsi:type="dcterms:W3CDTF">2014-08-24T09:24:00Z</dcterms:created>
  <dcterms:modified xsi:type="dcterms:W3CDTF">2014-08-25T00:22:00Z</dcterms:modified>
  <cp:category>Computational Physics</cp:category>
</cp:coreProperties>
</file>