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5B" w:rsidRDefault="007677EA" w:rsidP="005041F8">
      <w:pPr>
        <w:spacing w:line="360" w:lineRule="auto"/>
        <w:ind w:left="284"/>
        <w:rPr>
          <w:rFonts w:ascii="Bookman Old Style" w:hAnsi="Bookman Old Style"/>
          <w:b/>
          <w:bCs/>
          <w:color w:val="0000FF"/>
          <w:sz w:val="32"/>
          <w:szCs w:val="32"/>
        </w:rPr>
      </w:pPr>
      <w:r w:rsidRPr="00BD48D4">
        <w:rPr>
          <w:noProof/>
          <w:lang w:eastAsia="zh-CN"/>
        </w:rPr>
        <w:drawing>
          <wp:anchor distT="0" distB="0" distL="114300" distR="114300" simplePos="0" relativeHeight="251693568" behindDoc="0" locked="0" layoutInCell="1" allowOverlap="1" wp14:anchorId="176BD325" wp14:editId="1E8FF49B">
            <wp:simplePos x="0" y="0"/>
            <wp:positionH relativeFrom="column">
              <wp:posOffset>70485</wp:posOffset>
            </wp:positionH>
            <wp:positionV relativeFrom="paragraph">
              <wp:posOffset>240030</wp:posOffset>
            </wp:positionV>
            <wp:extent cx="1036320" cy="12420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9879" t="24480" r="33459" b="12702"/>
                    <a:stretch/>
                  </pic:blipFill>
                  <pic:spPr bwMode="auto">
                    <a:xfrm>
                      <a:off x="0" y="0"/>
                      <a:ext cx="1036320" cy="124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41F8" w:rsidRPr="00EE579D" w:rsidRDefault="005041F8" w:rsidP="005041F8">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9F4215" w:rsidRDefault="005041F8" w:rsidP="000A049E">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3214EE" w:rsidRDefault="003214EE" w:rsidP="00DE7C1E">
      <w:pPr>
        <w:pStyle w:val="Heading1"/>
        <w:jc w:val="center"/>
        <w:rPr>
          <w:rFonts w:ascii="Bookman Old Style" w:hAnsi="Bookman Old Style"/>
          <w:color w:val="E36C0A" w:themeColor="accent6" w:themeShade="BF"/>
          <w:sz w:val="32"/>
          <w:szCs w:val="32"/>
        </w:rPr>
      </w:pPr>
    </w:p>
    <w:p w:rsidR="008870AA" w:rsidRDefault="008870AA" w:rsidP="007B3DFA">
      <w:pPr>
        <w:pStyle w:val="Heading1"/>
        <w:jc w:val="center"/>
      </w:pPr>
      <w:r>
        <w:rPr>
          <w:rFonts w:ascii="Bookman Old Style" w:hAnsi="Bookman Old Style"/>
          <w:color w:val="E36C0A" w:themeColor="accent6" w:themeShade="BF"/>
          <w:sz w:val="32"/>
          <w:szCs w:val="32"/>
        </w:rPr>
        <w:t xml:space="preserve">POYNTING VECTOR  </w:t>
      </w:r>
      <w:r w:rsidRPr="005E1755">
        <w:rPr>
          <w:position w:val="-6"/>
        </w:rPr>
        <w:object w:dxaOrig="2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20.4pt" o:ole="">
            <v:imagedata r:id="rId11" o:title=""/>
          </v:shape>
          <o:OLEObject Type="Embed" ProgID="Equation.DSMT4" ShapeID="_x0000_i1025" DrawAspect="Content" ObjectID="_1477883897" r:id="rId12"/>
        </w:object>
      </w:r>
    </w:p>
    <w:p w:rsidR="007B3DFA" w:rsidRPr="008870AA" w:rsidRDefault="007B3DFA" w:rsidP="007B3DFA">
      <w:pPr>
        <w:pStyle w:val="Heading1"/>
        <w:jc w:val="center"/>
        <w:rPr>
          <w:rFonts w:ascii="Bookman Old Style" w:hAnsi="Bookman Old Style"/>
          <w:color w:val="E36C0A" w:themeColor="accent6" w:themeShade="BF"/>
          <w:sz w:val="28"/>
          <w:szCs w:val="28"/>
        </w:rPr>
      </w:pPr>
      <w:r>
        <w:rPr>
          <w:rFonts w:ascii="Bookman Old Style" w:hAnsi="Bookman Old Style"/>
          <w:color w:val="E36C0A" w:themeColor="accent6" w:themeShade="BF"/>
          <w:sz w:val="32"/>
          <w:szCs w:val="32"/>
        </w:rPr>
        <w:t xml:space="preserve">IRRADIANCE  </w:t>
      </w:r>
      <w:r w:rsidR="008870AA">
        <w:rPr>
          <w:rFonts w:ascii="Times New Roman" w:hAnsi="Times New Roman" w:cs="Times New Roman"/>
          <w:b w:val="0"/>
          <w:i/>
          <w:sz w:val="28"/>
          <w:szCs w:val="28"/>
        </w:rPr>
        <w:t>w</w:t>
      </w:r>
      <w:r w:rsidRPr="008870AA">
        <w:rPr>
          <w:rFonts w:ascii="Times New Roman" w:hAnsi="Times New Roman" w:cs="Times New Roman"/>
          <w:b w:val="0"/>
          <w:i/>
          <w:sz w:val="28"/>
          <w:szCs w:val="28"/>
          <w:vertAlign w:val="subscript"/>
        </w:rPr>
        <w:t>e</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041F8" w:rsidRDefault="005041F8" w:rsidP="000A7590">
      <w:pPr>
        <w:tabs>
          <w:tab w:val="left" w:pos="567"/>
        </w:tabs>
        <w:spacing w:line="276" w:lineRule="auto"/>
        <w:rPr>
          <w:rFonts w:ascii="Tahoma" w:hAnsi="Tahoma" w:cs="Tahoma"/>
          <w:color w:val="000000"/>
        </w:rPr>
      </w:pPr>
      <w:r w:rsidRPr="00A00B3E">
        <w:rPr>
          <w:rFonts w:ascii="Tahoma" w:hAnsi="Tahoma" w:cs="Tahoma"/>
          <w:bCs/>
          <w:color w:val="000000"/>
        </w:rPr>
        <w:t>Ian Cooper</w:t>
      </w:r>
      <w:r w:rsidR="000A7590">
        <w:rPr>
          <w:rFonts w:ascii="Tahoma" w:hAnsi="Tahoma" w:cs="Tahoma"/>
          <w:bCs/>
          <w:color w:val="000000"/>
        </w:rPr>
        <w:t xml:space="preserve">   </w:t>
      </w:r>
      <w:r w:rsidRPr="00A00B3E">
        <w:rPr>
          <w:rFonts w:ascii="Tahoma" w:hAnsi="Tahoma" w:cs="Tahoma"/>
          <w:bCs/>
          <w:color w:val="000000"/>
        </w:rPr>
        <w:t>School of Physics</w:t>
      </w:r>
      <w:r w:rsidR="00C07A3B">
        <w:rPr>
          <w:rFonts w:ascii="Tahoma" w:hAnsi="Tahoma" w:cs="Tahoma"/>
          <w:bCs/>
          <w:color w:val="000000"/>
        </w:rPr>
        <w:t xml:space="preserve">  </w:t>
      </w:r>
      <w:r w:rsidRPr="00A00B3E">
        <w:rPr>
          <w:rFonts w:ascii="Tahoma" w:hAnsi="Tahoma" w:cs="Tahoma"/>
          <w:bCs/>
          <w:color w:val="000000"/>
        </w:rPr>
        <w:t xml:space="preserve"> University of Sydney</w:t>
      </w:r>
      <w:r w:rsidR="000A7590">
        <w:rPr>
          <w:rFonts w:ascii="Tahoma" w:hAnsi="Tahoma" w:cs="Tahoma"/>
          <w:bCs/>
          <w:color w:val="000000"/>
        </w:rPr>
        <w:t xml:space="preserve">   </w:t>
      </w:r>
      <w:r w:rsidR="000A7590" w:rsidRPr="00C07A3B">
        <w:rPr>
          <w:rFonts w:ascii="Tahoma" w:hAnsi="Tahoma" w:cs="Tahoma"/>
          <w:bCs/>
          <w:color w:val="000000"/>
        </w:rPr>
        <w:t>i</w:t>
      </w:r>
      <w:r w:rsidR="000A7590" w:rsidRPr="00C07A3B">
        <w:rPr>
          <w:rFonts w:ascii="Tahoma" w:hAnsi="Tahoma" w:cs="Tahoma"/>
          <w:color w:val="000000"/>
        </w:rPr>
        <w:t>an.cooper@sydney.edu.au</w:t>
      </w:r>
    </w:p>
    <w:p w:rsidR="000A7590" w:rsidRDefault="000A7590" w:rsidP="000A7590">
      <w:pPr>
        <w:tabs>
          <w:tab w:val="left" w:pos="567"/>
        </w:tabs>
        <w:spacing w:line="276" w:lineRule="auto"/>
        <w:rPr>
          <w:rFonts w:ascii="Tahoma" w:hAnsi="Tahoma" w:cs="Tahoma"/>
        </w:rPr>
      </w:pPr>
    </w:p>
    <w:p w:rsidR="005041F8" w:rsidRDefault="00C506EB" w:rsidP="005041F8">
      <w:pPr>
        <w:rPr>
          <w:rFonts w:ascii="Bookman Old Style" w:hAnsi="Bookman Old Style" w:cs="Tahoma"/>
          <w:b/>
          <w:color w:val="000099"/>
        </w:rPr>
      </w:pPr>
      <w:hyperlink r:id="rId13"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7B3DFA" w:rsidRDefault="007B3DFA" w:rsidP="004D6846">
      <w:pPr>
        <w:spacing w:line="276" w:lineRule="auto"/>
      </w:pPr>
    </w:p>
    <w:p w:rsidR="007B3DFA" w:rsidRDefault="007B3DFA" w:rsidP="004D6846">
      <w:pPr>
        <w:spacing w:line="276" w:lineRule="auto"/>
      </w:pPr>
      <w:r>
        <w:t xml:space="preserve">An electromagnetic wave transports energy. The </w:t>
      </w:r>
      <w:r w:rsidRPr="007B3DFA">
        <w:rPr>
          <w:b/>
          <w:color w:val="3333FF"/>
        </w:rPr>
        <w:t>Poynting vector</w:t>
      </w:r>
      <w:r>
        <w:t xml:space="preserve"> </w:t>
      </w:r>
      <w:r w:rsidRPr="00AA5831">
        <w:rPr>
          <w:position w:val="-6"/>
        </w:rPr>
        <w:object w:dxaOrig="220" w:dyaOrig="340">
          <v:shape id="_x0000_i1026" type="#_x0000_t75" style="width:10.8pt;height:16.8pt" o:ole="">
            <v:imagedata r:id="rId14" o:title=""/>
          </v:shape>
          <o:OLEObject Type="Embed" ProgID="Equation.DSMT4" ShapeID="_x0000_i1026" DrawAspect="Content" ObjectID="_1477883898" r:id="rId15"/>
        </w:object>
      </w:r>
      <w:r>
        <w:t xml:space="preserve"> is used to represent this flow of electromagnetic energy per unit time across a unit area. The S.I. unit for the Poynting vector is J.s</w:t>
      </w:r>
      <w:r w:rsidRPr="007B3DFA">
        <w:rPr>
          <w:vertAlign w:val="superscript"/>
        </w:rPr>
        <w:t>-1</w:t>
      </w:r>
      <w:r>
        <w:t>.m</w:t>
      </w:r>
      <w:r w:rsidRPr="007B3DFA">
        <w:rPr>
          <w:vertAlign w:val="superscript"/>
        </w:rPr>
        <w:t>-2</w:t>
      </w:r>
      <w:r>
        <w:t xml:space="preserve"> or W.m</w:t>
      </w:r>
      <w:r w:rsidRPr="007B3DFA">
        <w:rPr>
          <w:vertAlign w:val="superscript"/>
        </w:rPr>
        <w:t>-2</w:t>
      </w:r>
      <w:r>
        <w:t>.</w:t>
      </w:r>
    </w:p>
    <w:p w:rsidR="007B3DFA" w:rsidRDefault="007B3DFA" w:rsidP="004D6846">
      <w:pPr>
        <w:spacing w:line="276" w:lineRule="auto"/>
      </w:pPr>
    </w:p>
    <w:p w:rsidR="007B3DFA" w:rsidRDefault="007B3DFA" w:rsidP="004D6846">
      <w:pPr>
        <w:spacing w:line="276" w:lineRule="auto"/>
      </w:pPr>
      <w:r>
        <w:t xml:space="preserve">Assuming that the medium is isotropic and that the energy flows in the direction of the propagating wave, then the Poynting vector </w:t>
      </w:r>
      <w:r w:rsidR="00374ED2">
        <w:t>is defined as</w:t>
      </w:r>
    </w:p>
    <w:p w:rsidR="00374ED2" w:rsidRDefault="00374ED2" w:rsidP="004D6846">
      <w:pPr>
        <w:spacing w:line="276" w:lineRule="auto"/>
      </w:pPr>
    </w:p>
    <w:p w:rsidR="00374ED2" w:rsidRDefault="00374ED2" w:rsidP="00374ED2">
      <w:pPr>
        <w:tabs>
          <w:tab w:val="left" w:pos="567"/>
          <w:tab w:val="left" w:pos="1418"/>
        </w:tabs>
        <w:spacing w:line="276" w:lineRule="auto"/>
      </w:pPr>
      <w:r>
        <w:tab/>
        <w:t>(1)</w:t>
      </w:r>
      <w:r>
        <w:tab/>
      </w:r>
      <w:r w:rsidR="008870AA" w:rsidRPr="008870AA">
        <w:rPr>
          <w:position w:val="-28"/>
        </w:rPr>
        <w:object w:dxaOrig="1219" w:dyaOrig="660">
          <v:shape id="_x0000_i1027" type="#_x0000_t75" style="width:60.6pt;height:33pt" o:ole="">
            <v:imagedata r:id="rId16" o:title=""/>
          </v:shape>
          <o:OLEObject Type="Embed" ProgID="Equation.DSMT4" ShapeID="_x0000_i1027" DrawAspect="Content" ObjectID="_1477883899" r:id="rId17"/>
        </w:object>
      </w:r>
    </w:p>
    <w:p w:rsidR="00374ED2" w:rsidRDefault="00374ED2" w:rsidP="00374ED2">
      <w:pPr>
        <w:tabs>
          <w:tab w:val="left" w:pos="567"/>
          <w:tab w:val="left" w:pos="1418"/>
        </w:tabs>
        <w:spacing w:line="276" w:lineRule="auto"/>
      </w:pPr>
    </w:p>
    <w:p w:rsidR="00DD02B1" w:rsidRDefault="00DD02B1" w:rsidP="00DD02B1">
      <w:pPr>
        <w:spacing w:line="276" w:lineRule="auto"/>
      </w:pPr>
      <w:r>
        <w:t>We can assume that the magnetic susceptibility is negligible, i.e.</w:t>
      </w:r>
      <w:r>
        <w:rPr>
          <w:rStyle w:val="apple-converted-space"/>
          <w:rFonts w:ascii="Arial" w:hAnsi="Arial" w:cs="Arial"/>
          <w:color w:val="252525"/>
          <w:sz w:val="21"/>
          <w:szCs w:val="21"/>
        </w:rPr>
        <w:t> </w:t>
      </w:r>
      <w:r w:rsidRPr="00CB71D3">
        <w:rPr>
          <w:position w:val="-12"/>
        </w:rPr>
        <w:object w:dxaOrig="620" w:dyaOrig="360">
          <v:shape id="_x0000_i1028" type="#_x0000_t75" style="width:31.2pt;height:18pt" o:ole="">
            <v:imagedata r:id="rId18" o:title=""/>
          </v:shape>
          <o:OLEObject Type="Embed" ProgID="Equation.DSMT4" ShapeID="_x0000_i1028" DrawAspect="Content" ObjectID="_1477883900" r:id="rId19"/>
        </w:object>
      </w:r>
      <w:r>
        <w:rPr>
          <w:rStyle w:val="apple-converted-space"/>
          <w:rFonts w:ascii="Arial" w:hAnsi="Arial" w:cs="Arial"/>
          <w:color w:val="252525"/>
          <w:sz w:val="21"/>
          <w:szCs w:val="21"/>
        </w:rPr>
        <w:t> </w:t>
      </w:r>
      <w:r>
        <w:t>where</w:t>
      </w:r>
      <w:r>
        <w:rPr>
          <w:rStyle w:val="apple-converted-space"/>
          <w:rFonts w:ascii="Arial" w:hAnsi="Arial" w:cs="Arial"/>
          <w:color w:val="252525"/>
          <w:sz w:val="21"/>
          <w:szCs w:val="21"/>
        </w:rPr>
        <w:t> </w:t>
      </w:r>
      <w:r w:rsidRPr="00CB71D3">
        <w:rPr>
          <w:position w:val="-12"/>
        </w:rPr>
        <w:object w:dxaOrig="279" w:dyaOrig="360">
          <v:shape id="_x0000_i1029" type="#_x0000_t75" style="width:13.8pt;height:18pt" o:ole="">
            <v:imagedata r:id="rId20" o:title=""/>
          </v:shape>
          <o:OLEObject Type="Embed" ProgID="Equation.DSMT4" ShapeID="_x0000_i1029" DrawAspect="Content" ObjectID="_1477883901" r:id="rId21"/>
        </w:object>
      </w:r>
      <w:r>
        <w:rPr>
          <w:rStyle w:val="apple-converted-space"/>
          <w:rFonts w:ascii="Arial" w:hAnsi="Arial" w:cs="Arial"/>
          <w:color w:val="252525"/>
          <w:sz w:val="21"/>
          <w:szCs w:val="21"/>
        </w:rPr>
        <w:t> </w:t>
      </w:r>
      <w:r>
        <w:t>is the magnetic permeability of the light transmitting media. This assumption is typically valid in transparent media in the optical frequency range</w:t>
      </w:r>
      <w:r w:rsidR="00914BEC">
        <w:t>, hence, e</w:t>
      </w:r>
      <w:r>
        <w:t>quation (1) becomes</w:t>
      </w:r>
    </w:p>
    <w:p w:rsidR="00DD02B1" w:rsidRDefault="00DD02B1" w:rsidP="00DD02B1">
      <w:pPr>
        <w:spacing w:line="276" w:lineRule="auto"/>
      </w:pPr>
    </w:p>
    <w:p w:rsidR="00DD02B1" w:rsidRDefault="00DD02B1" w:rsidP="00DD02B1">
      <w:pPr>
        <w:tabs>
          <w:tab w:val="left" w:pos="567"/>
          <w:tab w:val="left" w:pos="1418"/>
        </w:tabs>
        <w:spacing w:line="276" w:lineRule="auto"/>
      </w:pPr>
      <w:r>
        <w:tab/>
        <w:t>(2)</w:t>
      </w:r>
      <w:r>
        <w:tab/>
      </w:r>
      <w:r w:rsidRPr="00DD02B1">
        <w:rPr>
          <w:position w:val="-30"/>
        </w:rPr>
        <w:object w:dxaOrig="1300" w:dyaOrig="680">
          <v:shape id="_x0000_i1030" type="#_x0000_t75" style="width:64.8pt;height:34.2pt" o:ole="">
            <v:imagedata r:id="rId22" o:title=""/>
          </v:shape>
          <o:OLEObject Type="Embed" ProgID="Equation.DSMT4" ShapeID="_x0000_i1030" DrawAspect="Content" ObjectID="_1477883902" r:id="rId23"/>
        </w:object>
      </w:r>
    </w:p>
    <w:p w:rsidR="00DD02B1" w:rsidRDefault="00DD02B1" w:rsidP="00DD02B1">
      <w:pPr>
        <w:tabs>
          <w:tab w:val="left" w:pos="567"/>
          <w:tab w:val="left" w:pos="1418"/>
        </w:tabs>
        <w:spacing w:line="276" w:lineRule="auto"/>
      </w:pPr>
    </w:p>
    <w:p w:rsidR="00DD02B1" w:rsidRDefault="00374ED2" w:rsidP="00374ED2">
      <w:pPr>
        <w:tabs>
          <w:tab w:val="left" w:pos="567"/>
          <w:tab w:val="left" w:pos="1418"/>
        </w:tabs>
        <w:spacing w:line="276" w:lineRule="auto"/>
      </w:pPr>
      <w:r>
        <w:t xml:space="preserve">For a harmonic, linearly polarised plane wave travelling through </w:t>
      </w:r>
      <w:r w:rsidR="00DD02B1">
        <w:t>a non-magnetic medium, the electric and magnetic fields are</w:t>
      </w:r>
    </w:p>
    <w:p w:rsidR="00DD02B1" w:rsidRDefault="00DD02B1" w:rsidP="00374ED2">
      <w:pPr>
        <w:tabs>
          <w:tab w:val="left" w:pos="567"/>
          <w:tab w:val="left" w:pos="1418"/>
        </w:tabs>
        <w:spacing w:line="276" w:lineRule="auto"/>
      </w:pPr>
    </w:p>
    <w:p w:rsidR="00DD02B1" w:rsidRDefault="00DD02B1" w:rsidP="00374ED2">
      <w:pPr>
        <w:tabs>
          <w:tab w:val="left" w:pos="567"/>
          <w:tab w:val="left" w:pos="1418"/>
        </w:tabs>
        <w:spacing w:line="276" w:lineRule="auto"/>
      </w:pPr>
      <w:r>
        <w:tab/>
        <w:t>(3)</w:t>
      </w:r>
      <w:r>
        <w:tab/>
      </w:r>
      <w:r w:rsidRPr="005E1755">
        <w:rPr>
          <w:position w:val="-12"/>
        </w:rPr>
        <w:object w:dxaOrig="2160" w:dyaOrig="400">
          <v:shape id="_x0000_i1031" type="#_x0000_t75" style="width:108pt;height:19.8pt" o:ole="">
            <v:imagedata r:id="rId24" o:title=""/>
          </v:shape>
          <o:OLEObject Type="Embed" ProgID="Equation.DSMT4" ShapeID="_x0000_i1031" DrawAspect="Content" ObjectID="_1477883903" r:id="rId25"/>
        </w:object>
      </w:r>
    </w:p>
    <w:p w:rsidR="00DD02B1" w:rsidRDefault="00DD02B1" w:rsidP="00374ED2">
      <w:pPr>
        <w:tabs>
          <w:tab w:val="left" w:pos="567"/>
          <w:tab w:val="left" w:pos="1418"/>
        </w:tabs>
        <w:spacing w:line="276" w:lineRule="auto"/>
      </w:pPr>
    </w:p>
    <w:p w:rsidR="00DD02B1" w:rsidRDefault="00DD02B1" w:rsidP="00374ED2">
      <w:pPr>
        <w:tabs>
          <w:tab w:val="left" w:pos="567"/>
          <w:tab w:val="left" w:pos="1418"/>
        </w:tabs>
        <w:spacing w:line="276" w:lineRule="auto"/>
      </w:pPr>
      <w:r>
        <w:tab/>
        <w:t>(4)</w:t>
      </w:r>
      <w:r>
        <w:tab/>
      </w:r>
      <w:r w:rsidRPr="005E1755">
        <w:rPr>
          <w:position w:val="-12"/>
        </w:rPr>
        <w:object w:dxaOrig="2140" w:dyaOrig="400">
          <v:shape id="_x0000_i1032" type="#_x0000_t75" style="width:106.8pt;height:19.8pt" o:ole="">
            <v:imagedata r:id="rId26" o:title=""/>
          </v:shape>
          <o:OLEObject Type="Embed" ProgID="Equation.DSMT4" ShapeID="_x0000_i1032" DrawAspect="Content" ObjectID="_1477883904" r:id="rId27"/>
        </w:object>
      </w:r>
    </w:p>
    <w:p w:rsidR="00DD02B1" w:rsidRDefault="00DD02B1" w:rsidP="00374ED2">
      <w:pPr>
        <w:tabs>
          <w:tab w:val="left" w:pos="567"/>
          <w:tab w:val="left" w:pos="1418"/>
        </w:tabs>
        <w:spacing w:line="276" w:lineRule="auto"/>
      </w:pPr>
    </w:p>
    <w:p w:rsidR="00221AC3" w:rsidRDefault="00221AC3">
      <w:r>
        <w:br w:type="page"/>
      </w:r>
    </w:p>
    <w:p w:rsidR="00DD02B1" w:rsidRDefault="00DD02B1" w:rsidP="00374ED2">
      <w:pPr>
        <w:tabs>
          <w:tab w:val="left" w:pos="567"/>
          <w:tab w:val="left" w:pos="1418"/>
        </w:tabs>
        <w:spacing w:line="276" w:lineRule="auto"/>
      </w:pPr>
      <w:r>
        <w:lastRenderedPageBreak/>
        <w:t>Also, we know that</w:t>
      </w:r>
    </w:p>
    <w:p w:rsidR="00DD02B1" w:rsidRDefault="00DD02B1" w:rsidP="00374ED2">
      <w:pPr>
        <w:tabs>
          <w:tab w:val="left" w:pos="567"/>
          <w:tab w:val="left" w:pos="1418"/>
        </w:tabs>
        <w:spacing w:line="276" w:lineRule="auto"/>
      </w:pPr>
    </w:p>
    <w:p w:rsidR="00221AC3" w:rsidRDefault="00221AC3" w:rsidP="00374ED2">
      <w:pPr>
        <w:tabs>
          <w:tab w:val="left" w:pos="567"/>
          <w:tab w:val="left" w:pos="1418"/>
        </w:tabs>
        <w:spacing w:line="276" w:lineRule="auto"/>
      </w:pPr>
      <w:r>
        <w:tab/>
      </w:r>
      <w:r w:rsidRPr="005E1755">
        <w:rPr>
          <w:position w:val="-32"/>
        </w:rPr>
        <w:object w:dxaOrig="6340" w:dyaOrig="760">
          <v:shape id="_x0000_i1033" type="#_x0000_t75" style="width:316.8pt;height:37.8pt" o:ole="">
            <v:imagedata r:id="rId28" o:title=""/>
          </v:shape>
          <o:OLEObject Type="Embed" ProgID="Equation.DSMT4" ShapeID="_x0000_i1033" DrawAspect="Content" ObjectID="_1477883905" r:id="rId29"/>
        </w:object>
      </w:r>
    </w:p>
    <w:p w:rsidR="00415758" w:rsidRDefault="00415758" w:rsidP="00374ED2">
      <w:pPr>
        <w:tabs>
          <w:tab w:val="left" w:pos="567"/>
          <w:tab w:val="left" w:pos="1418"/>
        </w:tabs>
        <w:spacing w:line="276" w:lineRule="auto"/>
      </w:pPr>
    </w:p>
    <w:p w:rsidR="00221AC3" w:rsidRDefault="00221AC3" w:rsidP="00374ED2">
      <w:pPr>
        <w:tabs>
          <w:tab w:val="left" w:pos="567"/>
          <w:tab w:val="left" w:pos="1418"/>
        </w:tabs>
        <w:spacing w:line="276" w:lineRule="auto"/>
      </w:pPr>
      <w:r>
        <w:tab/>
      </w:r>
      <w:r w:rsidRPr="005E1755">
        <w:rPr>
          <w:position w:val="-32"/>
        </w:rPr>
        <w:object w:dxaOrig="6860" w:dyaOrig="760">
          <v:shape id="_x0000_i1034" type="#_x0000_t75" style="width:343.2pt;height:37.8pt" o:ole="">
            <v:imagedata r:id="rId30" o:title=""/>
          </v:shape>
          <o:OLEObject Type="Embed" ProgID="Equation.DSMT4" ShapeID="_x0000_i1034" DrawAspect="Content" ObjectID="_1477883906" r:id="rId31"/>
        </w:object>
      </w:r>
    </w:p>
    <w:p w:rsidR="00415758" w:rsidRDefault="00415758" w:rsidP="009C7968">
      <w:pPr>
        <w:spacing w:line="276" w:lineRule="auto"/>
      </w:pPr>
    </w:p>
    <w:p w:rsidR="00221AC3" w:rsidRDefault="009C7968" w:rsidP="009C7968">
      <w:pPr>
        <w:spacing w:line="276" w:lineRule="auto"/>
      </w:pPr>
      <w:r>
        <w:t xml:space="preserve">where </w:t>
      </w:r>
      <w:r w:rsidRPr="005E1755">
        <w:rPr>
          <w:position w:val="-12"/>
        </w:rPr>
        <w:object w:dxaOrig="260" w:dyaOrig="360">
          <v:shape id="_x0000_i1035" type="#_x0000_t75" style="width:13.2pt;height:18pt" o:ole="">
            <v:imagedata r:id="rId32" o:title=""/>
          </v:shape>
          <o:OLEObject Type="Embed" ProgID="Equation.DSMT4" ShapeID="_x0000_i1035" DrawAspect="Content" ObjectID="_1477883907" r:id="rId33"/>
        </w:object>
      </w:r>
      <w:r>
        <w:t xml:space="preserve">is the permittivity of free space, </w:t>
      </w:r>
      <w:r w:rsidRPr="005E1755">
        <w:rPr>
          <w:position w:val="-12"/>
        </w:rPr>
        <w:object w:dxaOrig="300" w:dyaOrig="360">
          <v:shape id="_x0000_i1036" type="#_x0000_t75" style="width:15pt;height:18pt" o:ole="">
            <v:imagedata r:id="rId34" o:title=""/>
          </v:shape>
          <o:OLEObject Type="Embed" ProgID="Equation.DSMT4" ShapeID="_x0000_i1036" DrawAspect="Content" ObjectID="_1477883908" r:id="rId35"/>
        </w:object>
      </w:r>
      <w:r>
        <w:t xml:space="preserve">is the permeability of free space,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 xml:space="preserve">in vacuum, </w:t>
      </w:r>
      <w:r w:rsidRPr="009C7968">
        <w:rPr>
          <w:i/>
        </w:rPr>
        <w:t>v</w:t>
      </w:r>
      <w:r>
        <w:t xml:space="preserve"> is the speed of light in a medium with dielectric constant </w:t>
      </w:r>
      <w:r w:rsidRPr="005E1755">
        <w:rPr>
          <w:position w:val="-12"/>
        </w:rPr>
        <w:object w:dxaOrig="260" w:dyaOrig="360">
          <v:shape id="_x0000_i1037" type="#_x0000_t75" style="width:13.2pt;height:18pt" o:ole="">
            <v:imagedata r:id="rId36" o:title=""/>
          </v:shape>
          <o:OLEObject Type="Embed" ProgID="Equation.DSMT4" ShapeID="_x0000_i1037" DrawAspect="Content" ObjectID="_1477883909" r:id="rId37"/>
        </w:object>
      </w:r>
      <w:r>
        <w:t xml:space="preserve">, relative permittivity </w:t>
      </w:r>
      <w:r w:rsidRPr="005E1755">
        <w:rPr>
          <w:position w:val="-12"/>
        </w:rPr>
        <w:object w:dxaOrig="639" w:dyaOrig="360">
          <v:shape id="_x0000_i1038" type="#_x0000_t75" style="width:31.8pt;height:18pt" o:ole="">
            <v:imagedata r:id="rId38" o:title=""/>
          </v:shape>
          <o:OLEObject Type="Embed" ProgID="Equation.DSMT4" ShapeID="_x0000_i1038" DrawAspect="Content" ObjectID="_1477883910" r:id="rId39"/>
        </w:object>
      </w:r>
      <w:r>
        <w:t xml:space="preserve"> and </w:t>
      </w:r>
      <w:r>
        <w:rPr>
          <w:i/>
          <w:iCs/>
        </w:rPr>
        <w:t>n</w:t>
      </w:r>
      <w:r>
        <w:rPr>
          <w:rStyle w:val="apple-converted-space"/>
          <w:rFonts w:ascii="Arial" w:hAnsi="Arial" w:cs="Arial"/>
          <w:color w:val="252525"/>
          <w:sz w:val="21"/>
          <w:szCs w:val="21"/>
        </w:rPr>
        <w:t> </w:t>
      </w:r>
      <w:r>
        <w:t>is the refractive index of the medium.</w:t>
      </w:r>
    </w:p>
    <w:p w:rsidR="009C7968" w:rsidRDefault="009C7968" w:rsidP="00374ED2">
      <w:pPr>
        <w:tabs>
          <w:tab w:val="left" w:pos="567"/>
          <w:tab w:val="left" w:pos="1418"/>
        </w:tabs>
        <w:spacing w:line="276" w:lineRule="auto"/>
      </w:pPr>
    </w:p>
    <w:p w:rsidR="00221AC3" w:rsidRDefault="00221AC3" w:rsidP="00374ED2">
      <w:pPr>
        <w:tabs>
          <w:tab w:val="left" w:pos="567"/>
          <w:tab w:val="left" w:pos="1418"/>
        </w:tabs>
        <w:spacing w:line="276" w:lineRule="auto"/>
      </w:pPr>
      <w:r>
        <w:t>Therefore, we can express the Poynting vector as</w:t>
      </w:r>
    </w:p>
    <w:p w:rsidR="00221AC3" w:rsidRDefault="00221AC3" w:rsidP="00374ED2">
      <w:pPr>
        <w:tabs>
          <w:tab w:val="left" w:pos="567"/>
          <w:tab w:val="left" w:pos="1418"/>
        </w:tabs>
        <w:spacing w:line="276" w:lineRule="auto"/>
      </w:pPr>
    </w:p>
    <w:p w:rsidR="00221AC3" w:rsidRDefault="00221AC3" w:rsidP="00374ED2">
      <w:pPr>
        <w:tabs>
          <w:tab w:val="left" w:pos="567"/>
          <w:tab w:val="left" w:pos="1418"/>
        </w:tabs>
        <w:spacing w:line="276" w:lineRule="auto"/>
      </w:pPr>
      <w:r>
        <w:tab/>
        <w:t>(5)</w:t>
      </w:r>
      <w:r>
        <w:tab/>
      </w:r>
      <w:r w:rsidRPr="005E1755">
        <w:rPr>
          <w:position w:val="-14"/>
        </w:rPr>
        <w:object w:dxaOrig="5840" w:dyaOrig="420">
          <v:shape id="_x0000_i1039" type="#_x0000_t75" style="width:292.2pt;height:21pt" o:ole="">
            <v:imagedata r:id="rId40" o:title=""/>
          </v:shape>
          <o:OLEObject Type="Embed" ProgID="Equation.DSMT4" ShapeID="_x0000_i1039" DrawAspect="Content" ObjectID="_1477883911" r:id="rId41"/>
        </w:object>
      </w:r>
    </w:p>
    <w:p w:rsidR="00221AC3" w:rsidRDefault="00221AC3" w:rsidP="00374ED2">
      <w:pPr>
        <w:tabs>
          <w:tab w:val="left" w:pos="567"/>
          <w:tab w:val="left" w:pos="1418"/>
        </w:tabs>
        <w:spacing w:line="276" w:lineRule="auto"/>
      </w:pPr>
      <w:r>
        <w:tab/>
      </w:r>
      <w:r w:rsidR="00DD02B1">
        <w:tab/>
      </w:r>
      <w:r w:rsidR="00DD02B1">
        <w:tab/>
      </w:r>
    </w:p>
    <w:p w:rsidR="00612CF3" w:rsidRDefault="00221AC3" w:rsidP="00374ED2">
      <w:pPr>
        <w:tabs>
          <w:tab w:val="left" w:pos="567"/>
          <w:tab w:val="left" w:pos="1418"/>
        </w:tabs>
        <w:spacing w:line="276" w:lineRule="auto"/>
      </w:pPr>
      <w:r>
        <w:t xml:space="preserve">It is clear that the Poynting vector </w:t>
      </w:r>
      <w:r w:rsidRPr="005E1755">
        <w:rPr>
          <w:position w:val="-6"/>
        </w:rPr>
        <w:object w:dxaOrig="220" w:dyaOrig="340">
          <v:shape id="_x0000_i1040" type="#_x0000_t75" style="width:10.8pt;height:16.8pt" o:ole="">
            <v:imagedata r:id="rId42" o:title=""/>
          </v:shape>
          <o:OLEObject Type="Embed" ProgID="Equation.DSMT4" ShapeID="_x0000_i1040" DrawAspect="Content" ObjectID="_1477883912" r:id="rId43"/>
        </w:object>
      </w:r>
      <w:r>
        <w:t xml:space="preserve">oscillates from maxima to minima due to the cosine term squared. At optical frequencies, </w:t>
      </w:r>
      <w:r w:rsidRPr="005E1755">
        <w:rPr>
          <w:position w:val="-6"/>
        </w:rPr>
        <w:object w:dxaOrig="220" w:dyaOrig="340">
          <v:shape id="_x0000_i1041" type="#_x0000_t75" style="width:10.8pt;height:16.8pt" o:ole="">
            <v:imagedata r:id="rId44" o:title=""/>
          </v:shape>
          <o:OLEObject Type="Embed" ProgID="Equation.DSMT4" ShapeID="_x0000_i1041" DrawAspect="Content" ObjectID="_1477883913" r:id="rId45"/>
        </w:object>
      </w:r>
      <w:r>
        <w:t xml:space="preserve"> is an extremely rapidly varying function of time (oscillation frequency twice that of the electric and magnetic fields)</w:t>
      </w:r>
      <w:r w:rsidR="00612CF3">
        <w:t>. H</w:t>
      </w:r>
      <w:r>
        <w:t>ence,</w:t>
      </w:r>
      <w:r w:rsidR="00612CF3">
        <w:t xml:space="preserve"> the instantaneous value of </w:t>
      </w:r>
      <w:r w:rsidR="00612CF3" w:rsidRPr="005E1755">
        <w:rPr>
          <w:position w:val="-6"/>
        </w:rPr>
        <w:object w:dxaOrig="220" w:dyaOrig="340">
          <v:shape id="_x0000_i1042" type="#_x0000_t75" style="width:10.8pt;height:16.8pt" o:ole="">
            <v:imagedata r:id="rId46" o:title=""/>
          </v:shape>
          <o:OLEObject Type="Embed" ProgID="Equation.DSMT4" ShapeID="_x0000_i1042" DrawAspect="Content" ObjectID="_1477883914" r:id="rId47"/>
        </w:object>
      </w:r>
      <w:r w:rsidR="00612CF3">
        <w:t xml:space="preserve"> would be an impractical quantity to measure.</w:t>
      </w:r>
    </w:p>
    <w:p w:rsidR="00612CF3" w:rsidRDefault="00612CF3" w:rsidP="00374ED2">
      <w:pPr>
        <w:tabs>
          <w:tab w:val="left" w:pos="567"/>
          <w:tab w:val="left" w:pos="1418"/>
        </w:tabs>
        <w:spacing w:line="276" w:lineRule="auto"/>
      </w:pPr>
    </w:p>
    <w:p w:rsidR="00CF6162" w:rsidRDefault="00612CF3" w:rsidP="00374ED2">
      <w:pPr>
        <w:tabs>
          <w:tab w:val="left" w:pos="567"/>
          <w:tab w:val="left" w:pos="1418"/>
        </w:tabs>
        <w:spacing w:line="276" w:lineRule="auto"/>
      </w:pPr>
      <w:r>
        <w:t xml:space="preserve">We need to measure the </w:t>
      </w:r>
      <w:r w:rsidRPr="00CF6162">
        <w:rPr>
          <w:b/>
          <w:color w:val="7030A0"/>
        </w:rPr>
        <w:t>time-averaged value of the Poynting vector</w:t>
      </w:r>
      <w:r w:rsidRPr="00CF6162">
        <w:rPr>
          <w:color w:val="7030A0"/>
        </w:rPr>
        <w:t xml:space="preserve"> </w:t>
      </w:r>
      <w:r w:rsidR="00415758">
        <w:rPr>
          <w:color w:val="7030A0"/>
        </w:rPr>
        <w:t xml:space="preserve"> </w:t>
      </w:r>
      <w:r>
        <w:t xml:space="preserve">&lt; </w:t>
      </w:r>
      <w:r w:rsidRPr="00612CF3">
        <w:rPr>
          <w:i/>
        </w:rPr>
        <w:t>S</w:t>
      </w:r>
      <w:r>
        <w:t xml:space="preserve"> &gt;  and this quantity is often referred to as the </w:t>
      </w:r>
      <w:r w:rsidRPr="00CF6162">
        <w:rPr>
          <w:b/>
          <w:color w:val="7030A0"/>
        </w:rPr>
        <w:t>irradiance</w:t>
      </w:r>
      <w:r>
        <w:t xml:space="preserve"> </w:t>
      </w:r>
      <w:r w:rsidRPr="00612CF3">
        <w:rPr>
          <w:i/>
        </w:rPr>
        <w:t>w</w:t>
      </w:r>
      <w:r w:rsidRPr="00612CF3">
        <w:rPr>
          <w:i/>
          <w:vertAlign w:val="subscript"/>
        </w:rPr>
        <w:t>e</w:t>
      </w:r>
      <w:r>
        <w:t xml:space="preserve">. A more general term for the </w:t>
      </w:r>
      <w:r w:rsidR="00CF6162">
        <w:t xml:space="preserve">flow of energy per unit area per unit time is called the </w:t>
      </w:r>
      <w:r w:rsidR="00CF6162" w:rsidRPr="00CF6162">
        <w:rPr>
          <w:b/>
          <w:color w:val="7030A0"/>
        </w:rPr>
        <w:t>intensity</w:t>
      </w:r>
      <w:r w:rsidR="00CF6162">
        <w:t xml:space="preserve"> </w:t>
      </w:r>
      <w:r w:rsidR="00CF6162" w:rsidRPr="00CF6162">
        <w:rPr>
          <w:i/>
        </w:rPr>
        <w:t>I</w:t>
      </w:r>
      <w:r w:rsidR="00CF6162">
        <w:t>. In optics, it is better to use the term irradiance rather than intensity. The time-average of the cosine squared term is ½, therefore,</w:t>
      </w:r>
    </w:p>
    <w:p w:rsidR="00914BEC" w:rsidRDefault="00914BEC" w:rsidP="00374ED2">
      <w:pPr>
        <w:tabs>
          <w:tab w:val="left" w:pos="567"/>
          <w:tab w:val="left" w:pos="1418"/>
        </w:tabs>
        <w:spacing w:line="276" w:lineRule="auto"/>
      </w:pPr>
    </w:p>
    <w:p w:rsidR="00CF6162" w:rsidRDefault="00CF6162" w:rsidP="00374ED2">
      <w:pPr>
        <w:tabs>
          <w:tab w:val="left" w:pos="567"/>
          <w:tab w:val="left" w:pos="1418"/>
        </w:tabs>
        <w:spacing w:line="276" w:lineRule="auto"/>
      </w:pPr>
      <w:r>
        <w:tab/>
        <w:t>(6)</w:t>
      </w:r>
      <w:r>
        <w:tab/>
      </w:r>
      <w:r w:rsidR="000A009F" w:rsidRPr="005E1755">
        <w:rPr>
          <w:position w:val="-24"/>
        </w:rPr>
        <w:object w:dxaOrig="2439" w:dyaOrig="620">
          <v:shape id="_x0000_i1043" type="#_x0000_t75" style="width:121.8pt;height:31.2pt" o:ole="">
            <v:imagedata r:id="rId48" o:title=""/>
          </v:shape>
          <o:OLEObject Type="Embed" ProgID="Equation.DSMT4" ShapeID="_x0000_i1043" DrawAspect="Content" ObjectID="_1477883915" r:id="rId49"/>
        </w:object>
      </w:r>
    </w:p>
    <w:p w:rsidR="00914BEC" w:rsidRDefault="00914BEC" w:rsidP="00374ED2">
      <w:pPr>
        <w:tabs>
          <w:tab w:val="left" w:pos="567"/>
          <w:tab w:val="left" w:pos="1418"/>
        </w:tabs>
        <w:spacing w:line="276" w:lineRule="auto"/>
      </w:pPr>
    </w:p>
    <w:p w:rsidR="00CF6162" w:rsidRDefault="00CF6162" w:rsidP="00374ED2">
      <w:pPr>
        <w:tabs>
          <w:tab w:val="left" w:pos="567"/>
          <w:tab w:val="left" w:pos="1418"/>
        </w:tabs>
        <w:spacing w:line="276" w:lineRule="auto"/>
      </w:pPr>
      <w:r>
        <w:t xml:space="preserve">where </w:t>
      </w:r>
      <w:r w:rsidRPr="005E1755">
        <w:rPr>
          <w:position w:val="-12"/>
        </w:rPr>
        <w:object w:dxaOrig="499" w:dyaOrig="360">
          <v:shape id="_x0000_i1044" type="#_x0000_t75" style="width:25.2pt;height:18pt" o:ole="">
            <v:imagedata r:id="rId50" o:title=""/>
          </v:shape>
          <o:OLEObject Type="Embed" ProgID="Equation.DSMT4" ShapeID="_x0000_i1044" DrawAspect="Content" ObjectID="_1477883916" r:id="rId51"/>
        </w:object>
      </w:r>
      <w:r>
        <w:t xml:space="preserve">is the complex conjugate of the peak electric field </w:t>
      </w:r>
      <w:r w:rsidRPr="005E1755">
        <w:rPr>
          <w:position w:val="-12"/>
        </w:rPr>
        <w:object w:dxaOrig="300" w:dyaOrig="360">
          <v:shape id="_x0000_i1045" type="#_x0000_t75" style="width:15pt;height:18pt" o:ole="">
            <v:imagedata r:id="rId52" o:title=""/>
          </v:shape>
          <o:OLEObject Type="Embed" ProgID="Equation.DSMT4" ShapeID="_x0000_i1045" DrawAspect="Content" ObjectID="_1477883917" r:id="rId53"/>
        </w:object>
      </w:r>
      <w:r>
        <w:t>.</w:t>
      </w:r>
      <w:r w:rsidR="00ED1286">
        <w:t xml:space="preserve"> </w:t>
      </w:r>
    </w:p>
    <w:p w:rsidR="00ED1286" w:rsidRDefault="00ED1286" w:rsidP="00374ED2">
      <w:pPr>
        <w:tabs>
          <w:tab w:val="left" w:pos="567"/>
          <w:tab w:val="left" w:pos="1418"/>
        </w:tabs>
        <w:spacing w:line="276" w:lineRule="auto"/>
      </w:pPr>
    </w:p>
    <w:p w:rsidR="00415758" w:rsidRDefault="00CF6162" w:rsidP="00415758">
      <w:pPr>
        <w:tabs>
          <w:tab w:val="left" w:pos="567"/>
          <w:tab w:val="left" w:pos="1418"/>
        </w:tabs>
        <w:spacing w:line="276" w:lineRule="auto"/>
      </w:pPr>
      <w:r>
        <w:t>The irradiance is always given in terms of the electric field since the electric field is considerably more effective at exerting forces and doing work on charges than the magnetic field.</w:t>
      </w:r>
      <w:r w:rsidR="00415758">
        <w:t xml:space="preserve"> The irradiance is a measure of the “concentration of power”.</w:t>
      </w:r>
    </w:p>
    <w:p w:rsidR="00CF6162" w:rsidRDefault="00CF6162" w:rsidP="00374ED2">
      <w:pPr>
        <w:tabs>
          <w:tab w:val="left" w:pos="567"/>
          <w:tab w:val="left" w:pos="1418"/>
        </w:tabs>
        <w:spacing w:line="276" w:lineRule="auto"/>
      </w:pPr>
    </w:p>
    <w:p w:rsidR="00CF6162" w:rsidRDefault="00CF6162" w:rsidP="00374ED2">
      <w:pPr>
        <w:tabs>
          <w:tab w:val="left" w:pos="567"/>
          <w:tab w:val="left" w:pos="1418"/>
        </w:tabs>
        <w:spacing w:line="276" w:lineRule="auto"/>
      </w:pPr>
    </w:p>
    <w:p w:rsidR="00914BEC" w:rsidRDefault="00914BEC">
      <w:r>
        <w:br w:type="page"/>
      </w:r>
    </w:p>
    <w:p w:rsidR="004620E8" w:rsidRDefault="004620E8" w:rsidP="00374ED2">
      <w:pPr>
        <w:tabs>
          <w:tab w:val="left" w:pos="567"/>
          <w:tab w:val="left" w:pos="1418"/>
        </w:tabs>
        <w:spacing w:line="276" w:lineRule="auto"/>
      </w:pPr>
      <w:r>
        <w:t xml:space="preserve">The time rate of flow of radiant energy is the </w:t>
      </w:r>
      <w:r w:rsidRPr="004620E8">
        <w:rPr>
          <w:b/>
          <w:color w:val="7030A0"/>
        </w:rPr>
        <w:t>power</w:t>
      </w:r>
      <w:r>
        <w:t xml:space="preserve"> </w:t>
      </w:r>
      <w:r w:rsidRPr="004620E8">
        <w:rPr>
          <w:i/>
        </w:rPr>
        <w:t>P</w:t>
      </w:r>
      <w:r>
        <w:t xml:space="preserve"> or </w:t>
      </w:r>
      <w:r w:rsidRPr="004620E8">
        <w:rPr>
          <w:b/>
          <w:color w:val="7030A0"/>
        </w:rPr>
        <w:t>radiant flux</w:t>
      </w:r>
      <w:r w:rsidRPr="004620E8">
        <w:rPr>
          <w:color w:val="7030A0"/>
        </w:rPr>
        <w:t xml:space="preserve"> </w:t>
      </w:r>
      <w:r w:rsidRPr="004620E8">
        <w:rPr>
          <w:i/>
        </w:rPr>
        <w:t>W</w:t>
      </w:r>
      <w:r w:rsidR="007F00CA">
        <w:rPr>
          <w:i/>
          <w:vertAlign w:val="subscript"/>
        </w:rPr>
        <w:t>E</w:t>
      </w:r>
      <w:r>
        <w:t xml:space="preserve"> where</w:t>
      </w:r>
    </w:p>
    <w:p w:rsidR="004620E8" w:rsidRDefault="004620E8" w:rsidP="00374ED2">
      <w:pPr>
        <w:tabs>
          <w:tab w:val="left" w:pos="567"/>
          <w:tab w:val="left" w:pos="1418"/>
        </w:tabs>
        <w:spacing w:line="276" w:lineRule="auto"/>
      </w:pPr>
    </w:p>
    <w:p w:rsidR="00CF6162" w:rsidRDefault="004620E8" w:rsidP="00374ED2">
      <w:pPr>
        <w:tabs>
          <w:tab w:val="left" w:pos="567"/>
          <w:tab w:val="left" w:pos="1418"/>
        </w:tabs>
        <w:spacing w:line="276" w:lineRule="auto"/>
      </w:pPr>
      <w:r>
        <w:tab/>
        <w:t>(7)</w:t>
      </w:r>
      <w:r>
        <w:tab/>
        <w:t xml:space="preserve"> </w:t>
      </w:r>
      <w:r w:rsidR="007F00CA" w:rsidRPr="005E1755">
        <w:rPr>
          <w:position w:val="-32"/>
        </w:rPr>
        <w:object w:dxaOrig="1860" w:dyaOrig="620">
          <v:shape id="_x0000_i1047" type="#_x0000_t75" style="width:93pt;height:31.2pt" o:ole="">
            <v:imagedata r:id="rId54" o:title=""/>
          </v:shape>
          <o:OLEObject Type="Embed" ProgID="Equation.DSMT4" ShapeID="_x0000_i1047" DrawAspect="Content" ObjectID="_1477883918" r:id="rId55"/>
        </w:object>
      </w:r>
    </w:p>
    <w:p w:rsidR="004620E8" w:rsidRDefault="004620E8" w:rsidP="00374ED2">
      <w:pPr>
        <w:tabs>
          <w:tab w:val="left" w:pos="567"/>
          <w:tab w:val="left" w:pos="1418"/>
        </w:tabs>
        <w:spacing w:line="276" w:lineRule="auto"/>
      </w:pPr>
    </w:p>
    <w:p w:rsidR="004620E8" w:rsidRDefault="004620E8" w:rsidP="00374ED2">
      <w:pPr>
        <w:tabs>
          <w:tab w:val="left" w:pos="567"/>
          <w:tab w:val="left" w:pos="1418"/>
        </w:tabs>
        <w:spacing w:line="276" w:lineRule="auto"/>
      </w:pPr>
      <w:r>
        <w:t xml:space="preserve">If we divide the radiant flux incident upon or exiting from a surface by the area of the surface, we have the </w:t>
      </w:r>
      <w:r w:rsidRPr="004620E8">
        <w:rPr>
          <w:b/>
          <w:color w:val="7030A0"/>
        </w:rPr>
        <w:t>radiant flux density</w:t>
      </w:r>
      <w:r>
        <w:t xml:space="preserve">. This is often just called the </w:t>
      </w:r>
      <w:r w:rsidRPr="004620E8">
        <w:rPr>
          <w:b/>
          <w:color w:val="7030A0"/>
        </w:rPr>
        <w:t>flux density</w:t>
      </w:r>
      <w:r>
        <w:t xml:space="preserve"> or </w:t>
      </w:r>
      <w:r w:rsidRPr="004620E8">
        <w:rPr>
          <w:b/>
          <w:color w:val="7030A0"/>
        </w:rPr>
        <w:t>energy density</w:t>
      </w:r>
      <w:r w:rsidR="00415758">
        <w:t xml:space="preserve">. </w:t>
      </w:r>
      <w:r w:rsidR="00415758">
        <w:rPr>
          <w:b/>
          <w:color w:val="7030A0"/>
        </w:rPr>
        <w:t>I</w:t>
      </w:r>
      <w:r w:rsidRPr="004620E8">
        <w:rPr>
          <w:b/>
          <w:color w:val="7030A0"/>
        </w:rPr>
        <w:t>rradiance</w:t>
      </w:r>
      <w:r>
        <w:t xml:space="preserve"> corresponds to the flux density incident upon a surface and the </w:t>
      </w:r>
      <w:r w:rsidRPr="004620E8">
        <w:rPr>
          <w:b/>
          <w:color w:val="7030A0"/>
        </w:rPr>
        <w:t>exitance</w:t>
      </w:r>
      <w:r>
        <w:t xml:space="preserve"> as the flux density emitted from the surface. </w:t>
      </w:r>
    </w:p>
    <w:p w:rsidR="00415758" w:rsidRDefault="00415758" w:rsidP="00374ED2">
      <w:pPr>
        <w:tabs>
          <w:tab w:val="left" w:pos="567"/>
          <w:tab w:val="left" w:pos="1418"/>
        </w:tabs>
        <w:spacing w:line="276" w:lineRule="auto"/>
      </w:pPr>
    </w:p>
    <w:p w:rsidR="00415758" w:rsidRDefault="00415758" w:rsidP="00374ED2">
      <w:pPr>
        <w:tabs>
          <w:tab w:val="left" w:pos="567"/>
          <w:tab w:val="left" w:pos="1418"/>
        </w:tabs>
        <w:spacing w:line="276" w:lineRule="auto"/>
      </w:pPr>
    </w:p>
    <w:p w:rsidR="00415758" w:rsidRDefault="00415758" w:rsidP="00374ED2">
      <w:pPr>
        <w:tabs>
          <w:tab w:val="left" w:pos="567"/>
          <w:tab w:val="left" w:pos="1418"/>
        </w:tabs>
        <w:spacing w:line="276" w:lineRule="auto"/>
      </w:pPr>
    </w:p>
    <w:tbl>
      <w:tblPr>
        <w:tblStyle w:val="TableGrid"/>
        <w:tblW w:w="0" w:type="auto"/>
        <w:tblLook w:val="04A0" w:firstRow="1" w:lastRow="0" w:firstColumn="1" w:lastColumn="0" w:noHBand="0" w:noVBand="1"/>
      </w:tblPr>
      <w:tblGrid>
        <w:gridCol w:w="5211"/>
        <w:gridCol w:w="1276"/>
        <w:gridCol w:w="2041"/>
      </w:tblGrid>
      <w:tr w:rsidR="009C7968" w:rsidTr="009C7968">
        <w:tc>
          <w:tcPr>
            <w:tcW w:w="5211" w:type="dxa"/>
          </w:tcPr>
          <w:p w:rsidR="009C7968" w:rsidRDefault="009C7968" w:rsidP="009C7968">
            <w:pPr>
              <w:tabs>
                <w:tab w:val="left" w:pos="567"/>
                <w:tab w:val="left" w:pos="1418"/>
              </w:tabs>
              <w:spacing w:line="276" w:lineRule="auto"/>
              <w:rPr>
                <w:b/>
                <w:color w:val="7030A0"/>
              </w:rPr>
            </w:pPr>
            <w:r>
              <w:t xml:space="preserve">Instantaneous flow of electromagnetic energy per unit time per unit area   </w:t>
            </w:r>
            <w:r w:rsidRPr="009C7968">
              <w:rPr>
                <w:b/>
                <w:color w:val="7030A0"/>
              </w:rPr>
              <w:t>Poynting vector</w:t>
            </w:r>
          </w:p>
          <w:p w:rsidR="00415758" w:rsidRDefault="00415758" w:rsidP="009C7968">
            <w:pPr>
              <w:tabs>
                <w:tab w:val="left" w:pos="567"/>
                <w:tab w:val="left" w:pos="1418"/>
              </w:tabs>
              <w:spacing w:line="276" w:lineRule="auto"/>
            </w:pPr>
          </w:p>
        </w:tc>
        <w:tc>
          <w:tcPr>
            <w:tcW w:w="1276" w:type="dxa"/>
          </w:tcPr>
          <w:p w:rsidR="009C7968" w:rsidRDefault="009C7968" w:rsidP="009C7968">
            <w:pPr>
              <w:tabs>
                <w:tab w:val="left" w:pos="567"/>
                <w:tab w:val="left" w:pos="1418"/>
              </w:tabs>
              <w:spacing w:line="276" w:lineRule="auto"/>
              <w:jc w:val="center"/>
            </w:pPr>
            <w:r w:rsidRPr="005E1755">
              <w:rPr>
                <w:position w:val="-6"/>
              </w:rPr>
              <w:object w:dxaOrig="220" w:dyaOrig="340">
                <v:shape id="_x0000_i1046" type="#_x0000_t75" style="width:10.8pt;height:16.8pt" o:ole="">
                  <v:imagedata r:id="rId56" o:title=""/>
                </v:shape>
                <o:OLEObject Type="Embed" ProgID="Equation.DSMT4" ShapeID="_x0000_i1046" DrawAspect="Content" ObjectID="_1477883919" r:id="rId57"/>
              </w:object>
            </w:r>
          </w:p>
        </w:tc>
        <w:tc>
          <w:tcPr>
            <w:tcW w:w="2041" w:type="dxa"/>
          </w:tcPr>
          <w:p w:rsidR="009C7968" w:rsidRDefault="009C7968" w:rsidP="00374ED2">
            <w:pPr>
              <w:tabs>
                <w:tab w:val="left" w:pos="567"/>
                <w:tab w:val="left" w:pos="1418"/>
              </w:tabs>
              <w:spacing w:line="276" w:lineRule="auto"/>
            </w:pPr>
          </w:p>
          <w:p w:rsidR="009C7968" w:rsidRDefault="009C7968" w:rsidP="00374ED2">
            <w:pPr>
              <w:tabs>
                <w:tab w:val="left" w:pos="567"/>
                <w:tab w:val="left" w:pos="1418"/>
              </w:tabs>
              <w:spacing w:line="276" w:lineRule="auto"/>
            </w:pPr>
            <w:r>
              <w:t>W.m</w:t>
            </w:r>
            <w:r w:rsidRPr="009C7968">
              <w:rPr>
                <w:vertAlign w:val="superscript"/>
              </w:rPr>
              <w:t>-2</w:t>
            </w:r>
            <w:r>
              <w:t xml:space="preserve">   J.s</w:t>
            </w:r>
            <w:r w:rsidRPr="009C7968">
              <w:rPr>
                <w:vertAlign w:val="superscript"/>
              </w:rPr>
              <w:t>-1</w:t>
            </w:r>
            <w:r>
              <w:t>.m</w:t>
            </w:r>
            <w:r w:rsidRPr="009C7968">
              <w:rPr>
                <w:vertAlign w:val="superscript"/>
              </w:rPr>
              <w:t>-2</w:t>
            </w:r>
          </w:p>
        </w:tc>
      </w:tr>
      <w:tr w:rsidR="009C7968" w:rsidTr="009C7968">
        <w:tc>
          <w:tcPr>
            <w:tcW w:w="5211" w:type="dxa"/>
          </w:tcPr>
          <w:p w:rsidR="009C7968" w:rsidRDefault="009C7968" w:rsidP="00374ED2">
            <w:pPr>
              <w:tabs>
                <w:tab w:val="left" w:pos="567"/>
                <w:tab w:val="left" w:pos="1418"/>
              </w:tabs>
              <w:spacing w:line="276" w:lineRule="auto"/>
            </w:pPr>
            <w:r>
              <w:t>Time-averaged flow of electromagnetic energy per unit time per unit area</w:t>
            </w:r>
          </w:p>
          <w:p w:rsidR="009C7968" w:rsidRDefault="009C7968" w:rsidP="00914BEC">
            <w:pPr>
              <w:tabs>
                <w:tab w:val="left" w:pos="567"/>
                <w:tab w:val="left" w:pos="1418"/>
              </w:tabs>
              <w:spacing w:line="276" w:lineRule="auto"/>
            </w:pPr>
            <w:r>
              <w:t xml:space="preserve">     irradiance</w:t>
            </w:r>
          </w:p>
          <w:p w:rsidR="00914BEC" w:rsidRDefault="00914BEC" w:rsidP="00914BEC">
            <w:pPr>
              <w:tabs>
                <w:tab w:val="left" w:pos="567"/>
                <w:tab w:val="left" w:pos="1418"/>
              </w:tabs>
              <w:spacing w:line="276" w:lineRule="auto"/>
            </w:pPr>
            <w:r>
              <w:t xml:space="preserve">     intensity</w:t>
            </w:r>
          </w:p>
          <w:p w:rsidR="00914BEC" w:rsidRDefault="00914BEC" w:rsidP="00914BEC">
            <w:pPr>
              <w:tabs>
                <w:tab w:val="left" w:pos="567"/>
                <w:tab w:val="left" w:pos="1418"/>
              </w:tabs>
              <w:spacing w:line="276" w:lineRule="auto"/>
            </w:pPr>
            <w:r>
              <w:t xml:space="preserve">     radiant flux density</w:t>
            </w:r>
          </w:p>
          <w:p w:rsidR="00914BEC" w:rsidRDefault="00914BEC" w:rsidP="00914BEC">
            <w:pPr>
              <w:tabs>
                <w:tab w:val="left" w:pos="567"/>
                <w:tab w:val="left" w:pos="1418"/>
              </w:tabs>
              <w:spacing w:line="276" w:lineRule="auto"/>
            </w:pPr>
            <w:r>
              <w:t xml:space="preserve">     flux density</w:t>
            </w:r>
          </w:p>
          <w:p w:rsidR="00914BEC" w:rsidRDefault="00914BEC" w:rsidP="00914BEC">
            <w:pPr>
              <w:tabs>
                <w:tab w:val="left" w:pos="567"/>
                <w:tab w:val="left" w:pos="1418"/>
              </w:tabs>
              <w:spacing w:line="276" w:lineRule="auto"/>
            </w:pPr>
            <w:r>
              <w:t xml:space="preserve">     energy flux density</w:t>
            </w:r>
          </w:p>
          <w:p w:rsidR="00914BEC" w:rsidRDefault="00914BEC" w:rsidP="00914BEC">
            <w:pPr>
              <w:tabs>
                <w:tab w:val="left" w:pos="567"/>
                <w:tab w:val="left" w:pos="1418"/>
              </w:tabs>
              <w:spacing w:line="276" w:lineRule="auto"/>
            </w:pPr>
            <w:r>
              <w:t xml:space="preserve">     exitance</w:t>
            </w:r>
          </w:p>
          <w:p w:rsidR="00415758" w:rsidRDefault="00415758" w:rsidP="00914BEC">
            <w:pPr>
              <w:tabs>
                <w:tab w:val="left" w:pos="567"/>
                <w:tab w:val="left" w:pos="1418"/>
              </w:tabs>
              <w:spacing w:line="276" w:lineRule="auto"/>
            </w:pPr>
          </w:p>
        </w:tc>
        <w:tc>
          <w:tcPr>
            <w:tcW w:w="1276" w:type="dxa"/>
          </w:tcPr>
          <w:p w:rsidR="009C7968" w:rsidRDefault="009C7968" w:rsidP="009C7968">
            <w:pPr>
              <w:tabs>
                <w:tab w:val="left" w:pos="567"/>
                <w:tab w:val="left" w:pos="1418"/>
              </w:tabs>
              <w:spacing w:line="276" w:lineRule="auto"/>
              <w:jc w:val="center"/>
            </w:pPr>
            <w:r>
              <w:t xml:space="preserve">&lt; </w:t>
            </w:r>
            <w:r w:rsidRPr="009C7968">
              <w:rPr>
                <w:i/>
              </w:rPr>
              <w:t>S</w:t>
            </w:r>
            <w:r>
              <w:t xml:space="preserve"> &gt;</w:t>
            </w:r>
          </w:p>
          <w:p w:rsidR="009C7968" w:rsidRDefault="009C7968" w:rsidP="009C7968">
            <w:pPr>
              <w:tabs>
                <w:tab w:val="left" w:pos="567"/>
                <w:tab w:val="left" w:pos="1418"/>
              </w:tabs>
              <w:spacing w:line="276" w:lineRule="auto"/>
              <w:jc w:val="center"/>
            </w:pPr>
          </w:p>
          <w:p w:rsidR="009C7968" w:rsidRDefault="009C7968" w:rsidP="009C7968">
            <w:pPr>
              <w:tabs>
                <w:tab w:val="left" w:pos="567"/>
                <w:tab w:val="left" w:pos="1418"/>
              </w:tabs>
              <w:spacing w:line="276" w:lineRule="auto"/>
              <w:jc w:val="center"/>
              <w:rPr>
                <w:i/>
                <w:vertAlign w:val="superscript"/>
              </w:rPr>
            </w:pPr>
            <w:r w:rsidRPr="009C7968">
              <w:rPr>
                <w:i/>
              </w:rPr>
              <w:t>w</w:t>
            </w:r>
            <w:r w:rsidRPr="009C7968">
              <w:rPr>
                <w:i/>
                <w:vertAlign w:val="subscript"/>
              </w:rPr>
              <w:t>e</w:t>
            </w:r>
          </w:p>
          <w:p w:rsidR="00914BEC" w:rsidRPr="00914BEC" w:rsidRDefault="00914BEC" w:rsidP="009C7968">
            <w:pPr>
              <w:tabs>
                <w:tab w:val="left" w:pos="567"/>
                <w:tab w:val="left" w:pos="1418"/>
              </w:tabs>
              <w:spacing w:line="276" w:lineRule="auto"/>
              <w:jc w:val="center"/>
              <w:rPr>
                <w:i/>
              </w:rPr>
            </w:pPr>
            <w:r w:rsidRPr="00914BEC">
              <w:rPr>
                <w:i/>
              </w:rPr>
              <w:t>I</w:t>
            </w:r>
          </w:p>
        </w:tc>
        <w:tc>
          <w:tcPr>
            <w:tcW w:w="2041" w:type="dxa"/>
          </w:tcPr>
          <w:p w:rsidR="009C7968" w:rsidRDefault="009C7968" w:rsidP="00374ED2">
            <w:pPr>
              <w:tabs>
                <w:tab w:val="left" w:pos="567"/>
                <w:tab w:val="left" w:pos="1418"/>
              </w:tabs>
              <w:spacing w:line="276" w:lineRule="auto"/>
            </w:pPr>
            <w:r>
              <w:t>W.m</w:t>
            </w:r>
            <w:r w:rsidRPr="009C7968">
              <w:rPr>
                <w:vertAlign w:val="superscript"/>
              </w:rPr>
              <w:t>-2</w:t>
            </w:r>
          </w:p>
        </w:tc>
      </w:tr>
      <w:tr w:rsidR="009C7968" w:rsidTr="009C7968">
        <w:tc>
          <w:tcPr>
            <w:tcW w:w="5211" w:type="dxa"/>
          </w:tcPr>
          <w:p w:rsidR="009C7968" w:rsidRDefault="00914BEC" w:rsidP="00374ED2">
            <w:pPr>
              <w:tabs>
                <w:tab w:val="left" w:pos="567"/>
                <w:tab w:val="left" w:pos="1418"/>
              </w:tabs>
              <w:spacing w:line="276" w:lineRule="auto"/>
            </w:pPr>
            <w:r>
              <w:t>Time-average flow of electromagnetic energy per unit time</w:t>
            </w:r>
          </w:p>
          <w:p w:rsidR="00914BEC" w:rsidRDefault="00914BEC" w:rsidP="00374ED2">
            <w:pPr>
              <w:tabs>
                <w:tab w:val="left" w:pos="567"/>
                <w:tab w:val="left" w:pos="1418"/>
              </w:tabs>
              <w:spacing w:line="276" w:lineRule="auto"/>
            </w:pPr>
            <w:r>
              <w:t xml:space="preserve">     power</w:t>
            </w:r>
          </w:p>
          <w:p w:rsidR="00914BEC" w:rsidRDefault="00914BEC" w:rsidP="00914BEC">
            <w:pPr>
              <w:tabs>
                <w:tab w:val="left" w:pos="567"/>
                <w:tab w:val="left" w:pos="1418"/>
              </w:tabs>
              <w:spacing w:line="276" w:lineRule="auto"/>
              <w:ind w:firstLine="240"/>
            </w:pPr>
            <w:r>
              <w:t xml:space="preserve"> radiant flux</w:t>
            </w:r>
          </w:p>
          <w:p w:rsidR="00914BEC" w:rsidRDefault="00914BEC" w:rsidP="00914BEC">
            <w:pPr>
              <w:tabs>
                <w:tab w:val="left" w:pos="567"/>
                <w:tab w:val="left" w:pos="1418"/>
              </w:tabs>
              <w:spacing w:line="276" w:lineRule="auto"/>
              <w:ind w:firstLine="240"/>
            </w:pPr>
            <w:r>
              <w:t xml:space="preserve"> flux</w:t>
            </w:r>
          </w:p>
          <w:p w:rsidR="00914BEC" w:rsidRDefault="00FE148A" w:rsidP="00914BEC">
            <w:pPr>
              <w:tabs>
                <w:tab w:val="left" w:pos="567"/>
                <w:tab w:val="left" w:pos="1418"/>
              </w:tabs>
              <w:spacing w:line="276" w:lineRule="auto"/>
              <w:ind w:firstLine="240"/>
            </w:pPr>
            <w:r>
              <w:t xml:space="preserve"> </w:t>
            </w:r>
            <w:r w:rsidR="00914BEC">
              <w:t>energy flux</w:t>
            </w:r>
          </w:p>
          <w:p w:rsidR="00914BEC" w:rsidRDefault="00914BEC" w:rsidP="00914BEC">
            <w:pPr>
              <w:tabs>
                <w:tab w:val="left" w:pos="567"/>
                <w:tab w:val="left" w:pos="1418"/>
              </w:tabs>
              <w:spacing w:line="276" w:lineRule="auto"/>
              <w:ind w:firstLine="240"/>
            </w:pPr>
          </w:p>
        </w:tc>
        <w:tc>
          <w:tcPr>
            <w:tcW w:w="1276" w:type="dxa"/>
          </w:tcPr>
          <w:p w:rsidR="009C7968" w:rsidRDefault="009C7968" w:rsidP="00374ED2">
            <w:pPr>
              <w:tabs>
                <w:tab w:val="left" w:pos="567"/>
                <w:tab w:val="left" w:pos="1418"/>
              </w:tabs>
              <w:spacing w:line="276" w:lineRule="auto"/>
            </w:pPr>
          </w:p>
          <w:p w:rsidR="00914BEC" w:rsidRPr="00914BEC" w:rsidRDefault="00914BEC" w:rsidP="00914BEC">
            <w:pPr>
              <w:tabs>
                <w:tab w:val="left" w:pos="567"/>
                <w:tab w:val="left" w:pos="1418"/>
              </w:tabs>
              <w:spacing w:line="276" w:lineRule="auto"/>
              <w:jc w:val="center"/>
              <w:rPr>
                <w:i/>
              </w:rPr>
            </w:pPr>
          </w:p>
          <w:p w:rsidR="00914BEC" w:rsidRDefault="00914BEC" w:rsidP="00914BEC">
            <w:pPr>
              <w:tabs>
                <w:tab w:val="left" w:pos="567"/>
                <w:tab w:val="left" w:pos="1418"/>
              </w:tabs>
              <w:spacing w:line="276" w:lineRule="auto"/>
              <w:jc w:val="center"/>
              <w:rPr>
                <w:i/>
              </w:rPr>
            </w:pPr>
            <w:r w:rsidRPr="00914BEC">
              <w:rPr>
                <w:i/>
              </w:rPr>
              <w:t>P</w:t>
            </w:r>
          </w:p>
          <w:p w:rsidR="00914BEC" w:rsidRPr="00914BEC" w:rsidRDefault="00914BEC" w:rsidP="00914BEC">
            <w:pPr>
              <w:tabs>
                <w:tab w:val="left" w:pos="567"/>
                <w:tab w:val="left" w:pos="1418"/>
              </w:tabs>
              <w:spacing w:line="276" w:lineRule="auto"/>
              <w:jc w:val="center"/>
              <w:rPr>
                <w:i/>
              </w:rPr>
            </w:pPr>
            <w:r>
              <w:rPr>
                <w:i/>
              </w:rPr>
              <w:t>W</w:t>
            </w:r>
            <w:bookmarkStart w:id="0" w:name="_GoBack"/>
            <w:bookmarkEnd w:id="0"/>
            <w:r w:rsidR="007F00CA">
              <w:rPr>
                <w:i/>
                <w:vertAlign w:val="subscript"/>
              </w:rPr>
              <w:t>E</w:t>
            </w:r>
          </w:p>
          <w:p w:rsidR="00914BEC" w:rsidRDefault="00914BEC" w:rsidP="00374ED2">
            <w:pPr>
              <w:tabs>
                <w:tab w:val="left" w:pos="567"/>
                <w:tab w:val="left" w:pos="1418"/>
              </w:tabs>
              <w:spacing w:line="276" w:lineRule="auto"/>
            </w:pPr>
          </w:p>
        </w:tc>
        <w:tc>
          <w:tcPr>
            <w:tcW w:w="2041" w:type="dxa"/>
          </w:tcPr>
          <w:p w:rsidR="009C7968" w:rsidRDefault="00914BEC" w:rsidP="00914BEC">
            <w:pPr>
              <w:tabs>
                <w:tab w:val="left" w:pos="567"/>
                <w:tab w:val="left" w:pos="1418"/>
              </w:tabs>
              <w:spacing w:line="276" w:lineRule="auto"/>
            </w:pPr>
            <w:r>
              <w:t>W    J.s</w:t>
            </w:r>
            <w:r w:rsidRPr="00914BEC">
              <w:rPr>
                <w:vertAlign w:val="superscript"/>
              </w:rPr>
              <w:t>-1</w:t>
            </w:r>
          </w:p>
        </w:tc>
      </w:tr>
    </w:tbl>
    <w:p w:rsidR="004620E8" w:rsidRDefault="004620E8" w:rsidP="00914BEC">
      <w:pPr>
        <w:tabs>
          <w:tab w:val="left" w:pos="567"/>
          <w:tab w:val="left" w:pos="1418"/>
        </w:tabs>
        <w:spacing w:line="276" w:lineRule="auto"/>
      </w:pPr>
    </w:p>
    <w:sectPr w:rsidR="004620E8" w:rsidSect="00A17DEF">
      <w:footerReference w:type="even" r:id="rId58"/>
      <w:footerReference w:type="default" r:id="rId59"/>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6EB" w:rsidRDefault="00C506EB">
      <w:r>
        <w:separator/>
      </w:r>
    </w:p>
  </w:endnote>
  <w:endnote w:type="continuationSeparator" w:id="0">
    <w:p w:rsidR="00C506EB" w:rsidRDefault="00C5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1E4" w:rsidRDefault="001751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51E4" w:rsidRDefault="001751E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1E4" w:rsidRDefault="001751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06EB">
      <w:rPr>
        <w:rStyle w:val="PageNumber"/>
        <w:noProof/>
      </w:rPr>
      <w:t>1</w:t>
    </w:r>
    <w:r>
      <w:rPr>
        <w:rStyle w:val="PageNumber"/>
      </w:rPr>
      <w:fldChar w:fldCharType="end"/>
    </w:r>
  </w:p>
  <w:p w:rsidR="001751E4" w:rsidRPr="00E87932" w:rsidRDefault="001751E4">
    <w:pPr>
      <w:pStyle w:val="Footer"/>
      <w:ind w:right="360"/>
      <w:rPr>
        <w:sz w:val="20"/>
        <w:szCs w:val="20"/>
      </w:rPr>
    </w:pPr>
    <w:r w:rsidRPr="00E87932">
      <w:rPr>
        <w:sz w:val="20"/>
        <w:szCs w:val="20"/>
      </w:rPr>
      <w:t>Doing Physics with Matlab</w:t>
    </w:r>
    <w:r>
      <w:rPr>
        <w:sz w:val="20"/>
        <w:szCs w:val="20"/>
      </w:rPr>
      <w:t xml:space="preserve">     op_</w:t>
    </w:r>
    <w:r w:rsidR="00914BEC">
      <w:rPr>
        <w:sz w:val="20"/>
        <w:szCs w:val="20"/>
      </w:rPr>
      <w:t>irradiance.docx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6EB" w:rsidRDefault="00C506EB">
      <w:r>
        <w:separator/>
      </w:r>
    </w:p>
  </w:footnote>
  <w:footnote w:type="continuationSeparator" w:id="0">
    <w:p w:rsidR="00C506EB" w:rsidRDefault="00C506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16C3D09"/>
    <w:multiLevelType w:val="hybridMultilevel"/>
    <w:tmpl w:val="8F121A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24011"/>
    <w:rsid w:val="00031C7B"/>
    <w:rsid w:val="0003399B"/>
    <w:rsid w:val="00055FED"/>
    <w:rsid w:val="00056FD8"/>
    <w:rsid w:val="00065851"/>
    <w:rsid w:val="000712D9"/>
    <w:rsid w:val="0007465C"/>
    <w:rsid w:val="0008195B"/>
    <w:rsid w:val="00084845"/>
    <w:rsid w:val="00095F71"/>
    <w:rsid w:val="000A009F"/>
    <w:rsid w:val="000A049E"/>
    <w:rsid w:val="000A7590"/>
    <w:rsid w:val="000B354A"/>
    <w:rsid w:val="000B3A48"/>
    <w:rsid w:val="000C4994"/>
    <w:rsid w:val="000D4930"/>
    <w:rsid w:val="000E5ABD"/>
    <w:rsid w:val="000F50F4"/>
    <w:rsid w:val="000F52BE"/>
    <w:rsid w:val="00102548"/>
    <w:rsid w:val="00105984"/>
    <w:rsid w:val="00132D0A"/>
    <w:rsid w:val="0013609B"/>
    <w:rsid w:val="00163F80"/>
    <w:rsid w:val="001751E4"/>
    <w:rsid w:val="001823EE"/>
    <w:rsid w:val="00187C59"/>
    <w:rsid w:val="001A187E"/>
    <w:rsid w:val="001B57E0"/>
    <w:rsid w:val="001C6A75"/>
    <w:rsid w:val="001D222C"/>
    <w:rsid w:val="001D611E"/>
    <w:rsid w:val="001E0714"/>
    <w:rsid w:val="001F6C40"/>
    <w:rsid w:val="00203E36"/>
    <w:rsid w:val="00210E88"/>
    <w:rsid w:val="002122C7"/>
    <w:rsid w:val="00221AC3"/>
    <w:rsid w:val="0023095F"/>
    <w:rsid w:val="00253154"/>
    <w:rsid w:val="00257F01"/>
    <w:rsid w:val="0026200E"/>
    <w:rsid w:val="002716BE"/>
    <w:rsid w:val="0027375D"/>
    <w:rsid w:val="00281D1D"/>
    <w:rsid w:val="002C5714"/>
    <w:rsid w:val="002D6B2A"/>
    <w:rsid w:val="002E574F"/>
    <w:rsid w:val="002F2A9B"/>
    <w:rsid w:val="00304B01"/>
    <w:rsid w:val="0031192F"/>
    <w:rsid w:val="003214EE"/>
    <w:rsid w:val="003260FA"/>
    <w:rsid w:val="0035290E"/>
    <w:rsid w:val="0035325B"/>
    <w:rsid w:val="0035357F"/>
    <w:rsid w:val="00354558"/>
    <w:rsid w:val="003554B7"/>
    <w:rsid w:val="003602B2"/>
    <w:rsid w:val="00360418"/>
    <w:rsid w:val="0037327E"/>
    <w:rsid w:val="00374ED2"/>
    <w:rsid w:val="00386F75"/>
    <w:rsid w:val="00397ED3"/>
    <w:rsid w:val="003B1197"/>
    <w:rsid w:val="003B23BE"/>
    <w:rsid w:val="003B3315"/>
    <w:rsid w:val="003C57C2"/>
    <w:rsid w:val="003D32C1"/>
    <w:rsid w:val="003D33F9"/>
    <w:rsid w:val="003E4435"/>
    <w:rsid w:val="003F546E"/>
    <w:rsid w:val="004036A4"/>
    <w:rsid w:val="00406AA8"/>
    <w:rsid w:val="004137CB"/>
    <w:rsid w:val="00415758"/>
    <w:rsid w:val="00423B4C"/>
    <w:rsid w:val="00427E3D"/>
    <w:rsid w:val="00433EF2"/>
    <w:rsid w:val="00456CCF"/>
    <w:rsid w:val="00460B2A"/>
    <w:rsid w:val="004620E8"/>
    <w:rsid w:val="00462C69"/>
    <w:rsid w:val="0046681D"/>
    <w:rsid w:val="00490F1C"/>
    <w:rsid w:val="004B34F7"/>
    <w:rsid w:val="004D6846"/>
    <w:rsid w:val="004E0A4C"/>
    <w:rsid w:val="004E4DD6"/>
    <w:rsid w:val="004F1585"/>
    <w:rsid w:val="004F6EC7"/>
    <w:rsid w:val="005041F8"/>
    <w:rsid w:val="0051178E"/>
    <w:rsid w:val="005322DE"/>
    <w:rsid w:val="00535D6D"/>
    <w:rsid w:val="00545184"/>
    <w:rsid w:val="00551849"/>
    <w:rsid w:val="00556BC2"/>
    <w:rsid w:val="00561B25"/>
    <w:rsid w:val="005A64EE"/>
    <w:rsid w:val="005A7984"/>
    <w:rsid w:val="005B15FE"/>
    <w:rsid w:val="005B3D48"/>
    <w:rsid w:val="005B558D"/>
    <w:rsid w:val="005D1A97"/>
    <w:rsid w:val="005D2AB7"/>
    <w:rsid w:val="006129CF"/>
    <w:rsid w:val="00612CF3"/>
    <w:rsid w:val="00625C39"/>
    <w:rsid w:val="00647852"/>
    <w:rsid w:val="0066001A"/>
    <w:rsid w:val="00663041"/>
    <w:rsid w:val="0067419B"/>
    <w:rsid w:val="00676664"/>
    <w:rsid w:val="006A183C"/>
    <w:rsid w:val="006B3226"/>
    <w:rsid w:val="006B3593"/>
    <w:rsid w:val="006B3DC9"/>
    <w:rsid w:val="006C63ED"/>
    <w:rsid w:val="006C71A3"/>
    <w:rsid w:val="006D011A"/>
    <w:rsid w:val="006E2425"/>
    <w:rsid w:val="006E2676"/>
    <w:rsid w:val="006E271B"/>
    <w:rsid w:val="006E3622"/>
    <w:rsid w:val="006E3E48"/>
    <w:rsid w:val="006E62EA"/>
    <w:rsid w:val="007445C6"/>
    <w:rsid w:val="00754EEB"/>
    <w:rsid w:val="00766AB0"/>
    <w:rsid w:val="007677EA"/>
    <w:rsid w:val="007A0588"/>
    <w:rsid w:val="007A2437"/>
    <w:rsid w:val="007A73EE"/>
    <w:rsid w:val="007B1D38"/>
    <w:rsid w:val="007B3DFA"/>
    <w:rsid w:val="007C7DCC"/>
    <w:rsid w:val="007D2654"/>
    <w:rsid w:val="007E13DF"/>
    <w:rsid w:val="007F00CA"/>
    <w:rsid w:val="007F2ED1"/>
    <w:rsid w:val="00804550"/>
    <w:rsid w:val="008054EE"/>
    <w:rsid w:val="00812C5A"/>
    <w:rsid w:val="00836656"/>
    <w:rsid w:val="00850583"/>
    <w:rsid w:val="008520AB"/>
    <w:rsid w:val="008865A3"/>
    <w:rsid w:val="008870AA"/>
    <w:rsid w:val="00891336"/>
    <w:rsid w:val="008932B9"/>
    <w:rsid w:val="008B4C53"/>
    <w:rsid w:val="008B7066"/>
    <w:rsid w:val="008D10F2"/>
    <w:rsid w:val="008D2924"/>
    <w:rsid w:val="008E0B93"/>
    <w:rsid w:val="008E5B9B"/>
    <w:rsid w:val="008F3013"/>
    <w:rsid w:val="008F7487"/>
    <w:rsid w:val="009115FB"/>
    <w:rsid w:val="00914BEC"/>
    <w:rsid w:val="0092264D"/>
    <w:rsid w:val="00923D0B"/>
    <w:rsid w:val="00926D3F"/>
    <w:rsid w:val="009408A9"/>
    <w:rsid w:val="00942440"/>
    <w:rsid w:val="00942D43"/>
    <w:rsid w:val="00946D6E"/>
    <w:rsid w:val="0095558A"/>
    <w:rsid w:val="0096139D"/>
    <w:rsid w:val="0099026D"/>
    <w:rsid w:val="00996DAB"/>
    <w:rsid w:val="009A0E02"/>
    <w:rsid w:val="009A7A8A"/>
    <w:rsid w:val="009B35B9"/>
    <w:rsid w:val="009C021E"/>
    <w:rsid w:val="009C3367"/>
    <w:rsid w:val="009C7968"/>
    <w:rsid w:val="009D5C4A"/>
    <w:rsid w:val="009F4215"/>
    <w:rsid w:val="00A17DEF"/>
    <w:rsid w:val="00A241AB"/>
    <w:rsid w:val="00A36476"/>
    <w:rsid w:val="00A65E2C"/>
    <w:rsid w:val="00A711A9"/>
    <w:rsid w:val="00A720F9"/>
    <w:rsid w:val="00A73EB5"/>
    <w:rsid w:val="00A81799"/>
    <w:rsid w:val="00A84A4D"/>
    <w:rsid w:val="00A9395E"/>
    <w:rsid w:val="00AA5090"/>
    <w:rsid w:val="00AB59A5"/>
    <w:rsid w:val="00AC342D"/>
    <w:rsid w:val="00AE0A1C"/>
    <w:rsid w:val="00AE4E94"/>
    <w:rsid w:val="00AE6EB5"/>
    <w:rsid w:val="00AF583D"/>
    <w:rsid w:val="00B0567C"/>
    <w:rsid w:val="00B07008"/>
    <w:rsid w:val="00B15783"/>
    <w:rsid w:val="00B15D9C"/>
    <w:rsid w:val="00B165D0"/>
    <w:rsid w:val="00B35550"/>
    <w:rsid w:val="00B4398D"/>
    <w:rsid w:val="00B65E8A"/>
    <w:rsid w:val="00B74177"/>
    <w:rsid w:val="00B8666B"/>
    <w:rsid w:val="00B929E8"/>
    <w:rsid w:val="00B95BF6"/>
    <w:rsid w:val="00BA15F6"/>
    <w:rsid w:val="00BA16F4"/>
    <w:rsid w:val="00BC7D15"/>
    <w:rsid w:val="00BD0D7C"/>
    <w:rsid w:val="00BD2F99"/>
    <w:rsid w:val="00BD48D4"/>
    <w:rsid w:val="00BE1E55"/>
    <w:rsid w:val="00BE543C"/>
    <w:rsid w:val="00BE615B"/>
    <w:rsid w:val="00C024BB"/>
    <w:rsid w:val="00C07993"/>
    <w:rsid w:val="00C07A3B"/>
    <w:rsid w:val="00C23568"/>
    <w:rsid w:val="00C2615D"/>
    <w:rsid w:val="00C506EB"/>
    <w:rsid w:val="00C51855"/>
    <w:rsid w:val="00C54873"/>
    <w:rsid w:val="00C548FC"/>
    <w:rsid w:val="00C84CA1"/>
    <w:rsid w:val="00C869BE"/>
    <w:rsid w:val="00C915DA"/>
    <w:rsid w:val="00C9190C"/>
    <w:rsid w:val="00CA09BC"/>
    <w:rsid w:val="00CA1F85"/>
    <w:rsid w:val="00CB259C"/>
    <w:rsid w:val="00CC36FF"/>
    <w:rsid w:val="00CD1657"/>
    <w:rsid w:val="00CE1663"/>
    <w:rsid w:val="00CF0305"/>
    <w:rsid w:val="00CF4264"/>
    <w:rsid w:val="00CF6162"/>
    <w:rsid w:val="00CF74D5"/>
    <w:rsid w:val="00D068C3"/>
    <w:rsid w:val="00D1005F"/>
    <w:rsid w:val="00D26245"/>
    <w:rsid w:val="00D275B5"/>
    <w:rsid w:val="00D3075D"/>
    <w:rsid w:val="00D31AF9"/>
    <w:rsid w:val="00D36073"/>
    <w:rsid w:val="00D40E66"/>
    <w:rsid w:val="00D43D40"/>
    <w:rsid w:val="00D5169B"/>
    <w:rsid w:val="00D7464C"/>
    <w:rsid w:val="00D872C4"/>
    <w:rsid w:val="00D900C9"/>
    <w:rsid w:val="00D96EE6"/>
    <w:rsid w:val="00DB0B81"/>
    <w:rsid w:val="00DB67D3"/>
    <w:rsid w:val="00DC5D00"/>
    <w:rsid w:val="00DD02B1"/>
    <w:rsid w:val="00DE01A7"/>
    <w:rsid w:val="00DE7C1E"/>
    <w:rsid w:val="00DF10ED"/>
    <w:rsid w:val="00DF206C"/>
    <w:rsid w:val="00DF2D75"/>
    <w:rsid w:val="00E03CD1"/>
    <w:rsid w:val="00E10A70"/>
    <w:rsid w:val="00E35C58"/>
    <w:rsid w:val="00E4555C"/>
    <w:rsid w:val="00E45AFE"/>
    <w:rsid w:val="00E4608D"/>
    <w:rsid w:val="00E50234"/>
    <w:rsid w:val="00E60314"/>
    <w:rsid w:val="00E64F8A"/>
    <w:rsid w:val="00E6734B"/>
    <w:rsid w:val="00E81FD2"/>
    <w:rsid w:val="00E87932"/>
    <w:rsid w:val="00E96EE5"/>
    <w:rsid w:val="00EA50D4"/>
    <w:rsid w:val="00EB06FE"/>
    <w:rsid w:val="00EB15B1"/>
    <w:rsid w:val="00EC5E58"/>
    <w:rsid w:val="00ED1286"/>
    <w:rsid w:val="00EE37CE"/>
    <w:rsid w:val="00EE4F4B"/>
    <w:rsid w:val="00EE573F"/>
    <w:rsid w:val="00EE66A8"/>
    <w:rsid w:val="00EF418F"/>
    <w:rsid w:val="00F003A5"/>
    <w:rsid w:val="00F07C76"/>
    <w:rsid w:val="00F32D89"/>
    <w:rsid w:val="00F35AE5"/>
    <w:rsid w:val="00F46911"/>
    <w:rsid w:val="00F51067"/>
    <w:rsid w:val="00F515FB"/>
    <w:rsid w:val="00F560B9"/>
    <w:rsid w:val="00F571E9"/>
    <w:rsid w:val="00F649AA"/>
    <w:rsid w:val="00F67884"/>
    <w:rsid w:val="00F73E47"/>
    <w:rsid w:val="00FA0C2A"/>
    <w:rsid w:val="00FA148D"/>
    <w:rsid w:val="00FA7A6E"/>
    <w:rsid w:val="00FB6E25"/>
    <w:rsid w:val="00FC0C4A"/>
    <w:rsid w:val="00FC77DE"/>
    <w:rsid w:val="00FD7DC6"/>
    <w:rsid w:val="00FE148A"/>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 w:type="paragraph" w:styleId="BodyText">
    <w:name w:val="Body Text"/>
    <w:basedOn w:val="Normal"/>
    <w:link w:val="BodyTextChar"/>
    <w:semiHidden/>
    <w:rsid w:val="00CF74D5"/>
    <w:rPr>
      <w:rFonts w:eastAsia="Times New Roman"/>
      <w:b/>
      <w:bCs/>
      <w:sz w:val="32"/>
    </w:rPr>
  </w:style>
  <w:style w:type="character" w:customStyle="1" w:styleId="BodyTextChar">
    <w:name w:val="Body Text Char"/>
    <w:basedOn w:val="DefaultParagraphFont"/>
    <w:link w:val="BodyText"/>
    <w:semiHidden/>
    <w:rsid w:val="00CF74D5"/>
    <w:rPr>
      <w:rFonts w:eastAsia="Times New Roman"/>
      <w:b/>
      <w:bCs/>
      <w:sz w:val="32"/>
      <w:szCs w:val="24"/>
      <w:lang w:eastAsia="en-US"/>
    </w:rPr>
  </w:style>
  <w:style w:type="paragraph" w:styleId="BodyTextIndent">
    <w:name w:val="Body Text Indent"/>
    <w:basedOn w:val="Normal"/>
    <w:link w:val="BodyTextIndentChar"/>
    <w:semiHidden/>
    <w:rsid w:val="00CF74D5"/>
    <w:pPr>
      <w:tabs>
        <w:tab w:val="left" w:pos="550"/>
      </w:tabs>
      <w:ind w:left="550" w:hanging="550"/>
    </w:pPr>
    <w:rPr>
      <w:rFonts w:eastAsia="Times New Roman"/>
    </w:rPr>
  </w:style>
  <w:style w:type="character" w:customStyle="1" w:styleId="BodyTextIndentChar">
    <w:name w:val="Body Text Indent Char"/>
    <w:basedOn w:val="DefaultParagraphFont"/>
    <w:link w:val="BodyTextIndent"/>
    <w:semiHidden/>
    <w:rsid w:val="00CF74D5"/>
    <w:rPr>
      <w:rFonts w:eastAsia="Times New Roman"/>
      <w:sz w:val="24"/>
      <w:szCs w:val="24"/>
      <w:lang w:eastAsia="en-US"/>
    </w:rPr>
  </w:style>
  <w:style w:type="paragraph" w:styleId="BodyTextIndent2">
    <w:name w:val="Body Text Indent 2"/>
    <w:basedOn w:val="Normal"/>
    <w:link w:val="BodyTextIndent2Char"/>
    <w:semiHidden/>
    <w:rsid w:val="00CF74D5"/>
    <w:pPr>
      <w:tabs>
        <w:tab w:val="left" w:pos="605"/>
      </w:tabs>
      <w:spacing w:line="480" w:lineRule="auto"/>
      <w:ind w:left="605" w:hanging="605"/>
    </w:pPr>
    <w:rPr>
      <w:rFonts w:eastAsia="Times New Roman"/>
    </w:rPr>
  </w:style>
  <w:style w:type="character" w:customStyle="1" w:styleId="BodyTextIndent2Char">
    <w:name w:val="Body Text Indent 2 Char"/>
    <w:basedOn w:val="DefaultParagraphFont"/>
    <w:link w:val="BodyTextIndent2"/>
    <w:semiHidden/>
    <w:rsid w:val="00CF74D5"/>
    <w:rPr>
      <w:rFonts w:eastAsia="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 w:type="paragraph" w:styleId="BodyText">
    <w:name w:val="Body Text"/>
    <w:basedOn w:val="Normal"/>
    <w:link w:val="BodyTextChar"/>
    <w:semiHidden/>
    <w:rsid w:val="00CF74D5"/>
    <w:rPr>
      <w:rFonts w:eastAsia="Times New Roman"/>
      <w:b/>
      <w:bCs/>
      <w:sz w:val="32"/>
    </w:rPr>
  </w:style>
  <w:style w:type="character" w:customStyle="1" w:styleId="BodyTextChar">
    <w:name w:val="Body Text Char"/>
    <w:basedOn w:val="DefaultParagraphFont"/>
    <w:link w:val="BodyText"/>
    <w:semiHidden/>
    <w:rsid w:val="00CF74D5"/>
    <w:rPr>
      <w:rFonts w:eastAsia="Times New Roman"/>
      <w:b/>
      <w:bCs/>
      <w:sz w:val="32"/>
      <w:szCs w:val="24"/>
      <w:lang w:eastAsia="en-US"/>
    </w:rPr>
  </w:style>
  <w:style w:type="paragraph" w:styleId="BodyTextIndent">
    <w:name w:val="Body Text Indent"/>
    <w:basedOn w:val="Normal"/>
    <w:link w:val="BodyTextIndentChar"/>
    <w:semiHidden/>
    <w:rsid w:val="00CF74D5"/>
    <w:pPr>
      <w:tabs>
        <w:tab w:val="left" w:pos="550"/>
      </w:tabs>
      <w:ind w:left="550" w:hanging="550"/>
    </w:pPr>
    <w:rPr>
      <w:rFonts w:eastAsia="Times New Roman"/>
    </w:rPr>
  </w:style>
  <w:style w:type="character" w:customStyle="1" w:styleId="BodyTextIndentChar">
    <w:name w:val="Body Text Indent Char"/>
    <w:basedOn w:val="DefaultParagraphFont"/>
    <w:link w:val="BodyTextIndent"/>
    <w:semiHidden/>
    <w:rsid w:val="00CF74D5"/>
    <w:rPr>
      <w:rFonts w:eastAsia="Times New Roman"/>
      <w:sz w:val="24"/>
      <w:szCs w:val="24"/>
      <w:lang w:eastAsia="en-US"/>
    </w:rPr>
  </w:style>
  <w:style w:type="paragraph" w:styleId="BodyTextIndent2">
    <w:name w:val="Body Text Indent 2"/>
    <w:basedOn w:val="Normal"/>
    <w:link w:val="BodyTextIndent2Char"/>
    <w:semiHidden/>
    <w:rsid w:val="00CF74D5"/>
    <w:pPr>
      <w:tabs>
        <w:tab w:val="left" w:pos="605"/>
      </w:tabs>
      <w:spacing w:line="480" w:lineRule="auto"/>
      <w:ind w:left="605" w:hanging="605"/>
    </w:pPr>
    <w:rPr>
      <w:rFonts w:eastAsia="Times New Roman"/>
    </w:rPr>
  </w:style>
  <w:style w:type="character" w:customStyle="1" w:styleId="BodyTextIndent2Char">
    <w:name w:val="Body Text Indent 2 Char"/>
    <w:basedOn w:val="DefaultParagraphFont"/>
    <w:link w:val="BodyTextIndent2"/>
    <w:semiHidden/>
    <w:rsid w:val="00CF74D5"/>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ysics.usyd.edu.au/teach_res/mp/mscripts" TargetMode="External"/><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8.bin"/><Relationship Id="rId50" Type="http://schemas.openxmlformats.org/officeDocument/2006/relationships/image" Target="media/image21.wmf"/><Relationship Id="rId55" Type="http://schemas.openxmlformats.org/officeDocument/2006/relationships/oleObject" Target="embeddings/oleObject22.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9.bin"/><Relationship Id="rId41" Type="http://schemas.openxmlformats.org/officeDocument/2006/relationships/oleObject" Target="embeddings/oleObject15.bin"/><Relationship Id="rId54"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theme" Target="theme/theme1.xml"/><Relationship Id="rId10" Type="http://schemas.openxmlformats.org/officeDocument/2006/relationships/hyperlink" Target="http://www.physics.usyd.edu.au/teach_res/mp/mphome.htm"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wmf"/><Relationship Id="rId56" Type="http://schemas.openxmlformats.org/officeDocument/2006/relationships/image" Target="media/image24.wmf"/><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67517-E42F-4374-BC5E-E461BDA68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Pages>
  <Words>590</Words>
  <Characters>3365</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Diffraction, Numerical Integration</vt:lpstr>
      <vt:lpstr/>
      <vt:lpstr/>
      <vt:lpstr>POYNTING VECTOR   </vt:lpstr>
      <vt:lpstr>IRRADIANCE  we</vt:lpstr>
      <vt:lpstr/>
      <vt:lpstr/>
    </vt:vector>
  </TitlesOfParts>
  <Company>university of sydney</Company>
  <LinksUpToDate>false</LinksUpToDate>
  <CharactersWithSpaces>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Diffraction, Numerical Integration</dc:title>
  <dc:subject>Diffraction, diffraction from a point source, Rayleigh-Sommerfeld, Matlab, Computational Physics</dc:subject>
  <dc:creator>Ian Cooper</dc:creator>
  <cp:keywords>irradiance, Poynting vector, intensity, radiant flux, radiant flux density</cp:keywords>
  <cp:lastModifiedBy>Admin</cp:lastModifiedBy>
  <cp:revision>12</cp:revision>
  <cp:lastPrinted>2014-11-18T06:00:00Z</cp:lastPrinted>
  <dcterms:created xsi:type="dcterms:W3CDTF">2014-11-17T21:15:00Z</dcterms:created>
  <dcterms:modified xsi:type="dcterms:W3CDTF">2014-11-18T19:31:00Z</dcterms:modified>
  <cp:category>diffraction, Computational Physics, double integrals</cp:category>
</cp:coreProperties>
</file>