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1F8" w:rsidRDefault="005041F8" w:rsidP="005041F8">
      <w:pPr>
        <w:pStyle w:val="Heading1"/>
        <w:jc w:val="right"/>
      </w:pPr>
    </w:p>
    <w:p w:rsidR="005041F8" w:rsidRPr="00EE579D" w:rsidRDefault="005041F8" w:rsidP="005041F8">
      <w:pPr>
        <w:spacing w:line="360" w:lineRule="auto"/>
        <w:ind w:left="284"/>
        <w:rPr>
          <w:rFonts w:ascii="Bookman Old Style" w:hAnsi="Bookman Old Style"/>
          <w:b/>
          <w:bCs/>
          <w:color w:val="0000FF"/>
          <w:sz w:val="32"/>
          <w:szCs w:val="32"/>
        </w:rPr>
      </w:pPr>
      <w:r>
        <w:rPr>
          <w:noProof/>
          <w:lang w:eastAsia="zh-CN"/>
        </w:rPr>
        <w:drawing>
          <wp:anchor distT="0" distB="0" distL="114300" distR="114300" simplePos="0" relativeHeight="251659776" behindDoc="0" locked="0" layoutInCell="1" allowOverlap="1">
            <wp:simplePos x="0" y="0"/>
            <wp:positionH relativeFrom="column">
              <wp:posOffset>80010</wp:posOffset>
            </wp:positionH>
            <wp:positionV relativeFrom="paragraph">
              <wp:posOffset>36830</wp:posOffset>
            </wp:positionV>
            <wp:extent cx="899160" cy="868680"/>
            <wp:effectExtent l="0" t="0" r="0" b="762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4546" t="3804" r="6061" b="3261"/>
                    <a:stretch>
                      <a:fillRect/>
                    </a:stretch>
                  </pic:blipFill>
                  <pic:spPr bwMode="auto">
                    <a:xfrm>
                      <a:off x="0" y="0"/>
                      <a:ext cx="899160" cy="8686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b/>
          <w:bCs/>
          <w:color w:val="0000FF"/>
          <w:sz w:val="32"/>
          <w:szCs w:val="32"/>
        </w:rPr>
        <w:t xml:space="preserve"> </w:t>
      </w:r>
      <w:hyperlink r:id="rId10" w:history="1">
        <w:r w:rsidRPr="00EE579D">
          <w:rPr>
            <w:rStyle w:val="Hyperlink"/>
            <w:rFonts w:ascii="Bookman Old Style" w:hAnsi="Bookman Old Style"/>
            <w:b/>
            <w:bCs/>
            <w:sz w:val="32"/>
            <w:szCs w:val="32"/>
          </w:rPr>
          <w:t>DOING PHYSICS WITH MATLAB</w:t>
        </w:r>
      </w:hyperlink>
    </w:p>
    <w:p w:rsidR="005041F8" w:rsidRPr="00EE579D" w:rsidRDefault="005041F8" w:rsidP="005041F8">
      <w:pPr>
        <w:spacing w:line="360" w:lineRule="auto"/>
        <w:ind w:left="284"/>
        <w:rPr>
          <w:rFonts w:ascii="Bookman Old Style" w:hAnsi="Bookman Old Style"/>
          <w:b/>
          <w:bCs/>
          <w:color w:val="0000FF"/>
          <w:sz w:val="32"/>
          <w:szCs w:val="32"/>
        </w:rPr>
      </w:pPr>
      <w:r w:rsidRPr="00EE579D">
        <w:rPr>
          <w:rFonts w:ascii="Bookman Old Style" w:hAnsi="Bookman Old Style"/>
          <w:b/>
          <w:bCs/>
          <w:color w:val="0000FF"/>
          <w:sz w:val="32"/>
          <w:szCs w:val="32"/>
        </w:rPr>
        <w:t xml:space="preserve"> </w:t>
      </w:r>
      <w:r w:rsidR="00F649AA">
        <w:rPr>
          <w:rFonts w:ascii="Bookman Old Style" w:hAnsi="Bookman Old Style"/>
          <w:b/>
          <w:bCs/>
          <w:color w:val="0000FF"/>
          <w:sz w:val="32"/>
          <w:szCs w:val="32"/>
        </w:rPr>
        <w:t>COMPUTATIONAL OPTICS</w:t>
      </w:r>
    </w:p>
    <w:p w:rsidR="009F4215" w:rsidRDefault="005041F8" w:rsidP="000A049E">
      <w:pPr>
        <w:pStyle w:val="Heading1"/>
        <w:rPr>
          <w:rFonts w:ascii="Tahoma" w:hAnsi="Tahoma" w:cs="Tahoma"/>
          <w:color w:val="0000CC"/>
        </w:rPr>
      </w:pPr>
      <w:r w:rsidRPr="00791888">
        <w:rPr>
          <w:rFonts w:ascii="Tahoma" w:hAnsi="Tahoma" w:cs="Tahoma"/>
          <w:color w:val="0000CC"/>
        </w:rPr>
        <w:t xml:space="preserve"> </w:t>
      </w:r>
      <w:r>
        <w:rPr>
          <w:rFonts w:ascii="Tahoma" w:hAnsi="Tahoma" w:cs="Tahoma"/>
          <w:color w:val="0000CC"/>
        </w:rPr>
        <w:t xml:space="preserve">    </w:t>
      </w:r>
    </w:p>
    <w:p w:rsidR="009F4215" w:rsidRDefault="009F4215" w:rsidP="000A049E">
      <w:pPr>
        <w:pStyle w:val="Heading1"/>
        <w:rPr>
          <w:rFonts w:ascii="Tahoma" w:hAnsi="Tahoma" w:cs="Tahoma"/>
          <w:color w:val="0000CC"/>
        </w:rPr>
      </w:pPr>
    </w:p>
    <w:p w:rsidR="005A64EE" w:rsidRPr="009F4215" w:rsidRDefault="000A049E" w:rsidP="009F4215">
      <w:pPr>
        <w:pStyle w:val="Heading1"/>
        <w:rPr>
          <w:rFonts w:ascii="Bookman Old Style" w:hAnsi="Bookman Old Style"/>
          <w:color w:val="E36C0A" w:themeColor="accent6" w:themeShade="BF"/>
          <w:sz w:val="32"/>
          <w:szCs w:val="32"/>
        </w:rPr>
      </w:pPr>
      <w:r w:rsidRPr="009F4215">
        <w:rPr>
          <w:rFonts w:ascii="Bookman Old Style" w:hAnsi="Bookman Old Style"/>
          <w:color w:val="E36C0A" w:themeColor="accent6" w:themeShade="BF"/>
          <w:sz w:val="32"/>
          <w:szCs w:val="32"/>
        </w:rPr>
        <w:t xml:space="preserve">RAYLEIGH-SOMMERFELD DIFFRACTION </w:t>
      </w:r>
      <w:r w:rsidR="009F4215" w:rsidRPr="009F4215">
        <w:rPr>
          <w:rFonts w:ascii="Bookman Old Style" w:hAnsi="Bookman Old Style"/>
          <w:color w:val="E36C0A" w:themeColor="accent6" w:themeShade="BF"/>
          <w:sz w:val="32"/>
          <w:szCs w:val="32"/>
        </w:rPr>
        <w:t>INTEGRAL</w:t>
      </w:r>
      <w:r w:rsidR="009F4215">
        <w:rPr>
          <w:rFonts w:ascii="Bookman Old Style" w:hAnsi="Bookman Old Style"/>
          <w:color w:val="E36C0A" w:themeColor="accent6" w:themeShade="BF"/>
          <w:sz w:val="32"/>
          <w:szCs w:val="32"/>
        </w:rPr>
        <w:t xml:space="preserve">:   </w:t>
      </w:r>
      <w:r w:rsidRPr="009F4215">
        <w:rPr>
          <w:rFonts w:ascii="Bookman Old Style" w:hAnsi="Bookman Old Style"/>
          <w:color w:val="E36C0A" w:themeColor="accent6" w:themeShade="BF"/>
          <w:sz w:val="32"/>
          <w:szCs w:val="32"/>
        </w:rPr>
        <w:t>CIRCULAR TYPE APERTURES</w:t>
      </w:r>
    </w:p>
    <w:p w:rsidR="005041F8" w:rsidRPr="00A00B3E" w:rsidRDefault="005A64EE" w:rsidP="00F649AA">
      <w:pPr>
        <w:pStyle w:val="Heading1"/>
        <w:rPr>
          <w:rFonts w:ascii="Tahoma" w:hAnsi="Tahoma" w:cs="Tahoma"/>
          <w:bCs w:val="0"/>
          <w:color w:val="000000"/>
        </w:rPr>
      </w:pPr>
      <w:r>
        <w:rPr>
          <w:rFonts w:ascii="Bookman Old Style" w:hAnsi="Bookman Old Style"/>
          <w:color w:val="E36C0A" w:themeColor="accent6" w:themeShade="BF"/>
          <w:sz w:val="28"/>
          <w:szCs w:val="28"/>
        </w:rPr>
        <w:t xml:space="preserve">                      </w:t>
      </w:r>
    </w:p>
    <w:p w:rsidR="005A64EE" w:rsidRDefault="005A64EE" w:rsidP="005041F8">
      <w:pPr>
        <w:tabs>
          <w:tab w:val="left" w:pos="567"/>
        </w:tabs>
        <w:spacing w:line="276" w:lineRule="auto"/>
        <w:rPr>
          <w:rFonts w:ascii="Tahoma" w:hAnsi="Tahoma" w:cs="Tahoma"/>
          <w:bCs/>
          <w:color w:val="000000"/>
        </w:rPr>
      </w:pPr>
    </w:p>
    <w:p w:rsidR="005041F8" w:rsidRPr="00A00B3E" w:rsidRDefault="005041F8" w:rsidP="005041F8">
      <w:pPr>
        <w:tabs>
          <w:tab w:val="left" w:pos="567"/>
        </w:tabs>
        <w:spacing w:line="276" w:lineRule="auto"/>
        <w:rPr>
          <w:rFonts w:ascii="Tahoma" w:hAnsi="Tahoma" w:cs="Tahoma"/>
          <w:bCs/>
          <w:color w:val="000000"/>
        </w:rPr>
      </w:pPr>
      <w:r w:rsidRPr="00A00B3E">
        <w:rPr>
          <w:rFonts w:ascii="Tahoma" w:hAnsi="Tahoma" w:cs="Tahoma"/>
          <w:bCs/>
          <w:color w:val="000000"/>
        </w:rPr>
        <w:t>Ian Cooper</w:t>
      </w:r>
    </w:p>
    <w:p w:rsidR="005041F8" w:rsidRPr="00A00B3E" w:rsidRDefault="005041F8" w:rsidP="005041F8">
      <w:pPr>
        <w:spacing w:line="276" w:lineRule="auto"/>
        <w:rPr>
          <w:rFonts w:ascii="Tahoma" w:hAnsi="Tahoma" w:cs="Tahoma"/>
          <w:bCs/>
          <w:color w:val="000000"/>
        </w:rPr>
      </w:pPr>
      <w:r w:rsidRPr="00A00B3E">
        <w:rPr>
          <w:rFonts w:ascii="Tahoma" w:hAnsi="Tahoma" w:cs="Tahoma"/>
          <w:bCs/>
          <w:color w:val="000000"/>
        </w:rPr>
        <w:t>School of Physics, University of Sydney</w:t>
      </w:r>
    </w:p>
    <w:p w:rsidR="005041F8" w:rsidRDefault="005041F8" w:rsidP="005041F8">
      <w:pPr>
        <w:spacing w:line="276" w:lineRule="auto"/>
        <w:rPr>
          <w:rFonts w:ascii="Tahoma" w:hAnsi="Tahoma" w:cs="Tahoma"/>
        </w:rPr>
      </w:pPr>
      <w:r w:rsidRPr="00A00B3E">
        <w:rPr>
          <w:rFonts w:ascii="Tahoma" w:hAnsi="Tahoma" w:cs="Tahoma"/>
          <w:color w:val="000000"/>
        </w:rPr>
        <w:t>ian.cooper@sydney.edu.au</w:t>
      </w:r>
    </w:p>
    <w:p w:rsidR="005041F8" w:rsidRPr="00A00B3E" w:rsidRDefault="005041F8" w:rsidP="005041F8">
      <w:pPr>
        <w:spacing w:line="360" w:lineRule="auto"/>
        <w:rPr>
          <w:rFonts w:ascii="Bookman Old Style" w:hAnsi="Bookman Old Style"/>
          <w:b/>
          <w:bCs/>
          <w:color w:val="0000FF"/>
          <w:sz w:val="32"/>
          <w:szCs w:val="32"/>
        </w:rPr>
      </w:pPr>
    </w:p>
    <w:p w:rsidR="005041F8" w:rsidRDefault="006D011A" w:rsidP="005041F8">
      <w:pPr>
        <w:rPr>
          <w:rFonts w:ascii="Bookman Old Style" w:hAnsi="Bookman Old Style" w:cs="Tahoma"/>
          <w:b/>
          <w:color w:val="000099"/>
        </w:rPr>
      </w:pPr>
      <w:hyperlink r:id="rId11" w:history="1">
        <w:r w:rsidR="005041F8">
          <w:rPr>
            <w:rStyle w:val="Hyperlink"/>
            <w:rFonts w:ascii="Bookman Old Style" w:hAnsi="Bookman Old Style" w:cs="Tahoma"/>
            <w:b/>
          </w:rPr>
          <w:t>DOWNLOAD DIRECTORY FOR MATLAB SCRIPTS</w:t>
        </w:r>
      </w:hyperlink>
    </w:p>
    <w:p w:rsidR="005041F8" w:rsidRDefault="005041F8" w:rsidP="005041F8">
      <w:pPr>
        <w:pStyle w:val="Heading1"/>
      </w:pPr>
    </w:p>
    <w:p w:rsidR="00647852" w:rsidRPr="002716BE" w:rsidRDefault="00647852" w:rsidP="00647852">
      <w:pPr>
        <w:spacing w:line="276" w:lineRule="auto"/>
        <w:rPr>
          <w:sz w:val="28"/>
          <w:szCs w:val="28"/>
          <w:lang w:eastAsia="zh-CN"/>
        </w:rPr>
      </w:pPr>
    </w:p>
    <w:p w:rsidR="007B1D38" w:rsidRPr="002716BE" w:rsidRDefault="0096139D" w:rsidP="0096139D">
      <w:pPr>
        <w:spacing w:line="276" w:lineRule="auto"/>
        <w:rPr>
          <w:rFonts w:asciiTheme="minorHAnsi" w:hAnsiTheme="minorHAnsi"/>
          <w:b/>
          <w:color w:val="984806" w:themeColor="accent6" w:themeShade="80"/>
          <w:sz w:val="28"/>
          <w:szCs w:val="28"/>
          <w:lang w:eastAsia="zh-CN"/>
        </w:rPr>
      </w:pPr>
      <w:r w:rsidRPr="002716BE">
        <w:rPr>
          <w:rFonts w:asciiTheme="minorHAnsi" w:hAnsiTheme="minorHAnsi"/>
          <w:b/>
          <w:color w:val="984806" w:themeColor="accent6" w:themeShade="80"/>
          <w:sz w:val="28"/>
          <w:szCs w:val="28"/>
          <w:lang w:eastAsia="zh-CN"/>
        </w:rPr>
        <w:t>op_rs_</w:t>
      </w:r>
      <w:r w:rsidR="000A049E">
        <w:rPr>
          <w:rFonts w:asciiTheme="minorHAnsi" w:hAnsiTheme="minorHAnsi"/>
          <w:b/>
          <w:color w:val="984806" w:themeColor="accent6" w:themeShade="80"/>
          <w:sz w:val="28"/>
          <w:szCs w:val="28"/>
          <w:lang w:eastAsia="zh-CN"/>
        </w:rPr>
        <w:t>cxy</w:t>
      </w:r>
      <w:r w:rsidRPr="002716BE">
        <w:rPr>
          <w:rFonts w:asciiTheme="minorHAnsi" w:hAnsiTheme="minorHAnsi"/>
          <w:b/>
          <w:color w:val="984806" w:themeColor="accent6" w:themeShade="80"/>
          <w:sz w:val="28"/>
          <w:szCs w:val="28"/>
          <w:lang w:eastAsia="zh-CN"/>
        </w:rPr>
        <w:t>_01.m</w:t>
      </w:r>
    </w:p>
    <w:p w:rsidR="0096139D" w:rsidRDefault="0096139D" w:rsidP="0096139D">
      <w:pPr>
        <w:spacing w:line="276" w:lineRule="auto"/>
        <w:rPr>
          <w:lang w:eastAsia="zh-CN"/>
        </w:rPr>
      </w:pPr>
      <w:r>
        <w:rPr>
          <w:lang w:eastAsia="zh-CN"/>
        </w:rPr>
        <w:t xml:space="preserve">Calculation of the irradiance in a plane perpendicular to the optical axis for a uniformly illuminated circular </w:t>
      </w:r>
      <w:r w:rsidR="00EB06FE">
        <w:rPr>
          <w:lang w:eastAsia="zh-CN"/>
        </w:rPr>
        <w:t xml:space="preserve">type </w:t>
      </w:r>
      <w:r>
        <w:rPr>
          <w:lang w:eastAsia="zh-CN"/>
        </w:rPr>
        <w:t>aperture</w:t>
      </w:r>
      <w:r w:rsidR="00EB06FE">
        <w:rPr>
          <w:lang w:eastAsia="zh-CN"/>
        </w:rPr>
        <w:t>s</w:t>
      </w:r>
      <w:r>
        <w:rPr>
          <w:lang w:eastAsia="zh-CN"/>
        </w:rPr>
        <w:t>. The mscript can be used for annular apertures and for observation planes close to the aperture plane.</w:t>
      </w:r>
    </w:p>
    <w:p w:rsidR="00647852" w:rsidRDefault="00647852" w:rsidP="00647852">
      <w:pPr>
        <w:spacing w:line="276" w:lineRule="auto"/>
        <w:rPr>
          <w:lang w:eastAsia="zh-CN"/>
        </w:rPr>
      </w:pPr>
    </w:p>
    <w:p w:rsidR="00647852" w:rsidRDefault="00647852" w:rsidP="00647852">
      <w:pPr>
        <w:spacing w:line="276" w:lineRule="auto"/>
        <w:rPr>
          <w:lang w:eastAsia="zh-CN"/>
        </w:rPr>
      </w:pPr>
    </w:p>
    <w:p w:rsidR="00647852" w:rsidRDefault="006D011A" w:rsidP="00647852">
      <w:pPr>
        <w:spacing w:line="276" w:lineRule="auto"/>
        <w:rPr>
          <w:lang w:eastAsia="zh-CN"/>
        </w:rPr>
      </w:pPr>
      <w:hyperlink r:id="rId12" w:history="1">
        <w:r w:rsidR="00942D43" w:rsidRPr="00942D43">
          <w:rPr>
            <w:rStyle w:val="Hyperlink"/>
            <w:lang w:eastAsia="zh-CN"/>
          </w:rPr>
          <w:t>View</w:t>
        </w:r>
      </w:hyperlink>
      <w:r w:rsidR="00942D43">
        <w:rPr>
          <w:lang w:eastAsia="zh-CN"/>
        </w:rPr>
        <w:t xml:space="preserve"> the paper on scalar diffraction theory</w:t>
      </w:r>
      <w:r w:rsidR="00647852">
        <w:rPr>
          <w:lang w:eastAsia="zh-CN"/>
        </w:rPr>
        <w:t xml:space="preserve"> </w:t>
      </w:r>
      <w:r w:rsidR="00942D43">
        <w:rPr>
          <w:lang w:eastAsia="zh-CN"/>
        </w:rPr>
        <w:t>and the numerical procedure for evaluating the Rayleigh-Sommerfeld diffraction of the first kind.</w:t>
      </w:r>
    </w:p>
    <w:p w:rsidR="00942D43" w:rsidRDefault="00942D43" w:rsidP="00647852">
      <w:pPr>
        <w:spacing w:line="276" w:lineRule="auto"/>
        <w:rPr>
          <w:lang w:eastAsia="zh-CN"/>
        </w:rPr>
      </w:pPr>
    </w:p>
    <w:p w:rsidR="006A183C" w:rsidRDefault="006A183C" w:rsidP="006A183C">
      <w:pPr>
        <w:spacing w:line="276" w:lineRule="auto"/>
      </w:pPr>
    </w:p>
    <w:p w:rsidR="006A183C" w:rsidRPr="00EC0B29" w:rsidRDefault="006A183C" w:rsidP="006A183C">
      <w:pPr>
        <w:pStyle w:val="Footer"/>
        <w:tabs>
          <w:tab w:val="left" w:pos="1430"/>
          <w:tab w:val="left" w:pos="2145"/>
          <w:tab w:val="left" w:pos="7205"/>
        </w:tabs>
        <w:spacing w:line="276" w:lineRule="auto"/>
        <w:rPr>
          <w:rFonts w:ascii="Bookman Old Style" w:hAnsi="Bookman Old Style"/>
          <w:b/>
          <w:bCs/>
          <w:iCs/>
          <w:color w:val="7030A0"/>
        </w:rPr>
      </w:pPr>
      <w:r w:rsidRPr="00EC0B29">
        <w:rPr>
          <w:rFonts w:ascii="Bookman Old Style" w:hAnsi="Bookman Old Style"/>
          <w:b/>
          <w:bCs/>
          <w:iCs/>
          <w:color w:val="7030A0"/>
        </w:rPr>
        <w:t>Rayleigh-</w:t>
      </w:r>
      <w:r>
        <w:rPr>
          <w:rFonts w:ascii="Bookman Old Style" w:hAnsi="Bookman Old Style"/>
          <w:b/>
          <w:bCs/>
          <w:iCs/>
          <w:color w:val="7030A0"/>
        </w:rPr>
        <w:t>Sommerfeld</w:t>
      </w:r>
      <w:r w:rsidRPr="00EC0B29">
        <w:rPr>
          <w:rFonts w:ascii="Bookman Old Style" w:hAnsi="Bookman Old Style"/>
          <w:b/>
          <w:bCs/>
          <w:iCs/>
          <w:color w:val="7030A0"/>
        </w:rPr>
        <w:t xml:space="preserve"> diffraction integral of the first kind</w:t>
      </w:r>
    </w:p>
    <w:p w:rsidR="006A183C" w:rsidRDefault="006A183C" w:rsidP="006A183C">
      <w:pPr>
        <w:rPr>
          <w:rFonts w:ascii="Bookman Old Style" w:hAnsi="Bookman Old Style"/>
          <w:color w:val="0000FF"/>
          <w:sz w:val="28"/>
          <w:szCs w:val="28"/>
        </w:rPr>
      </w:pPr>
    </w:p>
    <w:p w:rsidR="00EB06FE" w:rsidRDefault="00EB06FE" w:rsidP="00EB06FE">
      <w:r>
        <w:t>The electric field at an observation point P can be expressed as</w:t>
      </w:r>
    </w:p>
    <w:p w:rsidR="00EB06FE" w:rsidRDefault="00EB06FE" w:rsidP="00EB06FE"/>
    <w:p w:rsidR="006A183C" w:rsidRDefault="006A183C" w:rsidP="006A183C">
      <w:pPr>
        <w:tabs>
          <w:tab w:val="left" w:pos="567"/>
          <w:tab w:val="left" w:pos="1134"/>
        </w:tabs>
      </w:pPr>
      <w:r>
        <w:rPr>
          <w:rFonts w:ascii="Bookman Old Style" w:hAnsi="Bookman Old Style"/>
          <w:color w:val="0000FF"/>
          <w:sz w:val="28"/>
          <w:szCs w:val="28"/>
        </w:rPr>
        <w:tab/>
      </w:r>
      <w:r w:rsidRPr="006A183C">
        <w:t>(1)</w:t>
      </w:r>
      <w:r>
        <w:rPr>
          <w:rFonts w:ascii="Bookman Old Style" w:hAnsi="Bookman Old Style"/>
          <w:color w:val="0000FF"/>
          <w:sz w:val="28"/>
          <w:szCs w:val="28"/>
        </w:rPr>
        <w:tab/>
      </w:r>
      <w:r>
        <w:rPr>
          <w:position w:val="-40"/>
        </w:rPr>
        <w:object w:dxaOrig="3739" w:dyaOrig="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2pt;height:43.2pt" o:ole="">
            <v:imagedata r:id="rId13" o:title=""/>
          </v:shape>
          <o:OLEObject Type="Embed" ProgID="Equation.DSMT4" ShapeID="_x0000_i1025" DrawAspect="Content" ObjectID="_1474303373" r:id="rId14"/>
        </w:object>
      </w:r>
    </w:p>
    <w:p w:rsidR="006A183C" w:rsidRDefault="006A183C" w:rsidP="006A183C">
      <w:pPr>
        <w:tabs>
          <w:tab w:val="left" w:pos="1134"/>
        </w:tabs>
      </w:pPr>
    </w:p>
    <w:p w:rsidR="006A183C" w:rsidRDefault="006A183C" w:rsidP="006A183C">
      <w:pPr>
        <w:tabs>
          <w:tab w:val="left" w:pos="1134"/>
        </w:tabs>
      </w:pPr>
      <w:r>
        <w:t xml:space="preserve">The Rayleigh-Sommerfeld diffraction integral of the first kind is the most useful </w:t>
      </w:r>
      <w:r w:rsidR="00EB06FE">
        <w:t>form of diffraction integral s</w:t>
      </w:r>
      <w:r>
        <w:t xml:space="preserve">ince it is easy to approximate this integral numerically for many different type apertures and for focused beams. A matrix </w:t>
      </w:r>
      <w:r w:rsidR="00EB06FE">
        <w:t>method</w:t>
      </w:r>
      <w:r>
        <w:t xml:space="preserve"> to evaluate the integral is called the </w:t>
      </w:r>
      <w:hyperlink r:id="rId15" w:history="1">
        <w:r w:rsidRPr="00E3209A">
          <w:rPr>
            <w:rStyle w:val="Hyperlink"/>
          </w:rPr>
          <w:t>Simpson two-dimensional method</w:t>
        </w:r>
      </w:hyperlink>
      <w:r>
        <w:t>.</w:t>
      </w:r>
    </w:p>
    <w:p w:rsidR="006A183C" w:rsidRDefault="006A183C" w:rsidP="006A183C">
      <w:pPr>
        <w:tabs>
          <w:tab w:val="left" w:pos="1134"/>
        </w:tabs>
      </w:pPr>
    </w:p>
    <w:p w:rsidR="006A183C" w:rsidRDefault="006A183C" w:rsidP="006A183C">
      <w:pPr>
        <w:tabs>
          <w:tab w:val="left" w:pos="567"/>
          <w:tab w:val="left" w:pos="1134"/>
        </w:tabs>
      </w:pPr>
      <w:r>
        <w:tab/>
        <w:t>(2)</w:t>
      </w:r>
      <w:r>
        <w:tab/>
      </w:r>
      <w:r w:rsidRPr="00C34A0D">
        <w:rPr>
          <w:position w:val="-34"/>
        </w:rPr>
        <w:object w:dxaOrig="6140" w:dyaOrig="800">
          <v:shape id="_x0000_i1026" type="#_x0000_t75" style="width:306.6pt;height:40.2pt" o:ole="">
            <v:imagedata r:id="rId16" o:title=""/>
          </v:shape>
          <o:OLEObject Type="Embed" ProgID="Equation.DSMT4" ShapeID="_x0000_i1026" DrawAspect="Content" ObjectID="_1474303374" r:id="rId17"/>
        </w:object>
      </w:r>
    </w:p>
    <w:p w:rsidR="00942D43" w:rsidRDefault="00942D43" w:rsidP="00647852">
      <w:pPr>
        <w:spacing w:line="276" w:lineRule="auto"/>
        <w:rPr>
          <w:lang w:eastAsia="zh-CN"/>
        </w:rPr>
      </w:pPr>
    </w:p>
    <w:p w:rsidR="00942D43" w:rsidRDefault="00942D43" w:rsidP="00647852">
      <w:pPr>
        <w:spacing w:line="276" w:lineRule="auto"/>
        <w:rPr>
          <w:lang w:eastAsia="zh-CN"/>
        </w:rPr>
      </w:pPr>
    </w:p>
    <w:p w:rsidR="00647852" w:rsidRDefault="00647852" w:rsidP="00647852">
      <w:pPr>
        <w:spacing w:line="276" w:lineRule="auto"/>
        <w:rPr>
          <w:lang w:eastAsia="zh-CN"/>
        </w:rPr>
      </w:pPr>
    </w:p>
    <w:p w:rsidR="005A64EE" w:rsidRDefault="005A64EE" w:rsidP="005A64EE">
      <w:pPr>
        <w:rPr>
          <w:lang w:eastAsia="zh-CN"/>
        </w:rPr>
      </w:pPr>
    </w:p>
    <w:p w:rsidR="006A183C" w:rsidRDefault="006A183C" w:rsidP="006A183C">
      <w:pPr>
        <w:tabs>
          <w:tab w:val="left" w:pos="567"/>
          <w:tab w:val="left" w:pos="1418"/>
        </w:tabs>
        <w:spacing w:line="276" w:lineRule="auto"/>
      </w:pPr>
      <w:r>
        <w:t xml:space="preserve">where </w:t>
      </w:r>
      <w:r w:rsidRPr="00F73E47">
        <w:rPr>
          <w:i/>
        </w:rPr>
        <w:t>S</w:t>
      </w:r>
      <w:r w:rsidRPr="00F73E47">
        <w:rPr>
          <w:i/>
          <w:vertAlign w:val="subscript"/>
        </w:rPr>
        <w:t>mn</w:t>
      </w:r>
      <w:r w:rsidRPr="00F73E47">
        <w:rPr>
          <w:i/>
        </w:rPr>
        <w:t xml:space="preserve"> </w:t>
      </w:r>
      <w:r>
        <w:t xml:space="preserve">are the Simpson’s two-dimensional coefficients and </w:t>
      </w:r>
      <w:r w:rsidRPr="00F73E47">
        <w:rPr>
          <w:i/>
        </w:rPr>
        <w:t>E</w:t>
      </w:r>
      <w:r w:rsidRPr="00F73E47">
        <w:rPr>
          <w:vertAlign w:val="subscript"/>
        </w:rPr>
        <w:t>0</w:t>
      </w:r>
      <w:r>
        <w:t xml:space="preserve"> is a normalizing constant. Each term in equation (2) can be expressed as a matrix of size </w:t>
      </w:r>
      <w:r>
        <w:rPr>
          <w:i/>
        </w:rPr>
        <w:t>N</w:t>
      </w:r>
      <w:r>
        <w:t xml:space="preserve"> </w:t>
      </w:r>
      <w:r>
        <w:sym w:font="Symbol" w:char="F0B4"/>
      </w:r>
      <w:r>
        <w:t xml:space="preserve"> </w:t>
      </w:r>
      <w:r>
        <w:rPr>
          <w:i/>
        </w:rPr>
        <w:t xml:space="preserve">N </w:t>
      </w:r>
      <w:r>
        <w:t xml:space="preserve"> and the matrices can be manipulated very easily in Matlab to give the estimate of the integral. The irradiance is proportional to the square of the magnitude of the electric field, hence the irradiance in the space beyond the aperture can be calculated by</w:t>
      </w:r>
    </w:p>
    <w:p w:rsidR="006A183C" w:rsidRDefault="006A183C" w:rsidP="006A183C">
      <w:pPr>
        <w:tabs>
          <w:tab w:val="left" w:pos="567"/>
          <w:tab w:val="left" w:pos="1418"/>
        </w:tabs>
        <w:spacing w:line="276" w:lineRule="auto"/>
      </w:pPr>
    </w:p>
    <w:p w:rsidR="006A183C" w:rsidRDefault="006A183C" w:rsidP="006A183C">
      <w:pPr>
        <w:tabs>
          <w:tab w:val="left" w:pos="567"/>
          <w:tab w:val="left" w:pos="1418"/>
        </w:tabs>
        <w:spacing w:line="276" w:lineRule="auto"/>
      </w:pPr>
      <w:r>
        <w:tab/>
        <w:t>(3)</w:t>
      </w:r>
      <w:r>
        <w:tab/>
      </w:r>
      <w:r w:rsidRPr="00F73E47">
        <w:rPr>
          <w:position w:val="-16"/>
        </w:rPr>
        <w:object w:dxaOrig="1200" w:dyaOrig="440">
          <v:shape id="_x0000_i1027" type="#_x0000_t75" style="width:60pt;height:22.2pt" o:ole="">
            <v:imagedata r:id="rId18" o:title=""/>
          </v:shape>
          <o:OLEObject Type="Embed" ProgID="Equation.DSMT4" ShapeID="_x0000_i1027" DrawAspect="Content" ObjectID="_1474303375" r:id="rId19"/>
        </w:object>
      </w:r>
    </w:p>
    <w:p w:rsidR="006A183C" w:rsidRDefault="006A183C" w:rsidP="006A183C">
      <w:pPr>
        <w:tabs>
          <w:tab w:val="left" w:pos="567"/>
          <w:tab w:val="left" w:pos="1418"/>
        </w:tabs>
        <w:spacing w:line="276" w:lineRule="auto"/>
      </w:pPr>
    </w:p>
    <w:p w:rsidR="006A183C" w:rsidRDefault="006A183C" w:rsidP="006A183C">
      <w:pPr>
        <w:tabs>
          <w:tab w:val="left" w:pos="567"/>
          <w:tab w:val="left" w:pos="1418"/>
        </w:tabs>
        <w:spacing w:line="276" w:lineRule="auto"/>
      </w:pPr>
      <w:r>
        <w:t xml:space="preserve">where </w:t>
      </w:r>
      <w:r w:rsidRPr="00F73E47">
        <w:rPr>
          <w:i/>
        </w:rPr>
        <w:t>I</w:t>
      </w:r>
      <w:r w:rsidRPr="00F73E47">
        <w:rPr>
          <w:vertAlign w:val="subscript"/>
        </w:rPr>
        <w:t>0</w:t>
      </w:r>
      <w:r>
        <w:t xml:space="preserve"> is a normalizing constant and </w:t>
      </w:r>
      <w:r w:rsidRPr="00F73E47">
        <w:rPr>
          <w:i/>
        </w:rPr>
        <w:t>E</w:t>
      </w:r>
      <w:r w:rsidRPr="00F73E47">
        <w:rPr>
          <w:vertAlign w:val="superscript"/>
        </w:rPr>
        <w:t>*</w:t>
      </w:r>
      <w:r>
        <w:t xml:space="preserve"> is the complex conjugate of </w:t>
      </w:r>
      <w:r w:rsidRPr="00F73E47">
        <w:rPr>
          <w:i/>
        </w:rPr>
        <w:t>E</w:t>
      </w:r>
      <w:r>
        <w:t>.</w:t>
      </w:r>
    </w:p>
    <w:p w:rsidR="006A183C" w:rsidRDefault="006A183C" w:rsidP="00E87932">
      <w:pPr>
        <w:rPr>
          <w:rFonts w:ascii="Bookman Old Style" w:hAnsi="Bookman Old Style"/>
          <w:b/>
          <w:color w:val="0000FF"/>
          <w:sz w:val="28"/>
          <w:szCs w:val="28"/>
        </w:rPr>
      </w:pPr>
    </w:p>
    <w:p w:rsidR="006A183C" w:rsidRDefault="006A183C" w:rsidP="00E87932">
      <w:pPr>
        <w:rPr>
          <w:rFonts w:ascii="Bookman Old Style" w:hAnsi="Bookman Old Style"/>
          <w:b/>
          <w:color w:val="0000FF"/>
          <w:sz w:val="28"/>
          <w:szCs w:val="28"/>
        </w:rPr>
      </w:pPr>
    </w:p>
    <w:p w:rsidR="00DC5D00" w:rsidRPr="00E87932" w:rsidRDefault="009A7A8A" w:rsidP="00E87932">
      <w:pPr>
        <w:rPr>
          <w:rFonts w:ascii="Bookman Old Style" w:hAnsi="Bookman Old Style"/>
          <w:b/>
          <w:color w:val="0000FF"/>
          <w:sz w:val="28"/>
          <w:szCs w:val="28"/>
        </w:rPr>
      </w:pPr>
      <w:r>
        <w:rPr>
          <w:rFonts w:ascii="Bookman Old Style" w:hAnsi="Bookman Old Style"/>
          <w:b/>
          <w:color w:val="0000FF"/>
          <w:sz w:val="28"/>
          <w:szCs w:val="28"/>
        </w:rPr>
        <w:t>U</w:t>
      </w:r>
      <w:r w:rsidR="002C5714">
        <w:rPr>
          <w:rFonts w:ascii="Bookman Old Style" w:hAnsi="Bookman Old Style"/>
          <w:b/>
          <w:color w:val="0000FF"/>
          <w:sz w:val="28"/>
          <w:szCs w:val="28"/>
        </w:rPr>
        <w:t>NIFORMLY ILLUMINATED C</w:t>
      </w:r>
      <w:r w:rsidR="00942440">
        <w:rPr>
          <w:rFonts w:ascii="Bookman Old Style" w:hAnsi="Bookman Old Style"/>
          <w:b/>
          <w:color w:val="0000FF"/>
          <w:sz w:val="28"/>
          <w:szCs w:val="28"/>
        </w:rPr>
        <w:t xml:space="preserve">IRCULAR </w:t>
      </w:r>
      <w:r w:rsidR="009F4215">
        <w:rPr>
          <w:rFonts w:ascii="Bookman Old Style" w:hAnsi="Bookman Old Style"/>
          <w:b/>
          <w:color w:val="0000FF"/>
          <w:sz w:val="28"/>
          <w:szCs w:val="28"/>
        </w:rPr>
        <w:t xml:space="preserve">TYPE </w:t>
      </w:r>
      <w:r w:rsidR="00942440">
        <w:rPr>
          <w:rFonts w:ascii="Bookman Old Style" w:hAnsi="Bookman Old Style"/>
          <w:b/>
          <w:color w:val="0000FF"/>
          <w:sz w:val="28"/>
          <w:szCs w:val="28"/>
        </w:rPr>
        <w:t>APERTURE</w:t>
      </w:r>
      <w:r w:rsidR="009F4215">
        <w:rPr>
          <w:rFonts w:ascii="Bookman Old Style" w:hAnsi="Bookman Old Style"/>
          <w:b/>
          <w:color w:val="0000FF"/>
          <w:sz w:val="28"/>
          <w:szCs w:val="28"/>
        </w:rPr>
        <w:t>S</w:t>
      </w:r>
    </w:p>
    <w:p w:rsidR="00DC5D00" w:rsidRDefault="00DC5D00"/>
    <w:p w:rsidR="00A65E2C" w:rsidRDefault="00A65E2C" w:rsidP="00A65E2C">
      <w:pPr>
        <w:spacing w:line="276" w:lineRule="auto"/>
      </w:pPr>
      <w:r>
        <w:t xml:space="preserve">The geometry for the diffraction pattern from circular </w:t>
      </w:r>
      <w:r w:rsidR="00DB0B81">
        <w:t xml:space="preserve">type </w:t>
      </w:r>
      <w:r>
        <w:t>aperture</w:t>
      </w:r>
      <w:r w:rsidR="00DB0B81">
        <w:t>s</w:t>
      </w:r>
      <w:r>
        <w:t xml:space="preserve"> is shown in figure (</w:t>
      </w:r>
      <w:r w:rsidR="007C7DCC">
        <w:t>1</w:t>
      </w:r>
      <w:r>
        <w:t>).</w:t>
      </w:r>
    </w:p>
    <w:p w:rsidR="002716BE" w:rsidRDefault="002716BE" w:rsidP="00A65E2C">
      <w:pPr>
        <w:spacing w:line="276" w:lineRule="auto"/>
      </w:pPr>
    </w:p>
    <w:p w:rsidR="00A65E2C" w:rsidRDefault="00A65E2C" w:rsidP="00A65E2C">
      <w:pPr>
        <w:jc w:val="center"/>
      </w:pPr>
      <w:r w:rsidRPr="00A65E2C">
        <w:rPr>
          <w:noProof/>
          <w:lang w:eastAsia="zh-CN"/>
        </w:rPr>
        <w:drawing>
          <wp:inline distT="0" distB="0" distL="0" distR="0">
            <wp:extent cx="4680000" cy="2224800"/>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80000" cy="2224800"/>
                    </a:xfrm>
                    <a:prstGeom prst="rect">
                      <a:avLst/>
                    </a:prstGeom>
                    <a:noFill/>
                    <a:ln>
                      <a:noFill/>
                    </a:ln>
                  </pic:spPr>
                </pic:pic>
              </a:graphicData>
            </a:graphic>
          </wp:inline>
        </w:drawing>
      </w:r>
    </w:p>
    <w:p w:rsidR="00A65E2C" w:rsidRDefault="00A65E2C" w:rsidP="00942440"/>
    <w:p w:rsidR="00A65E2C" w:rsidRDefault="00A65E2C" w:rsidP="00A65E2C">
      <w:pPr>
        <w:tabs>
          <w:tab w:val="left" w:pos="567"/>
        </w:tabs>
      </w:pPr>
      <w:r>
        <w:tab/>
        <w:t xml:space="preserve">Fig. </w:t>
      </w:r>
      <w:r w:rsidR="007C7DCC">
        <w:t>1</w:t>
      </w:r>
      <w:r>
        <w:t>.   Circular aperture</w:t>
      </w:r>
      <w:r w:rsidR="002716BE">
        <w:t xml:space="preserve"> geom</w:t>
      </w:r>
      <w:r w:rsidR="007C7DCC">
        <w:t>e</w:t>
      </w:r>
      <w:r w:rsidR="002716BE">
        <w:t>try</w:t>
      </w:r>
      <w:r>
        <w:t>.</w:t>
      </w:r>
      <w:r w:rsidR="00EB06FE">
        <w:t xml:space="preserve"> </w:t>
      </w:r>
    </w:p>
    <w:p w:rsidR="00A65E2C" w:rsidRDefault="00A65E2C" w:rsidP="00942440"/>
    <w:p w:rsidR="00A65E2C" w:rsidRDefault="00A65E2C" w:rsidP="00A65E2C">
      <w:pPr>
        <w:tabs>
          <w:tab w:val="left" w:pos="567"/>
          <w:tab w:val="left" w:pos="1418"/>
        </w:tabs>
        <w:spacing w:line="276" w:lineRule="auto"/>
      </w:pPr>
      <w:r>
        <w:t xml:space="preserve"> </w:t>
      </w:r>
      <w:r>
        <w:tab/>
        <w:t>(</w:t>
      </w:r>
      <w:r w:rsidR="009F4215">
        <w:t>1</w:t>
      </w:r>
      <w:r>
        <w:t>)</w:t>
      </w:r>
      <w:r>
        <w:tab/>
      </w:r>
      <w:r w:rsidRPr="00191B2C">
        <w:rPr>
          <w:position w:val="-36"/>
        </w:rPr>
        <w:object w:dxaOrig="4300" w:dyaOrig="840">
          <v:shape id="_x0000_i1028" type="#_x0000_t75" style="width:214.8pt;height:42pt" o:ole="">
            <v:imagedata r:id="rId21" o:title=""/>
          </v:shape>
          <o:OLEObject Type="Embed" ProgID="Equation.DSMT4" ShapeID="_x0000_i1028" DrawAspect="Content" ObjectID="_1474303376" r:id="rId22"/>
        </w:object>
      </w:r>
    </w:p>
    <w:p w:rsidR="00C54873" w:rsidRDefault="00C54873" w:rsidP="00A65E2C">
      <w:pPr>
        <w:tabs>
          <w:tab w:val="left" w:pos="567"/>
          <w:tab w:val="left" w:pos="1418"/>
        </w:tabs>
        <w:spacing w:line="276" w:lineRule="auto"/>
      </w:pPr>
    </w:p>
    <w:p w:rsidR="008054EE" w:rsidRDefault="008054EE" w:rsidP="00A65E2C">
      <w:pPr>
        <w:tabs>
          <w:tab w:val="left" w:pos="567"/>
          <w:tab w:val="left" w:pos="1418"/>
        </w:tabs>
        <w:spacing w:line="276" w:lineRule="auto"/>
      </w:pPr>
      <w:r>
        <w:t xml:space="preserve">The radial coordinate </w:t>
      </w:r>
      <w:r w:rsidRPr="008054EE">
        <w:rPr>
          <w:i/>
        </w:rPr>
        <w:t>v</w:t>
      </w:r>
      <w:r w:rsidRPr="008054EE">
        <w:rPr>
          <w:i/>
          <w:vertAlign w:val="subscript"/>
        </w:rPr>
        <w:t>P</w:t>
      </w:r>
      <w:r>
        <w:t xml:space="preserve"> is a scaled perpendicular distance from the optical axis.</w:t>
      </w:r>
    </w:p>
    <w:p w:rsidR="009F4215" w:rsidRDefault="009F4215"/>
    <w:p w:rsidR="009F4215" w:rsidRDefault="009F4215"/>
    <w:p w:rsidR="00AE4E94" w:rsidRDefault="00AE4E94">
      <w:pPr>
        <w:rPr>
          <w:rFonts w:ascii="Bookman Old Style" w:hAnsi="Bookman Old Style"/>
          <w:b/>
          <w:color w:val="0000FF"/>
        </w:rPr>
      </w:pPr>
      <w:r>
        <w:rPr>
          <w:rFonts w:ascii="Bookman Old Style" w:hAnsi="Bookman Old Style"/>
          <w:b/>
          <w:color w:val="0000FF"/>
        </w:rPr>
        <w:br w:type="page"/>
      </w:r>
    </w:p>
    <w:p w:rsidR="00535D6D" w:rsidRDefault="00024011">
      <w:pPr>
        <w:rPr>
          <w:rFonts w:ascii="Bookman Old Style" w:hAnsi="Bookman Old Style"/>
          <w:b/>
          <w:color w:val="0000FF"/>
        </w:rPr>
      </w:pPr>
      <w:r w:rsidRPr="00024011">
        <w:rPr>
          <w:rFonts w:ascii="Bookman Old Style" w:hAnsi="Bookman Old Style"/>
          <w:b/>
          <w:color w:val="0000FF"/>
        </w:rPr>
        <w:t>Diffraction pattern for a uniformly illuminated circular aperture</w:t>
      </w:r>
      <w:r>
        <w:rPr>
          <w:rFonts w:ascii="Bookman Old Style" w:hAnsi="Bookman Old Style"/>
          <w:b/>
          <w:color w:val="0000FF"/>
        </w:rPr>
        <w:t xml:space="preserve"> in the far field (Fraunhofer diffraction)</w:t>
      </w:r>
    </w:p>
    <w:p w:rsidR="00024011" w:rsidRDefault="00024011">
      <w:pPr>
        <w:rPr>
          <w:rFonts w:ascii="Bookman Old Style" w:hAnsi="Bookman Old Style"/>
          <w:b/>
          <w:color w:val="0000FF"/>
        </w:rPr>
      </w:pPr>
    </w:p>
    <w:p w:rsidR="00024011" w:rsidRPr="00024011" w:rsidRDefault="00024011" w:rsidP="00024011"/>
    <w:p w:rsidR="00024011" w:rsidRDefault="006D011A">
      <w:hyperlink r:id="rId23" w:history="1">
        <w:r w:rsidR="00AE4E94" w:rsidRPr="00AE4E94">
          <w:rPr>
            <w:rStyle w:val="Hyperlink"/>
          </w:rPr>
          <w:t>View</w:t>
        </w:r>
      </w:hyperlink>
      <w:r w:rsidR="00AE4E94">
        <w:t xml:space="preserve"> the paper on Fraunhofer diffraction for a circular aperture.</w:t>
      </w:r>
    </w:p>
    <w:p w:rsidR="00AE4E94" w:rsidRDefault="00AE4E94"/>
    <w:p w:rsidR="00AE4E94" w:rsidRDefault="00AE4E94"/>
    <w:p w:rsidR="00AE4E94" w:rsidRDefault="00AE4E94"/>
    <w:p w:rsidR="00024011" w:rsidRDefault="00E6734B" w:rsidP="00E6734B">
      <w:pPr>
        <w:jc w:val="center"/>
      </w:pPr>
      <w:r>
        <w:rPr>
          <w:noProof/>
          <w:lang w:eastAsia="zh-CN"/>
        </w:rPr>
        <w:drawing>
          <wp:inline distT="0" distB="0" distL="0" distR="0" wp14:anchorId="1DEF2EED" wp14:editId="7BE80D44">
            <wp:extent cx="2926080" cy="27432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926080" cy="2743200"/>
                    </a:xfrm>
                    <a:prstGeom prst="rect">
                      <a:avLst/>
                    </a:prstGeom>
                  </pic:spPr>
                </pic:pic>
              </a:graphicData>
            </a:graphic>
          </wp:inline>
        </w:drawing>
      </w:r>
    </w:p>
    <w:p w:rsidR="00024011" w:rsidRDefault="00024011"/>
    <w:p w:rsidR="006A183C" w:rsidRDefault="00EB06FE" w:rsidP="00EB06FE">
      <w:pPr>
        <w:spacing w:line="276" w:lineRule="auto"/>
        <w:ind w:left="720" w:right="657" w:hanging="720"/>
      </w:pPr>
      <w:r>
        <w:tab/>
        <w:t>Fig.2</w:t>
      </w:r>
      <w:r w:rsidR="006A183C">
        <w:t xml:space="preserve">.   Diffraction pattern as computed </w:t>
      </w:r>
      <w:r w:rsidR="006A183C" w:rsidRPr="00EB06FE">
        <w:t>using</w:t>
      </w:r>
      <w:r w:rsidRPr="00EB06FE">
        <w:t xml:space="preserve">  </w:t>
      </w:r>
      <w:r w:rsidRPr="00EB06FE">
        <w:rPr>
          <w:rFonts w:asciiTheme="minorHAnsi" w:hAnsiTheme="minorHAnsi"/>
          <w:b/>
          <w:color w:val="984806" w:themeColor="accent6" w:themeShade="80"/>
          <w:lang w:eastAsia="zh-CN"/>
        </w:rPr>
        <w:t>op_rs_cxy_01.m</w:t>
      </w:r>
      <w:r w:rsidR="006A183C">
        <w:t xml:space="preserve">. The image is like a black and white </w:t>
      </w:r>
      <w:r>
        <w:t xml:space="preserve">time exposure </w:t>
      </w:r>
      <w:r w:rsidR="006A183C">
        <w:t>photograph of the diffraction pattern that would be observed on a screen</w:t>
      </w:r>
      <w:r>
        <w:t xml:space="preserve"> for a uniformly illuminated circular aperture</w:t>
      </w:r>
      <w:r w:rsidR="006A183C">
        <w:t>. The bright centre spot corresponds to the zeroth order of diffraction and is known as the Airy Disk.</w:t>
      </w:r>
    </w:p>
    <w:p w:rsidR="006A183C" w:rsidRDefault="006A183C" w:rsidP="00EB06FE">
      <w:pPr>
        <w:ind w:right="657"/>
      </w:pPr>
    </w:p>
    <w:p w:rsidR="00EB06FE" w:rsidRDefault="00EB06FE">
      <w:r>
        <w:br w:type="page"/>
      </w:r>
    </w:p>
    <w:p w:rsidR="006A183C" w:rsidRDefault="006A183C"/>
    <w:p w:rsidR="00024011" w:rsidRDefault="00024011">
      <w:r>
        <w:rPr>
          <w:noProof/>
          <w:lang w:eastAsia="zh-CN"/>
        </w:rPr>
        <w:drawing>
          <wp:inline distT="0" distB="0" distL="0" distR="0" wp14:anchorId="7BB47C0E" wp14:editId="56080F8F">
            <wp:extent cx="5278120" cy="3298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8120" cy="3298825"/>
                    </a:xfrm>
                    <a:prstGeom prst="rect">
                      <a:avLst/>
                    </a:prstGeom>
                  </pic:spPr>
                </pic:pic>
              </a:graphicData>
            </a:graphic>
          </wp:inline>
        </w:drawing>
      </w:r>
    </w:p>
    <w:p w:rsidR="00535D6D" w:rsidRDefault="00535D6D"/>
    <w:p w:rsidR="00024011" w:rsidRDefault="00024011"/>
    <w:p w:rsidR="00AE4E94" w:rsidRDefault="00AE4E94" w:rsidP="00EB06FE">
      <w:pPr>
        <w:ind w:left="567" w:right="657"/>
      </w:pPr>
      <w:r>
        <w:t xml:space="preserve">Fig. </w:t>
      </w:r>
      <w:r w:rsidR="00EB06FE">
        <w:t>3</w:t>
      </w:r>
      <w:r>
        <w:t xml:space="preserve">.   </w:t>
      </w:r>
      <w:r w:rsidR="00EB06FE">
        <w:t xml:space="preserve">The </w:t>
      </w:r>
      <w:r>
        <w:t xml:space="preserve">irradiance patterns </w:t>
      </w:r>
      <w:r w:rsidR="00EB06FE">
        <w:t xml:space="preserve">along the X and Y axes </w:t>
      </w:r>
      <w:r>
        <w:t xml:space="preserve">for a circular aperture. The lower plot has a log scale for the irradiance  </w:t>
      </w:r>
      <w:r w:rsidRPr="00191B2C">
        <w:rPr>
          <w:position w:val="-12"/>
        </w:rPr>
        <w:object w:dxaOrig="1600" w:dyaOrig="360">
          <v:shape id="_x0000_i1029" type="#_x0000_t75" style="width:79.8pt;height:18pt" o:ole="">
            <v:imagedata r:id="rId26" o:title=""/>
          </v:shape>
          <o:OLEObject Type="Embed" ProgID="Equation.DSMT4" ShapeID="_x0000_i1029" DrawAspect="Content" ObjectID="_1474303377" r:id="rId27"/>
        </w:object>
      </w:r>
      <w:r>
        <w:t xml:space="preserve">. </w:t>
      </w:r>
      <w:r w:rsidR="00EB06FE">
        <w:t xml:space="preserve">Since the pattern is symmetrical, the irradiance </w:t>
      </w:r>
      <w:r w:rsidR="006D011A">
        <w:t xml:space="preserve">variation is the same in the X and Y directions. </w:t>
      </w:r>
      <w:r w:rsidR="006D011A" w:rsidRPr="00EB06FE">
        <w:rPr>
          <w:rFonts w:asciiTheme="minorHAnsi" w:hAnsiTheme="minorHAnsi"/>
          <w:b/>
          <w:color w:val="984806" w:themeColor="accent6" w:themeShade="80"/>
          <w:lang w:eastAsia="zh-CN"/>
        </w:rPr>
        <w:t>op_rs_cxy_01.m</w:t>
      </w:r>
    </w:p>
    <w:p w:rsidR="006D011A" w:rsidRDefault="006D011A" w:rsidP="00EB06FE">
      <w:pPr>
        <w:ind w:left="567" w:right="657"/>
      </w:pPr>
    </w:p>
    <w:p w:rsidR="00AE4E94" w:rsidRDefault="00AE4E94"/>
    <w:p w:rsidR="00AE4E94" w:rsidRDefault="006D011A" w:rsidP="00AE4E94">
      <w:pPr>
        <w:tabs>
          <w:tab w:val="left" w:pos="567"/>
          <w:tab w:val="left" w:pos="1418"/>
        </w:tabs>
        <w:spacing w:line="276" w:lineRule="auto"/>
      </w:pPr>
      <w:r>
        <w:t>In the far field, t</w:t>
      </w:r>
      <w:r w:rsidR="00AE4E94">
        <w:t xml:space="preserve">he Fraunhofer diffraction pattern for the circular aperture is circularly symmetric and consists of a bright central circle surrounded by series of bright rings of rapidly decreasing strength between a series of dark rings. The bright and dark rings are not evenly spaced. The bright central region is known as the </w:t>
      </w:r>
      <w:r w:rsidR="00AE4E94" w:rsidRPr="007D2654">
        <w:rPr>
          <w:b/>
          <w:color w:val="7030A0"/>
        </w:rPr>
        <w:t>Airy disk</w:t>
      </w:r>
      <w:r w:rsidR="00AE4E94">
        <w:t xml:space="preserve">. It extends to the first dark ring at </w:t>
      </w:r>
      <w:r w:rsidR="00AE4E94" w:rsidRPr="007D2654">
        <w:rPr>
          <w:i/>
        </w:rPr>
        <w:t>v</w:t>
      </w:r>
      <w:r w:rsidR="00AE4E94" w:rsidRPr="002716BE">
        <w:rPr>
          <w:i/>
          <w:vertAlign w:val="subscript"/>
        </w:rPr>
        <w:t>P</w:t>
      </w:r>
      <w:r w:rsidR="00AE4E94">
        <w:t xml:space="preserve"> = 3.831 (the first zero of the Bessel function</w:t>
      </w:r>
      <w:r>
        <w:t xml:space="preserve"> of the first kind</w:t>
      </w:r>
      <w:r w:rsidR="00AE4E94">
        <w:t>).</w:t>
      </w:r>
    </w:p>
    <w:p w:rsidR="00535D6D" w:rsidRDefault="00535D6D">
      <w:r>
        <w:br w:type="page"/>
      </w:r>
    </w:p>
    <w:p w:rsidR="00535D6D" w:rsidRPr="00024011" w:rsidRDefault="00535D6D">
      <w:pPr>
        <w:rPr>
          <w:rFonts w:ascii="Bookman Old Style" w:hAnsi="Bookman Old Style"/>
          <w:b/>
          <w:color w:val="0000FF"/>
        </w:rPr>
      </w:pPr>
      <w:r w:rsidRPr="00024011">
        <w:rPr>
          <w:rFonts w:ascii="Bookman Old Style" w:hAnsi="Bookman Old Style"/>
          <w:b/>
          <w:color w:val="0000FF"/>
        </w:rPr>
        <w:t>Energy enclosed within the dark rings of the diffraction pattern</w:t>
      </w:r>
    </w:p>
    <w:p w:rsidR="00535D6D" w:rsidRDefault="00535D6D"/>
    <w:p w:rsidR="00535D6D" w:rsidRDefault="00535D6D">
      <w:r>
        <w:t>We can compute the energy enclosed within a ring of a given radius on the observation screen by integrating the irradiance over the circular area defined by the given radius. Table 1 gives the energy enclosed within each of the dark rings</w:t>
      </w:r>
      <w:r w:rsidR="00024011">
        <w:t xml:space="preserve"> in the far field for a uniformly illuminated circular aperture</w:t>
      </w:r>
      <w:r>
        <w:t xml:space="preserve">. It has been assumed that 100% of the energy </w:t>
      </w:r>
      <w:r w:rsidR="003D32C1">
        <w:t xml:space="preserve">falls on the observation screen within the optical coordinate radius of </w:t>
      </w:r>
      <w:r w:rsidR="003D32C1" w:rsidRPr="00024011">
        <w:rPr>
          <w:i/>
        </w:rPr>
        <w:t>v</w:t>
      </w:r>
      <w:r w:rsidR="003D32C1" w:rsidRPr="00024011">
        <w:rPr>
          <w:i/>
          <w:vertAlign w:val="subscript"/>
        </w:rPr>
        <w:t>P</w:t>
      </w:r>
      <w:r w:rsidR="003D32C1">
        <w:t xml:space="preserve"> = 50. The first dark ring is</w:t>
      </w:r>
      <w:r w:rsidR="006D011A">
        <w:t xml:space="preserve"> at </w:t>
      </w:r>
      <w:r w:rsidR="003D32C1" w:rsidRPr="003D32C1">
        <w:rPr>
          <w:i/>
        </w:rPr>
        <w:t>v</w:t>
      </w:r>
      <w:r w:rsidR="003D32C1" w:rsidRPr="003D32C1">
        <w:rPr>
          <w:i/>
          <w:vertAlign w:val="subscript"/>
        </w:rPr>
        <w:t xml:space="preserve">P </w:t>
      </w:r>
      <w:r w:rsidR="003D32C1">
        <w:t>= 3.87 and the energy within the first dark ring is 84.9%.</w:t>
      </w:r>
      <w:r w:rsidR="00024011">
        <w:t xml:space="preserve"> Fig. (</w:t>
      </w:r>
      <w:r w:rsidR="006D011A">
        <w:t>3</w:t>
      </w:r>
      <w:r w:rsidR="00024011">
        <w:t>) shows a plot</w:t>
      </w:r>
      <w:r w:rsidR="006D011A">
        <w:t xml:space="preserve"> of </w:t>
      </w:r>
      <w:r w:rsidR="00024011">
        <w:t xml:space="preserve">the energy enclosed within circles of increasing radius defined by the optical coordinate </w:t>
      </w:r>
      <w:r w:rsidR="00024011" w:rsidRPr="00024011">
        <w:rPr>
          <w:i/>
        </w:rPr>
        <w:t>v</w:t>
      </w:r>
      <w:r w:rsidR="00024011" w:rsidRPr="00024011">
        <w:rPr>
          <w:i/>
          <w:vertAlign w:val="subscript"/>
        </w:rPr>
        <w:t>P</w:t>
      </w:r>
      <w:r w:rsidR="00024011">
        <w:t xml:space="preserve"> for a uniformly illuminated circular aperture. </w:t>
      </w:r>
    </w:p>
    <w:p w:rsidR="003D32C1" w:rsidRDefault="003D32C1"/>
    <w:p w:rsidR="003D32C1" w:rsidRDefault="003D32C1" w:rsidP="003D32C1">
      <w:pPr>
        <w:ind w:left="720"/>
      </w:pPr>
      <w:r>
        <w:t>Table 1.   Energy enclosed within a prescribed radius on the observation screen in the far field</w:t>
      </w:r>
      <w:r w:rsidR="00024011">
        <w:t xml:space="preserve"> for a uniformly illuminated circular aperture</w:t>
      </w:r>
      <w:r>
        <w:t>.</w:t>
      </w:r>
    </w:p>
    <w:tbl>
      <w:tblPr>
        <w:tblStyle w:val="TableGrid"/>
        <w:tblW w:w="0" w:type="auto"/>
        <w:tblInd w:w="1335" w:type="dxa"/>
        <w:tblLook w:val="04A0" w:firstRow="1" w:lastRow="0" w:firstColumn="1" w:lastColumn="0" w:noHBand="0" w:noVBand="1"/>
      </w:tblPr>
      <w:tblGrid>
        <w:gridCol w:w="1809"/>
        <w:gridCol w:w="2127"/>
      </w:tblGrid>
      <w:tr w:rsidR="003D32C1" w:rsidTr="003D32C1">
        <w:tc>
          <w:tcPr>
            <w:tcW w:w="1809" w:type="dxa"/>
          </w:tcPr>
          <w:p w:rsidR="003D32C1" w:rsidRPr="003D32C1" w:rsidRDefault="003D32C1" w:rsidP="003D32C1">
            <w:pPr>
              <w:rPr>
                <w:b/>
              </w:rPr>
            </w:pPr>
            <w:r w:rsidRPr="003D32C1">
              <w:rPr>
                <w:b/>
              </w:rPr>
              <w:t xml:space="preserve">Dark rings  </w:t>
            </w:r>
            <w:r w:rsidRPr="003D32C1">
              <w:rPr>
                <w:b/>
                <w:i/>
              </w:rPr>
              <w:t>v</w:t>
            </w:r>
            <w:r w:rsidRPr="003D32C1">
              <w:rPr>
                <w:b/>
                <w:i/>
                <w:vertAlign w:val="subscript"/>
              </w:rPr>
              <w:t>P</w:t>
            </w:r>
          </w:p>
        </w:tc>
        <w:tc>
          <w:tcPr>
            <w:tcW w:w="2127" w:type="dxa"/>
          </w:tcPr>
          <w:p w:rsidR="003D32C1" w:rsidRPr="003D32C1" w:rsidRDefault="003D32C1" w:rsidP="003D32C1">
            <w:pPr>
              <w:jc w:val="center"/>
              <w:rPr>
                <w:b/>
              </w:rPr>
            </w:pPr>
            <w:r w:rsidRPr="003D32C1">
              <w:rPr>
                <w:b/>
              </w:rPr>
              <w:t>Energy enclosed</w:t>
            </w:r>
          </w:p>
          <w:p w:rsidR="003D32C1" w:rsidRPr="003D32C1" w:rsidRDefault="003D32C1" w:rsidP="006D011A">
            <w:pPr>
              <w:jc w:val="center"/>
              <w:rPr>
                <w:b/>
              </w:rPr>
            </w:pPr>
            <w:r w:rsidRPr="003D32C1">
              <w:rPr>
                <w:b/>
              </w:rPr>
              <w:t>(</w:t>
            </w:r>
            <w:r w:rsidR="006D011A">
              <w:rPr>
                <w:b/>
              </w:rPr>
              <w:t>%</w:t>
            </w:r>
            <w:r w:rsidRPr="003D32C1">
              <w:rPr>
                <w:b/>
              </w:rPr>
              <w:t>)</w:t>
            </w:r>
          </w:p>
        </w:tc>
      </w:tr>
      <w:tr w:rsidR="003D32C1" w:rsidTr="003D32C1">
        <w:tc>
          <w:tcPr>
            <w:tcW w:w="1809" w:type="dxa"/>
          </w:tcPr>
          <w:p w:rsidR="003D32C1" w:rsidRDefault="003D32C1" w:rsidP="003D32C1">
            <w:pPr>
              <w:jc w:val="center"/>
            </w:pPr>
            <w:r>
              <w:t>3.87</w:t>
            </w:r>
          </w:p>
        </w:tc>
        <w:tc>
          <w:tcPr>
            <w:tcW w:w="2127" w:type="dxa"/>
          </w:tcPr>
          <w:p w:rsidR="003D32C1" w:rsidRDefault="003D32C1" w:rsidP="003D32C1">
            <w:pPr>
              <w:jc w:val="center"/>
            </w:pPr>
            <w:r>
              <w:t>84.9</w:t>
            </w:r>
          </w:p>
        </w:tc>
      </w:tr>
      <w:tr w:rsidR="003D32C1" w:rsidTr="003D32C1">
        <w:tc>
          <w:tcPr>
            <w:tcW w:w="1809" w:type="dxa"/>
          </w:tcPr>
          <w:p w:rsidR="003D32C1" w:rsidRDefault="003D32C1" w:rsidP="003D32C1">
            <w:pPr>
              <w:jc w:val="center"/>
            </w:pPr>
            <w:r>
              <w:t>7.02</w:t>
            </w:r>
          </w:p>
        </w:tc>
        <w:tc>
          <w:tcPr>
            <w:tcW w:w="2127" w:type="dxa"/>
          </w:tcPr>
          <w:p w:rsidR="003D32C1" w:rsidRDefault="003D32C1" w:rsidP="003D32C1">
            <w:pPr>
              <w:jc w:val="center"/>
            </w:pPr>
            <w:r>
              <w:t>92.2</w:t>
            </w:r>
          </w:p>
        </w:tc>
      </w:tr>
      <w:tr w:rsidR="003D32C1" w:rsidTr="003D32C1">
        <w:tc>
          <w:tcPr>
            <w:tcW w:w="1809" w:type="dxa"/>
          </w:tcPr>
          <w:p w:rsidR="003D32C1" w:rsidRDefault="003D32C1" w:rsidP="003D32C1">
            <w:pPr>
              <w:jc w:val="center"/>
            </w:pPr>
            <w:r>
              <w:t>10.2</w:t>
            </w:r>
          </w:p>
        </w:tc>
        <w:tc>
          <w:tcPr>
            <w:tcW w:w="2127" w:type="dxa"/>
          </w:tcPr>
          <w:p w:rsidR="003D32C1" w:rsidRDefault="003D32C1" w:rsidP="003D32C1">
            <w:pPr>
              <w:jc w:val="center"/>
            </w:pPr>
            <w:r>
              <w:t>95.0</w:t>
            </w:r>
          </w:p>
        </w:tc>
      </w:tr>
      <w:tr w:rsidR="003D32C1" w:rsidTr="003D32C1">
        <w:tc>
          <w:tcPr>
            <w:tcW w:w="1809" w:type="dxa"/>
          </w:tcPr>
          <w:p w:rsidR="003D32C1" w:rsidRDefault="003D32C1" w:rsidP="003D32C1">
            <w:pPr>
              <w:jc w:val="center"/>
            </w:pPr>
            <w:r>
              <w:t>13.3</w:t>
            </w:r>
          </w:p>
        </w:tc>
        <w:tc>
          <w:tcPr>
            <w:tcW w:w="2127" w:type="dxa"/>
          </w:tcPr>
          <w:p w:rsidR="003D32C1" w:rsidRDefault="003D32C1" w:rsidP="003D32C1">
            <w:pPr>
              <w:jc w:val="center"/>
            </w:pPr>
            <w:r>
              <w:t>96.5</w:t>
            </w:r>
          </w:p>
        </w:tc>
      </w:tr>
      <w:tr w:rsidR="003D32C1" w:rsidTr="003D32C1">
        <w:tc>
          <w:tcPr>
            <w:tcW w:w="1809" w:type="dxa"/>
          </w:tcPr>
          <w:p w:rsidR="003D32C1" w:rsidRDefault="003D32C1" w:rsidP="003D32C1">
            <w:pPr>
              <w:jc w:val="center"/>
            </w:pPr>
            <w:r>
              <w:t>16.5</w:t>
            </w:r>
          </w:p>
        </w:tc>
        <w:tc>
          <w:tcPr>
            <w:tcW w:w="2127" w:type="dxa"/>
          </w:tcPr>
          <w:p w:rsidR="003D32C1" w:rsidRDefault="003D32C1" w:rsidP="003D32C1">
            <w:pPr>
              <w:jc w:val="center"/>
            </w:pPr>
            <w:r>
              <w:t>97.4</w:t>
            </w:r>
          </w:p>
        </w:tc>
      </w:tr>
      <w:tr w:rsidR="003D32C1" w:rsidTr="003D32C1">
        <w:tc>
          <w:tcPr>
            <w:tcW w:w="1809" w:type="dxa"/>
          </w:tcPr>
          <w:p w:rsidR="003D32C1" w:rsidRDefault="003D32C1" w:rsidP="003D32C1">
            <w:pPr>
              <w:jc w:val="center"/>
            </w:pPr>
            <w:r>
              <w:t>19.6</w:t>
            </w:r>
          </w:p>
        </w:tc>
        <w:tc>
          <w:tcPr>
            <w:tcW w:w="2127" w:type="dxa"/>
          </w:tcPr>
          <w:p w:rsidR="003D32C1" w:rsidRDefault="003D32C1" w:rsidP="003D32C1">
            <w:pPr>
              <w:jc w:val="center"/>
            </w:pPr>
            <w:r>
              <w:t>98.0</w:t>
            </w:r>
          </w:p>
        </w:tc>
      </w:tr>
      <w:tr w:rsidR="003D32C1" w:rsidTr="003D32C1">
        <w:tc>
          <w:tcPr>
            <w:tcW w:w="1809" w:type="dxa"/>
          </w:tcPr>
          <w:p w:rsidR="003D32C1" w:rsidRDefault="003D32C1" w:rsidP="003D32C1">
            <w:pPr>
              <w:jc w:val="center"/>
            </w:pPr>
            <w:r>
              <w:t>22.8</w:t>
            </w:r>
          </w:p>
        </w:tc>
        <w:tc>
          <w:tcPr>
            <w:tcW w:w="2127" w:type="dxa"/>
          </w:tcPr>
          <w:p w:rsidR="003D32C1" w:rsidRDefault="003D32C1" w:rsidP="003D32C1">
            <w:pPr>
              <w:jc w:val="center"/>
            </w:pPr>
            <w:r>
              <w:t>98.5</w:t>
            </w:r>
          </w:p>
        </w:tc>
      </w:tr>
      <w:tr w:rsidR="003D32C1" w:rsidTr="003D32C1">
        <w:tc>
          <w:tcPr>
            <w:tcW w:w="1809" w:type="dxa"/>
          </w:tcPr>
          <w:p w:rsidR="003D32C1" w:rsidRDefault="003D32C1" w:rsidP="003D32C1">
            <w:pPr>
              <w:jc w:val="center"/>
            </w:pPr>
            <w:r>
              <w:t>25.9</w:t>
            </w:r>
          </w:p>
        </w:tc>
        <w:tc>
          <w:tcPr>
            <w:tcW w:w="2127" w:type="dxa"/>
          </w:tcPr>
          <w:p w:rsidR="003D32C1" w:rsidRDefault="003D32C1" w:rsidP="003D32C1">
            <w:pPr>
              <w:jc w:val="center"/>
            </w:pPr>
            <w:r>
              <w:t>98.8</w:t>
            </w:r>
          </w:p>
        </w:tc>
      </w:tr>
      <w:tr w:rsidR="003D32C1" w:rsidTr="003D32C1">
        <w:tc>
          <w:tcPr>
            <w:tcW w:w="1809" w:type="dxa"/>
          </w:tcPr>
          <w:p w:rsidR="003D32C1" w:rsidRDefault="003D32C1" w:rsidP="003D32C1">
            <w:pPr>
              <w:jc w:val="center"/>
            </w:pPr>
            <w:r>
              <w:t>29.1</w:t>
            </w:r>
          </w:p>
        </w:tc>
        <w:tc>
          <w:tcPr>
            <w:tcW w:w="2127" w:type="dxa"/>
          </w:tcPr>
          <w:p w:rsidR="003D32C1" w:rsidRDefault="003D32C1" w:rsidP="003D32C1">
            <w:pPr>
              <w:jc w:val="center"/>
            </w:pPr>
            <w:r>
              <w:t>99.1</w:t>
            </w:r>
          </w:p>
        </w:tc>
      </w:tr>
      <w:tr w:rsidR="003D32C1" w:rsidTr="003D32C1">
        <w:tc>
          <w:tcPr>
            <w:tcW w:w="1809" w:type="dxa"/>
          </w:tcPr>
          <w:p w:rsidR="003D32C1" w:rsidRDefault="003D32C1" w:rsidP="003D32C1">
            <w:pPr>
              <w:jc w:val="center"/>
            </w:pPr>
            <w:r>
              <w:t>32.3</w:t>
            </w:r>
          </w:p>
        </w:tc>
        <w:tc>
          <w:tcPr>
            <w:tcW w:w="2127" w:type="dxa"/>
          </w:tcPr>
          <w:p w:rsidR="003D32C1" w:rsidRDefault="003D32C1" w:rsidP="003D32C1">
            <w:pPr>
              <w:jc w:val="center"/>
            </w:pPr>
            <w:r>
              <w:t>99.3</w:t>
            </w:r>
          </w:p>
        </w:tc>
      </w:tr>
      <w:tr w:rsidR="003D32C1" w:rsidTr="003D32C1">
        <w:tc>
          <w:tcPr>
            <w:tcW w:w="1809" w:type="dxa"/>
          </w:tcPr>
          <w:p w:rsidR="003D32C1" w:rsidRDefault="003D32C1" w:rsidP="003D32C1">
            <w:pPr>
              <w:jc w:val="center"/>
            </w:pPr>
            <w:r>
              <w:t>35.4</w:t>
            </w:r>
          </w:p>
        </w:tc>
        <w:tc>
          <w:tcPr>
            <w:tcW w:w="2127" w:type="dxa"/>
          </w:tcPr>
          <w:p w:rsidR="003D32C1" w:rsidRDefault="003D32C1" w:rsidP="003D32C1">
            <w:pPr>
              <w:jc w:val="center"/>
            </w:pPr>
            <w:r>
              <w:t>99.5</w:t>
            </w:r>
          </w:p>
        </w:tc>
      </w:tr>
      <w:tr w:rsidR="003D32C1" w:rsidTr="003D32C1">
        <w:tc>
          <w:tcPr>
            <w:tcW w:w="1809" w:type="dxa"/>
          </w:tcPr>
          <w:p w:rsidR="003D32C1" w:rsidRDefault="003D32C1" w:rsidP="003D32C1">
            <w:pPr>
              <w:jc w:val="center"/>
            </w:pPr>
            <w:r>
              <w:t>38.4</w:t>
            </w:r>
          </w:p>
        </w:tc>
        <w:tc>
          <w:tcPr>
            <w:tcW w:w="2127" w:type="dxa"/>
          </w:tcPr>
          <w:p w:rsidR="003D32C1" w:rsidRDefault="003D32C1" w:rsidP="003D32C1">
            <w:pPr>
              <w:jc w:val="center"/>
            </w:pPr>
            <w:r>
              <w:t>99.6</w:t>
            </w:r>
          </w:p>
        </w:tc>
      </w:tr>
      <w:tr w:rsidR="003D32C1" w:rsidTr="003D32C1">
        <w:tc>
          <w:tcPr>
            <w:tcW w:w="1809" w:type="dxa"/>
          </w:tcPr>
          <w:p w:rsidR="003D32C1" w:rsidRDefault="003D32C1" w:rsidP="003D32C1">
            <w:pPr>
              <w:jc w:val="center"/>
            </w:pPr>
            <w:r>
              <w:t>41.6</w:t>
            </w:r>
          </w:p>
        </w:tc>
        <w:tc>
          <w:tcPr>
            <w:tcW w:w="2127" w:type="dxa"/>
          </w:tcPr>
          <w:p w:rsidR="003D32C1" w:rsidRDefault="003D32C1" w:rsidP="003D32C1">
            <w:pPr>
              <w:jc w:val="center"/>
            </w:pPr>
            <w:r>
              <w:t>99.8</w:t>
            </w:r>
          </w:p>
        </w:tc>
      </w:tr>
      <w:tr w:rsidR="003D32C1" w:rsidTr="003D32C1">
        <w:tc>
          <w:tcPr>
            <w:tcW w:w="1809" w:type="dxa"/>
          </w:tcPr>
          <w:p w:rsidR="003D32C1" w:rsidRDefault="003D32C1" w:rsidP="003D32C1">
            <w:pPr>
              <w:jc w:val="center"/>
            </w:pPr>
            <w:r>
              <w:t>44.7</w:t>
            </w:r>
          </w:p>
        </w:tc>
        <w:tc>
          <w:tcPr>
            <w:tcW w:w="2127" w:type="dxa"/>
          </w:tcPr>
          <w:p w:rsidR="003D32C1" w:rsidRDefault="003D32C1" w:rsidP="003D32C1">
            <w:pPr>
              <w:jc w:val="center"/>
            </w:pPr>
            <w:r>
              <w:t>99.8</w:t>
            </w:r>
          </w:p>
        </w:tc>
      </w:tr>
      <w:tr w:rsidR="003D32C1" w:rsidTr="003D32C1">
        <w:tc>
          <w:tcPr>
            <w:tcW w:w="1809" w:type="dxa"/>
          </w:tcPr>
          <w:p w:rsidR="003D32C1" w:rsidRDefault="003D32C1" w:rsidP="003D32C1">
            <w:pPr>
              <w:jc w:val="center"/>
            </w:pPr>
            <w:r>
              <w:t>47.9</w:t>
            </w:r>
          </w:p>
        </w:tc>
        <w:tc>
          <w:tcPr>
            <w:tcW w:w="2127" w:type="dxa"/>
          </w:tcPr>
          <w:p w:rsidR="003D32C1" w:rsidRDefault="003D32C1" w:rsidP="003D32C1">
            <w:pPr>
              <w:jc w:val="center"/>
            </w:pPr>
            <w:r>
              <w:t>99.9</w:t>
            </w:r>
          </w:p>
        </w:tc>
      </w:tr>
    </w:tbl>
    <w:p w:rsidR="00535D6D" w:rsidRDefault="003D32C1" w:rsidP="00024011">
      <w:pPr>
        <w:jc w:val="center"/>
      </w:pPr>
      <w:r>
        <w:rPr>
          <w:noProof/>
          <w:lang w:eastAsia="zh-CN"/>
        </w:rPr>
        <w:drawing>
          <wp:inline distT="0" distB="0" distL="0" distR="0" wp14:anchorId="29E71A26" wp14:editId="21E2E958">
            <wp:extent cx="5278120" cy="3298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8120" cy="3298825"/>
                    </a:xfrm>
                    <a:prstGeom prst="rect">
                      <a:avLst/>
                    </a:prstGeom>
                  </pic:spPr>
                </pic:pic>
              </a:graphicData>
            </a:graphic>
          </wp:inline>
        </w:drawing>
      </w:r>
    </w:p>
    <w:p w:rsidR="00535D6D" w:rsidRDefault="003D32C1" w:rsidP="00024011">
      <w:pPr>
        <w:tabs>
          <w:tab w:val="left" w:pos="567"/>
        </w:tabs>
        <w:ind w:left="567" w:right="657"/>
      </w:pPr>
      <w:r>
        <w:t xml:space="preserve">Fig. </w:t>
      </w:r>
      <w:r w:rsidR="006D011A">
        <w:t>4</w:t>
      </w:r>
      <w:r w:rsidR="00024011">
        <w:t xml:space="preserve">.   </w:t>
      </w:r>
      <w:r>
        <w:t>Energy enclosed with a ring</w:t>
      </w:r>
      <w:r w:rsidR="00024011">
        <w:t>s</w:t>
      </w:r>
      <w:r>
        <w:t xml:space="preserve"> of </w:t>
      </w:r>
      <w:r w:rsidR="00024011">
        <w:t xml:space="preserve">increasing </w:t>
      </w:r>
      <w:r>
        <w:t xml:space="preserve">radius on the observation screen in the far field for a uniformly illuminated circular aperture. </w:t>
      </w:r>
    </w:p>
    <w:p w:rsidR="009F4215" w:rsidRDefault="009F4215" w:rsidP="00535D6D">
      <w:bookmarkStart w:id="0" w:name="_GoBack"/>
      <w:bookmarkEnd w:id="0"/>
    </w:p>
    <w:sectPr w:rsidR="009F4215" w:rsidSect="00A17DEF">
      <w:footerReference w:type="even" r:id="rId29"/>
      <w:footerReference w:type="default" r:id="rId30"/>
      <w:pgSz w:w="11906" w:h="16838" w:code="9"/>
      <w:pgMar w:top="1134" w:right="1797" w:bottom="1134" w:left="1797" w:header="709" w:footer="709" w:gutter="0"/>
      <w:pgBorders w:offsetFrom="page">
        <w:top w:val="single" w:sz="2" w:space="24" w:color="FFFFFF"/>
        <w:left w:val="single" w:sz="2" w:space="24" w:color="FFFFFF"/>
        <w:bottom w:val="single" w:sz="2" w:space="24" w:color="FFFFFF"/>
        <w:right w:val="single" w:sz="2" w:space="24" w:color="FFFFF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F75" w:rsidRDefault="00386F75">
      <w:r>
        <w:separator/>
      </w:r>
    </w:p>
  </w:endnote>
  <w:endnote w:type="continuationSeparator" w:id="0">
    <w:p w:rsidR="00386F75" w:rsidRDefault="00386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11A" w:rsidRDefault="006D01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D011A" w:rsidRDefault="006D011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11A" w:rsidRDefault="006D01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86F75">
      <w:rPr>
        <w:rStyle w:val="PageNumber"/>
        <w:noProof/>
      </w:rPr>
      <w:t>1</w:t>
    </w:r>
    <w:r>
      <w:rPr>
        <w:rStyle w:val="PageNumber"/>
      </w:rPr>
      <w:fldChar w:fldCharType="end"/>
    </w:r>
  </w:p>
  <w:p w:rsidR="006D011A" w:rsidRPr="00E87932" w:rsidRDefault="006D011A">
    <w:pPr>
      <w:pStyle w:val="Footer"/>
      <w:ind w:right="360"/>
      <w:rPr>
        <w:sz w:val="20"/>
        <w:szCs w:val="20"/>
      </w:rPr>
    </w:pPr>
    <w:r w:rsidRPr="00E87932">
      <w:rPr>
        <w:sz w:val="20"/>
        <w:szCs w:val="20"/>
      </w:rPr>
      <w:t>Doing Physics with Matlab</w:t>
    </w:r>
    <w:r>
      <w:rPr>
        <w:sz w:val="20"/>
        <w:szCs w:val="20"/>
      </w:rPr>
      <w:t xml:space="preserve">     op_diffraction_01.docx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F75" w:rsidRDefault="00386F75">
      <w:r>
        <w:separator/>
      </w:r>
    </w:p>
  </w:footnote>
  <w:footnote w:type="continuationSeparator" w:id="0">
    <w:p w:rsidR="00386F75" w:rsidRDefault="00386F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A08A0"/>
    <w:multiLevelType w:val="hybridMultilevel"/>
    <w:tmpl w:val="27C89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7D34A63"/>
    <w:multiLevelType w:val="hybridMultilevel"/>
    <w:tmpl w:val="F3BAB2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FF73A06"/>
    <w:multiLevelType w:val="hybridMultilevel"/>
    <w:tmpl w:val="11F40A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3ED"/>
    <w:rsid w:val="000029EE"/>
    <w:rsid w:val="00024011"/>
    <w:rsid w:val="00031C7B"/>
    <w:rsid w:val="0003399B"/>
    <w:rsid w:val="000712D9"/>
    <w:rsid w:val="00084845"/>
    <w:rsid w:val="000A049E"/>
    <w:rsid w:val="000B354A"/>
    <w:rsid w:val="000B3A48"/>
    <w:rsid w:val="000C4994"/>
    <w:rsid w:val="000F50F4"/>
    <w:rsid w:val="00105984"/>
    <w:rsid w:val="00132D0A"/>
    <w:rsid w:val="001B57E0"/>
    <w:rsid w:val="001C6A75"/>
    <w:rsid w:val="001D611E"/>
    <w:rsid w:val="00210E88"/>
    <w:rsid w:val="002122C7"/>
    <w:rsid w:val="00253154"/>
    <w:rsid w:val="00257F01"/>
    <w:rsid w:val="0026200E"/>
    <w:rsid w:val="002716BE"/>
    <w:rsid w:val="00281D1D"/>
    <w:rsid w:val="002C5714"/>
    <w:rsid w:val="002D6B2A"/>
    <w:rsid w:val="002F2A9B"/>
    <w:rsid w:val="003260FA"/>
    <w:rsid w:val="0035357F"/>
    <w:rsid w:val="003602B2"/>
    <w:rsid w:val="00386F75"/>
    <w:rsid w:val="00397ED3"/>
    <w:rsid w:val="003B1197"/>
    <w:rsid w:val="003B23BE"/>
    <w:rsid w:val="003C57C2"/>
    <w:rsid w:val="003D32C1"/>
    <w:rsid w:val="003D33F9"/>
    <w:rsid w:val="004137CB"/>
    <w:rsid w:val="00427E3D"/>
    <w:rsid w:val="00490F1C"/>
    <w:rsid w:val="004E0A4C"/>
    <w:rsid w:val="004F6EC7"/>
    <w:rsid w:val="005041F8"/>
    <w:rsid w:val="005322DE"/>
    <w:rsid w:val="00535D6D"/>
    <w:rsid w:val="00551849"/>
    <w:rsid w:val="00556BC2"/>
    <w:rsid w:val="005A64EE"/>
    <w:rsid w:val="005A7984"/>
    <w:rsid w:val="005B3D48"/>
    <w:rsid w:val="00647852"/>
    <w:rsid w:val="0066001A"/>
    <w:rsid w:val="0067419B"/>
    <w:rsid w:val="006A183C"/>
    <w:rsid w:val="006C63ED"/>
    <w:rsid w:val="006D011A"/>
    <w:rsid w:val="006E2425"/>
    <w:rsid w:val="006E2676"/>
    <w:rsid w:val="00754EEB"/>
    <w:rsid w:val="007B1D38"/>
    <w:rsid w:val="007C7DCC"/>
    <w:rsid w:val="007D2654"/>
    <w:rsid w:val="007F2ED1"/>
    <w:rsid w:val="008054EE"/>
    <w:rsid w:val="00812C5A"/>
    <w:rsid w:val="008520AB"/>
    <w:rsid w:val="008865A3"/>
    <w:rsid w:val="008932B9"/>
    <w:rsid w:val="008B4C53"/>
    <w:rsid w:val="008B7066"/>
    <w:rsid w:val="008F3013"/>
    <w:rsid w:val="008F7487"/>
    <w:rsid w:val="00923D0B"/>
    <w:rsid w:val="00926D3F"/>
    <w:rsid w:val="00942440"/>
    <w:rsid w:val="00942D43"/>
    <w:rsid w:val="0096139D"/>
    <w:rsid w:val="0099026D"/>
    <w:rsid w:val="00996DAB"/>
    <w:rsid w:val="009A7A8A"/>
    <w:rsid w:val="009C3367"/>
    <w:rsid w:val="009D5C4A"/>
    <w:rsid w:val="009F4215"/>
    <w:rsid w:val="00A17DEF"/>
    <w:rsid w:val="00A241AB"/>
    <w:rsid w:val="00A65E2C"/>
    <w:rsid w:val="00A73EB5"/>
    <w:rsid w:val="00AB59A5"/>
    <w:rsid w:val="00AE0A1C"/>
    <w:rsid w:val="00AE4E94"/>
    <w:rsid w:val="00AE6EB5"/>
    <w:rsid w:val="00AF583D"/>
    <w:rsid w:val="00B0567C"/>
    <w:rsid w:val="00B15D9C"/>
    <w:rsid w:val="00B35550"/>
    <w:rsid w:val="00B74177"/>
    <w:rsid w:val="00BC7D15"/>
    <w:rsid w:val="00BE543C"/>
    <w:rsid w:val="00C51855"/>
    <w:rsid w:val="00C54873"/>
    <w:rsid w:val="00C84CA1"/>
    <w:rsid w:val="00C869BE"/>
    <w:rsid w:val="00C915DA"/>
    <w:rsid w:val="00CA1F85"/>
    <w:rsid w:val="00CE1663"/>
    <w:rsid w:val="00D275B5"/>
    <w:rsid w:val="00D36073"/>
    <w:rsid w:val="00D43D40"/>
    <w:rsid w:val="00D5169B"/>
    <w:rsid w:val="00D872C4"/>
    <w:rsid w:val="00DB0B81"/>
    <w:rsid w:val="00DC5D00"/>
    <w:rsid w:val="00DE01A7"/>
    <w:rsid w:val="00DF10ED"/>
    <w:rsid w:val="00DF206C"/>
    <w:rsid w:val="00E10A70"/>
    <w:rsid w:val="00E4608D"/>
    <w:rsid w:val="00E64F8A"/>
    <w:rsid w:val="00E6734B"/>
    <w:rsid w:val="00E87932"/>
    <w:rsid w:val="00EA50D4"/>
    <w:rsid w:val="00EB06FE"/>
    <w:rsid w:val="00EB15B1"/>
    <w:rsid w:val="00EE4F4B"/>
    <w:rsid w:val="00EE573F"/>
    <w:rsid w:val="00EE66A8"/>
    <w:rsid w:val="00F46911"/>
    <w:rsid w:val="00F649AA"/>
    <w:rsid w:val="00F67884"/>
    <w:rsid w:val="00F73E47"/>
    <w:rsid w:val="00FD7DC6"/>
    <w:rsid w:val="00FF7C3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9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image" Target="media/image4.wmf"/><Relationship Id="rId26" Type="http://schemas.openxmlformats.org/officeDocument/2006/relationships/image" Target="media/image9.wmf"/><Relationship Id="rId3" Type="http://schemas.openxmlformats.org/officeDocument/2006/relationships/styles" Target="styles.xml"/><Relationship Id="rId21" Type="http://schemas.openxmlformats.org/officeDocument/2006/relationships/image" Target="media/image6.wmf"/><Relationship Id="rId7" Type="http://schemas.openxmlformats.org/officeDocument/2006/relationships/footnotes" Target="footnotes.xml"/><Relationship Id="rId12" Type="http://schemas.openxmlformats.org/officeDocument/2006/relationships/hyperlink" Target="http://www.physics.usyd.edu.au/teach_res/mp/op/doc/op_diffraction_integrals_theory.pdf" TargetMode="External"/><Relationship Id="rId17" Type="http://schemas.openxmlformats.org/officeDocument/2006/relationships/oleObject" Target="embeddings/oleObject2.bin"/><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hysics.usyd.edu.au/teach_res/mp/mscripts"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physics.usyd.edu.au/teach_res/mp/doc/math_integration_2D.pdf" TargetMode="External"/><Relationship Id="rId23" Type="http://schemas.openxmlformats.org/officeDocument/2006/relationships/hyperlink" Target="http://www.physics.usyd.edu.au/teach_res/mp/op/doc/op_diffraction_01.pdf" TargetMode="External"/><Relationship Id="rId28" Type="http://schemas.openxmlformats.org/officeDocument/2006/relationships/image" Target="media/image10.png"/><Relationship Id="rId10" Type="http://schemas.openxmlformats.org/officeDocument/2006/relationships/hyperlink" Target="http://www.physics.usyd.edu.au/teach_res/mp/mphome.htm" TargetMode="External"/><Relationship Id="rId19" Type="http://schemas.openxmlformats.org/officeDocument/2006/relationships/oleObject" Target="embeddings/oleObject3.bin"/><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1.bin"/><Relationship Id="rId22" Type="http://schemas.openxmlformats.org/officeDocument/2006/relationships/oleObject" Target="embeddings/oleObject4.bin"/><Relationship Id="rId27" Type="http://schemas.openxmlformats.org/officeDocument/2006/relationships/oleObject" Target="embeddings/oleObject5.bin"/><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EB34E-6AED-4749-A3B8-0CB851CB9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1092</TotalTime>
  <Pages>1</Pages>
  <Words>734</Words>
  <Characters>4190</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Numerical Integration</vt:lpstr>
      <vt:lpstr/>
      <vt:lpstr/>
      <vt:lpstr/>
      <vt:lpstr>RAYLEIGH-SOMMERFELD DIFFRACTION INTEGRAL:   CIRCULAR TYPE APERTURES</vt:lpstr>
      <vt:lpstr/>
      <vt:lpstr/>
    </vt:vector>
  </TitlesOfParts>
  <Company>university of sydney</Company>
  <LinksUpToDate>false</LinksUpToDate>
  <CharactersWithSpaces>4915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Integration</dc:title>
  <dc:subject>Matlab, Computational Physics</dc:subject>
  <dc:creator>Ian Cooper</dc:creator>
  <cp:keywords>double integrals, surface integrals, computational physics, integration, Simpson's rule, Matlab, definite integral</cp:keywords>
  <cp:lastModifiedBy>Admin</cp:lastModifiedBy>
  <cp:revision>11</cp:revision>
  <cp:lastPrinted>2014-08-30T05:51:00Z</cp:lastPrinted>
  <dcterms:created xsi:type="dcterms:W3CDTF">2014-08-31T20:24:00Z</dcterms:created>
  <dcterms:modified xsi:type="dcterms:W3CDTF">2014-10-08T08:56:00Z</dcterms:modified>
  <cp:category>Computational Physics, double integrals</cp:category>
</cp:coreProperties>
</file>