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BE615B" w:rsidP="005041F8">
      <w:pPr>
        <w:spacing w:line="360" w:lineRule="auto"/>
        <w:ind w:left="284"/>
        <w:rPr>
          <w:rFonts w:ascii="Bookman Old Style" w:hAnsi="Bookman Old Style"/>
          <w:b/>
          <w:bCs/>
          <w:color w:val="0000FF"/>
          <w:sz w:val="32"/>
          <w:szCs w:val="32"/>
        </w:rPr>
      </w:pPr>
      <w:r w:rsidRPr="006E62EA">
        <w:rPr>
          <w:noProof/>
          <w:lang w:eastAsia="zh-CN"/>
        </w:rPr>
        <w:drawing>
          <wp:anchor distT="0" distB="0" distL="114300" distR="114300" simplePos="0" relativeHeight="251665920" behindDoc="0" locked="0" layoutInCell="1" allowOverlap="1" wp14:anchorId="2159410F" wp14:editId="7821AAD2">
            <wp:simplePos x="0" y="0"/>
            <wp:positionH relativeFrom="column">
              <wp:posOffset>141605</wp:posOffset>
            </wp:positionH>
            <wp:positionV relativeFrom="paragraph">
              <wp:posOffset>-34925</wp:posOffset>
            </wp:positionV>
            <wp:extent cx="1484630" cy="111252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2125" t="13626" r="8921" b="12702"/>
                    <a:stretch/>
                  </pic:blipFill>
                  <pic:spPr bwMode="auto">
                    <a:xfrm>
                      <a:off x="0" y="0"/>
                      <a:ext cx="1484630" cy="1112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DE7C1E"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 xml:space="preserve">RAYLEIGH-SOMMERFELD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6E62EA" w:rsidP="00DE7C1E">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TRIANGULAR </w:t>
      </w:r>
      <w:r w:rsidR="000A049E" w:rsidRPr="009F4215">
        <w:rPr>
          <w:rFonts w:ascii="Bookman Old Style" w:hAnsi="Bookman Old Style"/>
          <w:color w:val="E36C0A" w:themeColor="accent6" w:themeShade="BF"/>
          <w:sz w:val="32"/>
          <w:szCs w:val="32"/>
        </w:rPr>
        <w:t>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4F1585"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6E62EA">
        <w:rPr>
          <w:rFonts w:asciiTheme="minorHAnsi" w:hAnsiTheme="minorHAnsi"/>
          <w:b/>
          <w:color w:val="984806" w:themeColor="accent6" w:themeShade="80"/>
          <w:sz w:val="28"/>
          <w:szCs w:val="28"/>
          <w:lang w:eastAsia="zh-CN"/>
        </w:rPr>
        <w:t>triangle</w:t>
      </w:r>
      <w:r w:rsidRPr="002716BE">
        <w:rPr>
          <w:rFonts w:asciiTheme="minorHAnsi" w:hAnsiTheme="minorHAnsi"/>
          <w:b/>
          <w:color w:val="984806" w:themeColor="accent6" w:themeShade="80"/>
          <w:sz w:val="28"/>
          <w:szCs w:val="28"/>
          <w:lang w:eastAsia="zh-CN"/>
        </w:rPr>
        <w:t>.m</w:t>
      </w:r>
    </w:p>
    <w:p w:rsidR="0096139D"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w:t>
      </w:r>
      <w:r w:rsidR="006E62EA">
        <w:rPr>
          <w:lang w:eastAsia="zh-CN"/>
        </w:rPr>
        <w:t xml:space="preserve">triangular </w:t>
      </w:r>
      <w:r>
        <w:rPr>
          <w:lang w:eastAsia="zh-CN"/>
        </w:rPr>
        <w:t>aperture</w:t>
      </w:r>
      <w:r w:rsidR="00EB06FE">
        <w:rPr>
          <w:lang w:eastAsia="zh-CN"/>
        </w:rPr>
        <w:t>s</w:t>
      </w:r>
      <w:r>
        <w:rPr>
          <w:lang w:eastAsia="zh-CN"/>
        </w:rPr>
        <w:t xml:space="preserve">. </w:t>
      </w:r>
      <w:r w:rsidR="006E62EA">
        <w:rPr>
          <w:lang w:eastAsia="zh-CN"/>
        </w:rPr>
        <w:t>Uses a Cartesian coordinate system for the partitioning of the aperture space.</w:t>
      </w:r>
      <w:r w:rsidR="003E4435">
        <w:rPr>
          <w:lang w:eastAsia="zh-CN"/>
        </w:rPr>
        <w:t xml:space="preserve"> It uses Method </w:t>
      </w:r>
      <w:r w:rsidR="006E62EA">
        <w:rPr>
          <w:lang w:eastAsia="zh-CN"/>
        </w:rPr>
        <w:t>2</w:t>
      </w:r>
      <w:r w:rsidR="003E4435">
        <w:rPr>
          <w:lang w:eastAsia="zh-CN"/>
        </w:rPr>
        <w:t xml:space="preserve"> – </w:t>
      </w:r>
      <w:r w:rsidR="006E62EA">
        <w:rPr>
          <w:lang w:eastAsia="zh-CN"/>
        </w:rPr>
        <w:t>two</w:t>
      </w:r>
      <w:r w:rsidR="003E4435">
        <w:rPr>
          <w:lang w:eastAsia="zh-CN"/>
        </w:rPr>
        <w:t>-dimensional form of Simpson’s rule for the integration of the diffraction integral. Function calls to:</w:t>
      </w:r>
    </w:p>
    <w:p w:rsidR="003E4435" w:rsidRDefault="003E4435" w:rsidP="003E4435">
      <w:pPr>
        <w:spacing w:line="276" w:lineRule="auto"/>
        <w:rPr>
          <w:lang w:eastAsia="zh-CN"/>
        </w:rPr>
      </w:pP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w:t>
      </w:r>
      <w:r w:rsidR="006E62EA">
        <w:rPr>
          <w:rFonts w:asciiTheme="minorHAnsi" w:hAnsiTheme="minorHAnsi"/>
          <w:b/>
          <w:color w:val="984806" w:themeColor="accent6" w:themeShade="80"/>
          <w:lang w:eastAsia="zh-CN"/>
        </w:rPr>
        <w:t>2</w:t>
      </w:r>
      <w:r w:rsidRPr="003E4435">
        <w:rPr>
          <w:rFonts w:asciiTheme="minorHAnsi" w:hAnsiTheme="minorHAnsi"/>
          <w:b/>
          <w:color w:val="984806" w:themeColor="accent6" w:themeShade="80"/>
          <w:lang w:eastAsia="zh-CN"/>
        </w:rPr>
        <w:t>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Pr="003E4435" w:rsidRDefault="003E4435" w:rsidP="003E4435">
      <w:pPr>
        <w:spacing w:line="276" w:lineRule="auto"/>
        <w:ind w:firstLine="720"/>
        <w:rPr>
          <w:lang w:eastAsia="zh-CN"/>
        </w:rPr>
      </w:pPr>
      <w:r w:rsidRPr="003E4435">
        <w:rPr>
          <w:rFonts w:asciiTheme="minorHAnsi" w:hAnsiTheme="minorHAnsi"/>
          <w:b/>
          <w:color w:val="984806" w:themeColor="accent6" w:themeShade="80"/>
          <w:lang w:eastAsia="zh-CN"/>
        </w:rPr>
        <w:t>fn_distancePQ.m</w:t>
      </w:r>
      <w:r w:rsidRPr="003E4435">
        <w:rPr>
          <w:color w:val="984806" w:themeColor="accent6" w:themeShade="80"/>
          <w:lang w:eastAsia="zh-CN"/>
        </w:rPr>
        <w:t xml:space="preserve">    </w:t>
      </w:r>
      <w:r>
        <w:rPr>
          <w:lang w:eastAsia="zh-CN"/>
        </w:rPr>
        <w:t>(calculates the distance between points P and Q)</w:t>
      </w:r>
    </w:p>
    <w:p w:rsidR="003E4435" w:rsidRDefault="003E4435" w:rsidP="003E4435">
      <w:pPr>
        <w:spacing w:line="276" w:lineRule="auto"/>
        <w:rPr>
          <w:lang w:eastAsia="zh-CN"/>
        </w:rPr>
      </w:pPr>
      <w:r>
        <w:rPr>
          <w:lang w:eastAsia="zh-CN"/>
        </w:rPr>
        <w:tab/>
      </w:r>
    </w:p>
    <w:p w:rsidR="00647852" w:rsidRDefault="00647852" w:rsidP="003E4435">
      <w:pPr>
        <w:spacing w:line="276" w:lineRule="auto"/>
        <w:rPr>
          <w:lang w:eastAsia="zh-CN"/>
        </w:rPr>
      </w:pPr>
    </w:p>
    <w:p w:rsidR="00647852" w:rsidRDefault="00647852" w:rsidP="00647852">
      <w:pPr>
        <w:spacing w:line="276" w:lineRule="auto"/>
        <w:rPr>
          <w:lang w:eastAsia="zh-CN"/>
        </w:rPr>
      </w:pPr>
    </w:p>
    <w:p w:rsidR="00DE7C1E" w:rsidRPr="0051178E" w:rsidRDefault="00DE7C1E" w:rsidP="00647852">
      <w:pPr>
        <w:spacing w:line="276" w:lineRule="auto"/>
        <w:rPr>
          <w:rFonts w:ascii="Bookman Old Style" w:hAnsi="Bookman Old Style"/>
          <w:b/>
          <w:color w:val="0000FF"/>
          <w:lang w:eastAsia="zh-CN"/>
        </w:rPr>
      </w:pPr>
      <w:r w:rsidRPr="0051178E">
        <w:rPr>
          <w:rFonts w:ascii="Bookman Old Style" w:hAnsi="Bookman Old Style"/>
          <w:b/>
          <w:color w:val="0000FF"/>
          <w:lang w:eastAsia="zh-CN"/>
        </w:rPr>
        <w:t>Background documents</w:t>
      </w:r>
    </w:p>
    <w:p w:rsidR="00DE7C1E" w:rsidRDefault="00DE7C1E" w:rsidP="00647852">
      <w:pPr>
        <w:spacing w:line="276" w:lineRule="auto"/>
        <w:rPr>
          <w:lang w:eastAsia="zh-CN"/>
        </w:rPr>
      </w:pPr>
    </w:p>
    <w:p w:rsidR="00DE7C1E" w:rsidRDefault="00DE7C1E" w:rsidP="00DE7C1E">
      <w:pPr>
        <w:spacing w:line="276" w:lineRule="auto"/>
      </w:pPr>
      <w:r>
        <w:rPr>
          <w:noProof/>
          <w:lang w:eastAsia="zh-CN"/>
        </w:rPr>
        <w:drawing>
          <wp:inline distT="0" distB="0" distL="0" distR="0" wp14:anchorId="70110453" wp14:editId="57DFD73E">
            <wp:extent cx="365760" cy="266700"/>
            <wp:effectExtent l="0" t="0" r="0" b="0"/>
            <wp:docPr id="1" name="Picture 1" descr="C:\Users\Admin\Desktop\ap\images\hsp\Image2.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w:t>
      </w:r>
      <w:r w:rsidRPr="00E42ED2">
        <w:t>Scalar Diffraction theory: Diffraction Integrals</w:t>
      </w:r>
    </w:p>
    <w:p w:rsidR="0051178E" w:rsidRDefault="0051178E" w:rsidP="0051178E">
      <w:pPr>
        <w:spacing w:line="276" w:lineRule="auto"/>
      </w:pPr>
    </w:p>
    <w:p w:rsidR="0051178E" w:rsidRDefault="0051178E" w:rsidP="0051178E">
      <w:pPr>
        <w:spacing w:line="276" w:lineRule="auto"/>
      </w:pPr>
      <w:r>
        <w:rPr>
          <w:noProof/>
          <w:lang w:eastAsia="zh-CN"/>
        </w:rPr>
        <w:drawing>
          <wp:inline distT="0" distB="0" distL="0" distR="0" wp14:anchorId="6D953DB7" wp14:editId="116D989C">
            <wp:extent cx="365760" cy="266700"/>
            <wp:effectExtent l="0" t="0" r="0" b="0"/>
            <wp:docPr id="2" name="Picture 2"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51178E" w:rsidRDefault="0051178E" w:rsidP="0051178E">
      <w:pPr>
        <w:spacing w:line="276" w:lineRule="auto"/>
      </w:pPr>
      <w:r>
        <w:t xml:space="preserve">               Integral of the </w:t>
      </w:r>
      <w:r w:rsidR="003E4435">
        <w:t>F</w:t>
      </w:r>
      <w:r>
        <w:t>irst Kind</w:t>
      </w:r>
    </w:p>
    <w:p w:rsidR="0051178E" w:rsidRDefault="0051178E" w:rsidP="0051178E">
      <w:pPr>
        <w:spacing w:line="276" w:lineRule="auto"/>
      </w:pPr>
    </w:p>
    <w:p w:rsidR="00942D43" w:rsidRDefault="00942D43" w:rsidP="00647852">
      <w:pPr>
        <w:spacing w:line="276" w:lineRule="auto"/>
        <w:rPr>
          <w:lang w:eastAsia="zh-CN"/>
        </w:rPr>
      </w:pPr>
    </w:p>
    <w:p w:rsidR="006A183C" w:rsidRDefault="006A183C" w:rsidP="006A183C">
      <w:pPr>
        <w:spacing w:line="276" w:lineRule="auto"/>
      </w:pPr>
    </w:p>
    <w:p w:rsidR="00DE7C1E" w:rsidRDefault="00DE7C1E">
      <w:pPr>
        <w:rPr>
          <w:rFonts w:ascii="Bookman Old Style" w:hAnsi="Bookman Old Style"/>
          <w:b/>
          <w:bCs/>
          <w:iCs/>
          <w:color w:val="7030A0"/>
        </w:rPr>
      </w:pPr>
      <w:r>
        <w:rPr>
          <w:rFonts w:ascii="Bookman Old Style" w:hAnsi="Bookman Old Style"/>
          <w:b/>
          <w:bCs/>
          <w:iCs/>
          <w:color w:val="7030A0"/>
        </w:rPr>
        <w:br w:type="page"/>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AYLEIGH-SOMMERFELD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51178E" w:rsidRDefault="0051178E" w:rsidP="0051178E">
      <w:pPr>
        <w:pStyle w:val="Footer"/>
        <w:tabs>
          <w:tab w:val="left" w:pos="1430"/>
          <w:tab w:val="left" w:pos="2145"/>
          <w:tab w:val="left" w:pos="7205"/>
        </w:tabs>
        <w:spacing w:line="276" w:lineRule="auto"/>
        <w:jc w:val="center"/>
        <w:rPr>
          <w:rFonts w:ascii="Bookman Old Style" w:hAnsi="Bookman Old Style"/>
          <w:b/>
          <w:color w:val="0000FF"/>
          <w:sz w:val="28"/>
          <w:szCs w:val="28"/>
        </w:rPr>
      </w:pPr>
      <w:r w:rsidRPr="0051178E">
        <w:rPr>
          <w:rFonts w:ascii="Bookman Old Style" w:hAnsi="Bookman Old Style"/>
          <w:b/>
          <w:color w:val="0000FF"/>
          <w:sz w:val="28"/>
          <w:szCs w:val="28"/>
        </w:rPr>
        <w:t xml:space="preserve">UNIFORMLY ILLUMINATED </w:t>
      </w:r>
      <w:r w:rsidR="006E62EA">
        <w:rPr>
          <w:rFonts w:ascii="Bookman Old Style" w:hAnsi="Bookman Old Style"/>
          <w:b/>
          <w:color w:val="0000FF"/>
          <w:sz w:val="28"/>
          <w:szCs w:val="28"/>
        </w:rPr>
        <w:t>TRIANGULAR</w:t>
      </w:r>
      <w:r w:rsidRPr="0051178E">
        <w:rPr>
          <w:rFonts w:ascii="Bookman Old Style" w:hAnsi="Bookman Old Style"/>
          <w:b/>
          <w:color w:val="0000FF"/>
          <w:sz w:val="28"/>
          <w:szCs w:val="28"/>
        </w:rPr>
        <w:t xml:space="preserve"> APERTURE</w:t>
      </w:r>
      <w:r w:rsidR="006E62EA">
        <w:rPr>
          <w:rFonts w:ascii="Bookman Old Style" w:hAnsi="Bookman Old Style"/>
          <w:b/>
          <w:color w:val="0000FF"/>
          <w:sz w:val="28"/>
          <w:szCs w:val="28"/>
        </w:rPr>
        <w:t>S</w:t>
      </w:r>
    </w:p>
    <w:p w:rsidR="0051178E" w:rsidRPr="00EC0B29" w:rsidRDefault="0051178E" w:rsidP="006A183C">
      <w:pPr>
        <w:pStyle w:val="Footer"/>
        <w:tabs>
          <w:tab w:val="left" w:pos="1430"/>
          <w:tab w:val="left" w:pos="2145"/>
          <w:tab w:val="left" w:pos="7205"/>
        </w:tabs>
        <w:spacing w:line="276" w:lineRule="auto"/>
        <w:rPr>
          <w:rFonts w:ascii="Bookman Old Style" w:hAnsi="Bookman Old Style"/>
          <w:b/>
          <w:bCs/>
          <w:iCs/>
          <w:color w:val="7030A0"/>
        </w:rPr>
      </w:pP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 xml:space="preserve">The Rayleigh-Sommerfeld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43.2pt" o:ole="">
            <v:imagedata r:id="rId15" o:title=""/>
          </v:shape>
          <o:OLEObject Type="Embed" ProgID="Equation.DSMT4" ShapeID="_x0000_i1025" DrawAspect="Content" ObjectID="_1476879319" r:id="rId16"/>
        </w:object>
      </w:r>
    </w:p>
    <w:p w:rsidR="007445C6" w:rsidRDefault="007445C6" w:rsidP="004D6846">
      <w:pPr>
        <w:spacing w:line="276" w:lineRule="auto"/>
      </w:pPr>
    </w:p>
    <w:p w:rsidR="007445C6" w:rsidRDefault="007445C6" w:rsidP="004D6846">
      <w:pPr>
        <w:spacing w:line="276" w:lineRule="auto"/>
      </w:pPr>
      <w:r>
        <w:t xml:space="preserve">It is assumed that the Rayleigh-Sommerfeld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S.I.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6pt;height:31.2pt" o:ole="">
            <v:imagedata r:id="rId17" o:title=""/>
          </v:shape>
          <o:OLEObject Type="Embed" ProgID="Equation.DSMT4" ShapeID="_x0000_i1026" DrawAspect="Content" ObjectID="_1476879320" r:id="rId18"/>
        </w:object>
      </w:r>
    </w:p>
    <w:p w:rsidR="0023095F" w:rsidRDefault="0023095F" w:rsidP="004D6846">
      <w:pPr>
        <w:spacing w:line="276" w:lineRule="auto"/>
      </w:pPr>
    </w:p>
    <w:p w:rsidR="0023095F" w:rsidRDefault="0023095F" w:rsidP="004D6846">
      <w:pPr>
        <w:spacing w:line="276" w:lineRule="auto"/>
      </w:pPr>
      <w:r w:rsidRPr="003C12A8">
        <w:rPr>
          <w:iCs/>
        </w:rPr>
        <w:t>where</w:t>
      </w:r>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2pt;height:18pt" o:ole="">
            <v:imagedata r:id="rId19" o:title=""/>
          </v:shape>
          <o:OLEObject Type="Embed" ProgID="Equation.DSMT4" ShapeID="_x0000_i1027" DrawAspect="Content" ObjectID="_1476879321" r:id="rId20"/>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3.8pt;height:18pt" o:ole="">
            <v:imagedata r:id="rId21" o:title=""/>
          </v:shape>
          <o:OLEObject Type="Embed" ProgID="Equation.DSMT4" ShapeID="_x0000_i1028" DrawAspect="Content" ObjectID="_1476879322" r:id="rId22"/>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7445C6" w:rsidRDefault="007445C6" w:rsidP="004D6846">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7445C6" w:rsidRDefault="007445C6" w:rsidP="007445C6">
      <w:pPr>
        <w:spacing w:line="276" w:lineRule="auto"/>
      </w:pPr>
    </w:p>
    <w:p w:rsidR="007445C6" w:rsidRDefault="007445C6" w:rsidP="007445C6">
      <w:pPr>
        <w:spacing w:line="276" w:lineRule="auto"/>
      </w:pPr>
      <w:r>
        <w:rPr>
          <w:noProof/>
          <w:lang w:eastAsia="zh-CN"/>
        </w:rPr>
        <w:drawing>
          <wp:inline distT="0" distB="0" distL="0" distR="0" wp14:anchorId="10B9C1D4" wp14:editId="414D896E">
            <wp:extent cx="365760" cy="266700"/>
            <wp:effectExtent l="0" t="0" r="0" b="0"/>
            <wp:docPr id="3" name="Picture 3"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7445C6" w:rsidRDefault="007445C6" w:rsidP="007445C6">
      <w:pPr>
        <w:spacing w:line="276" w:lineRule="auto"/>
      </w:pPr>
      <w:r>
        <w:t xml:space="preserve">               Integral of the </w:t>
      </w:r>
      <w:r w:rsidR="003E4435">
        <w:t>F</w:t>
      </w:r>
      <w:r>
        <w:t>irst Kind</w:t>
      </w:r>
    </w:p>
    <w:p w:rsidR="007445C6" w:rsidRDefault="007445C6" w:rsidP="007445C6">
      <w:pPr>
        <w:tabs>
          <w:tab w:val="left" w:pos="567"/>
          <w:tab w:val="left" w:pos="1701"/>
        </w:tabs>
      </w:pPr>
      <w:r>
        <w:t xml:space="preserve"> </w:t>
      </w:r>
    </w:p>
    <w:p w:rsidR="006A183C" w:rsidRDefault="006A183C" w:rsidP="006A183C">
      <w:pPr>
        <w:tabs>
          <w:tab w:val="left" w:pos="1134"/>
        </w:tabs>
      </w:pPr>
    </w:p>
    <w:p w:rsidR="0023095F" w:rsidRDefault="00676664" w:rsidP="0046681D">
      <w:pPr>
        <w:spacing w:line="276" w:lineRule="auto"/>
      </w:pPr>
      <w:r>
        <w:t xml:space="preserve">The aperture space is defined by assigning the electric field </w:t>
      </w:r>
      <w:r w:rsidRPr="00676664">
        <w:rPr>
          <w:i/>
        </w:rPr>
        <w:t>E</w:t>
      </w:r>
      <w:r w:rsidRPr="00676664">
        <w:rPr>
          <w:i/>
          <w:vertAlign w:val="subscript"/>
        </w:rPr>
        <w:t>Q</w:t>
      </w:r>
      <w:r>
        <w:t xml:space="preserve"> to the maximum value at all grid points within a rectangle</w:t>
      </w:r>
      <w:r w:rsidR="0046681D">
        <w:t>, t</w:t>
      </w:r>
      <w:r>
        <w:t xml:space="preserve">hen, setting values of </w:t>
      </w:r>
      <w:r w:rsidRPr="0046681D">
        <w:rPr>
          <w:i/>
        </w:rPr>
        <w:t>E</w:t>
      </w:r>
      <w:r w:rsidRPr="0046681D">
        <w:rPr>
          <w:i/>
          <w:vertAlign w:val="subscript"/>
        </w:rPr>
        <w:t>Q</w:t>
      </w:r>
      <w:r>
        <w:t xml:space="preserve"> to zero </w:t>
      </w:r>
      <w:r w:rsidR="0046681D">
        <w:t xml:space="preserve">at those </w:t>
      </w:r>
      <w:r>
        <w:t>grid points that determine the shape of the aperture</w:t>
      </w:r>
      <w:r w:rsidR="0046681D">
        <w:t>’</w:t>
      </w:r>
      <w:r>
        <w:t xml:space="preserve">s transparent and opaque partitions.  </w:t>
      </w:r>
      <w:r w:rsidR="0046681D">
        <w:t>Figure (1) shows a triangular shaped aperture and its dimensions.  The integration of the Rayleigh-Sommerfeld integral (equation 1) is done over the area of the rectangle using the two-dimensional form of Simpson’s rule (Method 2).</w:t>
      </w:r>
    </w:p>
    <w:p w:rsidR="0046681D" w:rsidRDefault="0046681D" w:rsidP="0046681D">
      <w:pPr>
        <w:spacing w:line="276" w:lineRule="auto"/>
      </w:pPr>
    </w:p>
    <w:p w:rsidR="0046681D" w:rsidRPr="0046681D" w:rsidRDefault="0046681D" w:rsidP="0046681D">
      <w:pPr>
        <w:autoSpaceDE w:val="0"/>
        <w:autoSpaceDN w:val="0"/>
        <w:adjustRightInd w:val="0"/>
        <w:spacing w:line="276" w:lineRule="auto"/>
        <w:rPr>
          <w:rFonts w:asciiTheme="minorHAnsi" w:hAnsiTheme="minorHAnsi" w:cs="Courier New"/>
          <w:lang w:eastAsia="zh-CN"/>
        </w:rPr>
      </w:pPr>
      <w:r>
        <w:tab/>
      </w:r>
      <w:r w:rsidRPr="0046681D">
        <w:rPr>
          <w:rFonts w:asciiTheme="minorHAnsi" w:hAnsiTheme="minorHAnsi" w:cs="Courier New"/>
          <w:color w:val="228B22"/>
          <w:lang w:eastAsia="zh-CN"/>
        </w:rPr>
        <w:t>% Aperture electric field  EQ</w:t>
      </w:r>
    </w:p>
    <w:p w:rsidR="0046681D" w:rsidRPr="0046681D" w:rsidRDefault="0046681D" w:rsidP="0046681D">
      <w:pPr>
        <w:autoSpaceDE w:val="0"/>
        <w:autoSpaceDN w:val="0"/>
        <w:adjustRightInd w:val="0"/>
        <w:spacing w:line="276" w:lineRule="auto"/>
        <w:ind w:left="720"/>
        <w:rPr>
          <w:rFonts w:asciiTheme="minorHAnsi" w:hAnsiTheme="minorHAnsi" w:cs="Courier New"/>
          <w:lang w:eastAsia="zh-CN"/>
        </w:rPr>
      </w:pPr>
      <w:r w:rsidRPr="0046681D">
        <w:rPr>
          <w:rFonts w:asciiTheme="minorHAnsi" w:hAnsiTheme="minorHAnsi" w:cs="Courier New"/>
          <w:color w:val="000000"/>
          <w:lang w:eastAsia="zh-CN"/>
        </w:rPr>
        <w:t xml:space="preserve">EQmax = sqrt(2*uQmax/(cL*nR*eps0));   </w:t>
      </w:r>
    </w:p>
    <w:p w:rsidR="0046681D" w:rsidRPr="0046681D" w:rsidRDefault="0046681D" w:rsidP="0046681D">
      <w:pPr>
        <w:autoSpaceDE w:val="0"/>
        <w:autoSpaceDN w:val="0"/>
        <w:adjustRightInd w:val="0"/>
        <w:spacing w:line="276" w:lineRule="auto"/>
        <w:ind w:left="720"/>
        <w:rPr>
          <w:rFonts w:asciiTheme="minorHAnsi" w:hAnsiTheme="minorHAnsi" w:cs="Courier New"/>
          <w:lang w:eastAsia="zh-CN"/>
        </w:rPr>
      </w:pPr>
      <w:r w:rsidRPr="0046681D">
        <w:rPr>
          <w:rFonts w:asciiTheme="minorHAnsi" w:hAnsiTheme="minorHAnsi" w:cs="Courier New"/>
          <w:color w:val="000000"/>
          <w:lang w:eastAsia="zh-CN"/>
        </w:rPr>
        <w:t xml:space="preserve">EQ = EQmax .* ones(nQ,nQ);  </w:t>
      </w:r>
    </w:p>
    <w:p w:rsidR="0046681D" w:rsidRPr="0046681D" w:rsidRDefault="0046681D" w:rsidP="0046681D">
      <w:pPr>
        <w:autoSpaceDE w:val="0"/>
        <w:autoSpaceDN w:val="0"/>
        <w:adjustRightInd w:val="0"/>
        <w:spacing w:line="276" w:lineRule="auto"/>
        <w:ind w:left="720"/>
        <w:rPr>
          <w:rFonts w:asciiTheme="minorHAnsi" w:hAnsiTheme="minorHAnsi" w:cs="Courier New"/>
          <w:lang w:eastAsia="zh-CN"/>
        </w:rPr>
      </w:pPr>
      <w:r w:rsidRPr="0046681D">
        <w:rPr>
          <w:rFonts w:asciiTheme="minorHAnsi" w:hAnsiTheme="minorHAnsi" w:cs="Courier New"/>
          <w:color w:val="000000"/>
          <w:lang w:eastAsia="zh-CN"/>
        </w:rPr>
        <w:t>flag1 = zeros(nQ,nQ);flag2 = zeros(nQ,nQ);</w:t>
      </w:r>
    </w:p>
    <w:p w:rsidR="0046681D" w:rsidRPr="0046681D" w:rsidRDefault="0046681D" w:rsidP="0046681D">
      <w:pPr>
        <w:autoSpaceDE w:val="0"/>
        <w:autoSpaceDN w:val="0"/>
        <w:adjustRightInd w:val="0"/>
        <w:spacing w:line="276" w:lineRule="auto"/>
        <w:ind w:left="720"/>
        <w:rPr>
          <w:rFonts w:asciiTheme="minorHAnsi" w:hAnsiTheme="minorHAnsi" w:cs="Courier New"/>
          <w:lang w:eastAsia="zh-CN"/>
        </w:rPr>
      </w:pPr>
      <w:r w:rsidRPr="0046681D">
        <w:rPr>
          <w:rFonts w:asciiTheme="minorHAnsi" w:hAnsiTheme="minorHAnsi" w:cs="Courier New"/>
          <w:color w:val="000000"/>
          <w:lang w:eastAsia="zh-CN"/>
        </w:rPr>
        <w:t>flag1(yQ &gt; -(ay/2).*(xQ./ax - 1)) = 1;</w:t>
      </w:r>
    </w:p>
    <w:p w:rsidR="0046681D" w:rsidRPr="0046681D" w:rsidRDefault="0046681D" w:rsidP="0046681D">
      <w:pPr>
        <w:autoSpaceDE w:val="0"/>
        <w:autoSpaceDN w:val="0"/>
        <w:adjustRightInd w:val="0"/>
        <w:spacing w:line="276" w:lineRule="auto"/>
        <w:ind w:left="720"/>
        <w:rPr>
          <w:rFonts w:asciiTheme="minorHAnsi" w:hAnsiTheme="minorHAnsi" w:cs="Courier New"/>
          <w:lang w:eastAsia="zh-CN"/>
        </w:rPr>
      </w:pPr>
      <w:r w:rsidRPr="0046681D">
        <w:rPr>
          <w:rFonts w:asciiTheme="minorHAnsi" w:hAnsiTheme="minorHAnsi" w:cs="Courier New"/>
          <w:color w:val="000000"/>
          <w:lang w:eastAsia="zh-CN"/>
        </w:rPr>
        <w:t>flag2(yQ &lt;  (ay/2).*(xQ./ax - 1)) = 1;</w:t>
      </w:r>
    </w:p>
    <w:p w:rsidR="0046681D" w:rsidRPr="0046681D" w:rsidRDefault="0046681D" w:rsidP="0046681D">
      <w:pPr>
        <w:autoSpaceDE w:val="0"/>
        <w:autoSpaceDN w:val="0"/>
        <w:adjustRightInd w:val="0"/>
        <w:spacing w:line="276" w:lineRule="auto"/>
        <w:ind w:left="720"/>
        <w:rPr>
          <w:rFonts w:asciiTheme="minorHAnsi" w:hAnsiTheme="minorHAnsi" w:cs="Courier New"/>
          <w:lang w:eastAsia="zh-CN"/>
        </w:rPr>
      </w:pPr>
      <w:r w:rsidRPr="0046681D">
        <w:rPr>
          <w:rFonts w:asciiTheme="minorHAnsi" w:hAnsiTheme="minorHAnsi" w:cs="Courier New"/>
          <w:color w:val="000000"/>
          <w:lang w:eastAsia="zh-CN"/>
        </w:rPr>
        <w:t xml:space="preserve">EQ(flag1+flag2 == 1) = 0;    </w:t>
      </w:r>
    </w:p>
    <w:p w:rsidR="00836656" w:rsidRDefault="00836656" w:rsidP="00836656">
      <w:pPr>
        <w:tabs>
          <w:tab w:val="left" w:pos="567"/>
        </w:tabs>
        <w:ind w:left="567" w:right="657"/>
      </w:pPr>
      <w:r w:rsidRPr="006E62EA">
        <w:rPr>
          <w:noProof/>
          <w:lang w:eastAsia="zh-CN"/>
        </w:rPr>
        <w:drawing>
          <wp:anchor distT="0" distB="0" distL="114300" distR="114300" simplePos="0" relativeHeight="251664896" behindDoc="0" locked="0" layoutInCell="1" allowOverlap="1" wp14:anchorId="63A5C02C" wp14:editId="68CA3BB6">
            <wp:simplePos x="0" y="0"/>
            <wp:positionH relativeFrom="column">
              <wp:posOffset>131445</wp:posOffset>
            </wp:positionH>
            <wp:positionV relativeFrom="paragraph">
              <wp:posOffset>112395</wp:posOffset>
            </wp:positionV>
            <wp:extent cx="5120640" cy="3840480"/>
            <wp:effectExtent l="0" t="0" r="381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14:sizeRelH relativeFrom="page">
              <wp14:pctWidth>0</wp14:pctWidth>
            </wp14:sizeRelH>
            <wp14:sizeRelV relativeFrom="page">
              <wp14:pctHeight>0</wp14:pctHeight>
            </wp14:sizeRelV>
          </wp:anchor>
        </w:drawing>
      </w:r>
    </w:p>
    <w:p w:rsidR="0046681D" w:rsidRDefault="0046681D" w:rsidP="00836656">
      <w:pPr>
        <w:tabs>
          <w:tab w:val="left" w:pos="567"/>
        </w:tabs>
        <w:ind w:left="567" w:right="657"/>
      </w:pPr>
      <w:r>
        <w:t xml:space="preserve">Fig. 1.   A triangular shaped aperture. The yellow corresponds to the transparent partition and the blue to the opaque partition of the aperture space. </w:t>
      </w:r>
    </w:p>
    <w:p w:rsidR="0046681D" w:rsidRDefault="0046681D" w:rsidP="0046681D">
      <w:pPr>
        <w:tabs>
          <w:tab w:val="left" w:pos="567"/>
        </w:tabs>
        <w:spacing w:line="276" w:lineRule="auto"/>
      </w:pPr>
    </w:p>
    <w:p w:rsidR="006E62EA" w:rsidRDefault="0046681D" w:rsidP="0046681D">
      <w:pPr>
        <w:tabs>
          <w:tab w:val="left" w:pos="567"/>
        </w:tabs>
        <w:spacing w:line="276" w:lineRule="auto"/>
      </w:pPr>
      <w:r>
        <w:t xml:space="preserve">Figure (2) shows the variation of the </w:t>
      </w:r>
      <w:r w:rsidR="00BE615B">
        <w:t>irradiance (</w:t>
      </w:r>
      <w:r>
        <w:t>energy density</w:t>
      </w:r>
      <w:r w:rsidR="00BE615B">
        <w:t>)</w:t>
      </w:r>
      <w:r>
        <w:t xml:space="preserve"> along the X-axis (blue) and Y-axis (red). Figure</w:t>
      </w:r>
      <w:r w:rsidR="000D4930">
        <w:t>s</w:t>
      </w:r>
      <w:bookmarkStart w:id="0" w:name="_GoBack"/>
      <w:bookmarkEnd w:id="0"/>
      <w:r>
        <w:t xml:space="preserve"> (3) and (4) shows the </w:t>
      </w:r>
      <w:r w:rsidR="00836656">
        <w:t xml:space="preserve">diffraction pattern in the XY-plane for scaled values of the irradiance (energy density). </w:t>
      </w:r>
      <w:r w:rsidR="006E62EA">
        <w:br w:type="page"/>
      </w:r>
    </w:p>
    <w:p w:rsidR="006E62EA" w:rsidRDefault="006E62EA">
      <w:r w:rsidRPr="006E62EA">
        <w:rPr>
          <w:noProof/>
          <w:lang w:eastAsia="zh-CN"/>
        </w:rPr>
        <w:drawing>
          <wp:inline distT="0" distB="0" distL="0" distR="0" wp14:anchorId="3D708E14" wp14:editId="22077B52">
            <wp:extent cx="5278120" cy="329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120" cy="3298825"/>
                    </a:xfrm>
                    <a:prstGeom prst="rect">
                      <a:avLst/>
                    </a:prstGeom>
                  </pic:spPr>
                </pic:pic>
              </a:graphicData>
            </a:graphic>
          </wp:inline>
        </w:drawing>
      </w:r>
    </w:p>
    <w:p w:rsidR="006E62EA" w:rsidRDefault="0046681D" w:rsidP="00836656">
      <w:pPr>
        <w:tabs>
          <w:tab w:val="left" w:pos="567"/>
        </w:tabs>
        <w:ind w:firstLine="720"/>
      </w:pPr>
      <w:r>
        <w:t>Fig. 2.   Energy density variations along the X-axis (blue) and Y-axis (red).</w:t>
      </w:r>
    </w:p>
    <w:p w:rsidR="0046681D" w:rsidRDefault="0046681D"/>
    <w:p w:rsidR="00836656" w:rsidRDefault="00836656"/>
    <w:p w:rsidR="00836656" w:rsidRDefault="00836656"/>
    <w:p w:rsidR="006E62EA" w:rsidRDefault="006E62EA">
      <w:r w:rsidRPr="006E62EA">
        <w:rPr>
          <w:noProof/>
          <w:lang w:eastAsia="zh-CN"/>
        </w:rPr>
        <w:drawing>
          <wp:inline distT="0" distB="0" distL="0" distR="0" wp14:anchorId="176301E4" wp14:editId="24102B10">
            <wp:extent cx="4663440" cy="4166682"/>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12702" t="5081" r="20901"/>
                    <a:stretch/>
                  </pic:blipFill>
                  <pic:spPr bwMode="auto">
                    <a:xfrm>
                      <a:off x="0" y="0"/>
                      <a:ext cx="4662542" cy="4165880"/>
                    </a:xfrm>
                    <a:prstGeom prst="rect">
                      <a:avLst/>
                    </a:prstGeom>
                    <a:ln>
                      <a:noFill/>
                    </a:ln>
                    <a:extLst>
                      <a:ext uri="{53640926-AAD7-44D8-BBD7-CCE9431645EC}">
                        <a14:shadowObscured xmlns:a14="http://schemas.microsoft.com/office/drawing/2010/main"/>
                      </a:ext>
                    </a:extLst>
                  </pic:spPr>
                </pic:pic>
              </a:graphicData>
            </a:graphic>
          </wp:inline>
        </w:drawing>
      </w:r>
    </w:p>
    <w:p w:rsidR="006E62EA" w:rsidRDefault="00836656" w:rsidP="00836656">
      <w:pPr>
        <w:tabs>
          <w:tab w:val="left" w:pos="567"/>
        </w:tabs>
      </w:pPr>
      <w:r>
        <w:tab/>
        <w:t>Fig. 3.   Diffraction pattern for a triangular aperture.</w:t>
      </w:r>
      <w:r w:rsidR="006E62EA">
        <w:br w:type="page"/>
      </w:r>
    </w:p>
    <w:p w:rsidR="00836656" w:rsidRDefault="006E62EA" w:rsidP="00836656">
      <w:pPr>
        <w:tabs>
          <w:tab w:val="left" w:pos="2835"/>
        </w:tabs>
      </w:pPr>
      <w:r w:rsidRPr="006E62EA">
        <w:rPr>
          <w:noProof/>
          <w:lang w:eastAsia="zh-CN"/>
        </w:rPr>
        <w:drawing>
          <wp:inline distT="0" distB="0" distL="0" distR="0" wp14:anchorId="1AE029EB" wp14:editId="47C1A790">
            <wp:extent cx="5409436" cy="404622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2125" t="13626" r="8921" b="12702"/>
                    <a:stretch/>
                  </pic:blipFill>
                  <pic:spPr bwMode="auto">
                    <a:xfrm>
                      <a:off x="0" y="0"/>
                      <a:ext cx="5408397" cy="4045443"/>
                    </a:xfrm>
                    <a:prstGeom prst="rect">
                      <a:avLst/>
                    </a:prstGeom>
                    <a:ln>
                      <a:noFill/>
                    </a:ln>
                    <a:extLst>
                      <a:ext uri="{53640926-AAD7-44D8-BBD7-CCE9431645EC}">
                        <a14:shadowObscured xmlns:a14="http://schemas.microsoft.com/office/drawing/2010/main"/>
                      </a:ext>
                    </a:extLst>
                  </pic:spPr>
                </pic:pic>
              </a:graphicData>
            </a:graphic>
          </wp:inline>
        </w:drawing>
      </w:r>
    </w:p>
    <w:p w:rsidR="00836656" w:rsidRDefault="00836656" w:rsidP="00836656">
      <w:pPr>
        <w:tabs>
          <w:tab w:val="left" w:pos="567"/>
          <w:tab w:val="left" w:pos="2835"/>
        </w:tabs>
        <w:jc w:val="both"/>
      </w:pPr>
      <w:r>
        <w:tab/>
        <w:t>Fig. 4.   Diffraction pattern for a triangular aperture.</w:t>
      </w:r>
    </w:p>
    <w:p w:rsidR="00836656" w:rsidRDefault="00836656" w:rsidP="00836656">
      <w:pPr>
        <w:tabs>
          <w:tab w:val="left" w:pos="567"/>
          <w:tab w:val="left" w:pos="2835"/>
        </w:tabs>
        <w:jc w:val="both"/>
      </w:pPr>
    </w:p>
    <w:p w:rsidR="00836656" w:rsidRDefault="00836656" w:rsidP="00836656">
      <w:pPr>
        <w:tabs>
          <w:tab w:val="left" w:pos="567"/>
          <w:tab w:val="left" w:pos="2835"/>
        </w:tabs>
        <w:jc w:val="both"/>
      </w:pP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Parameter summary  [SI units]</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wavelength [m]  =  6.5e-07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nQ  =  159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nP  =  401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Aperture Space</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X width [m] =  1.300e-05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Y width [m]  =  1.300e-05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Observation Space</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X width [m] =  2.600e-03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Y width [m]  =  2.600e-03 </w:t>
      </w:r>
    </w:p>
    <w:p w:rsidR="00BE615B" w:rsidRPr="00BE615B" w:rsidRDefault="00BE615B" w:rsidP="00BE615B">
      <w:pPr>
        <w:tabs>
          <w:tab w:val="left" w:pos="567"/>
          <w:tab w:val="left" w:pos="2835"/>
        </w:tabs>
        <w:spacing w:line="276" w:lineRule="auto"/>
        <w:ind w:left="567"/>
        <w:jc w:val="both"/>
        <w:rPr>
          <w:rFonts w:asciiTheme="minorHAnsi" w:hAnsiTheme="minorHAnsi"/>
        </w:rPr>
      </w:pPr>
      <w:r w:rsidRPr="00BE615B">
        <w:rPr>
          <w:rFonts w:asciiTheme="minorHAnsi" w:hAnsiTheme="minorHAnsi"/>
        </w:rPr>
        <w:t xml:space="preserve">distance aperture to observation plane [m]   zP = 3.900e-03 </w:t>
      </w:r>
    </w:p>
    <w:p w:rsidR="00836656" w:rsidRDefault="00BE615B" w:rsidP="00BE615B">
      <w:pPr>
        <w:tabs>
          <w:tab w:val="left" w:pos="567"/>
          <w:tab w:val="left" w:pos="2835"/>
        </w:tabs>
        <w:spacing w:line="276" w:lineRule="auto"/>
        <w:ind w:left="567"/>
        <w:jc w:val="both"/>
      </w:pPr>
      <w:r w:rsidRPr="00BE615B">
        <w:rPr>
          <w:rFonts w:asciiTheme="minorHAnsi" w:hAnsiTheme="minorHAnsi"/>
        </w:rPr>
        <w:t>Elapsed time is 196.541442 seconds.</w:t>
      </w:r>
    </w:p>
    <w:p w:rsidR="00836656" w:rsidRDefault="00836656" w:rsidP="00836656">
      <w:pPr>
        <w:tabs>
          <w:tab w:val="left" w:pos="567"/>
          <w:tab w:val="left" w:pos="2835"/>
        </w:tabs>
        <w:jc w:val="both"/>
      </w:pPr>
      <w:r>
        <w:tab/>
        <w:t xml:space="preserve">   </w:t>
      </w:r>
    </w:p>
    <w:p w:rsidR="00836656" w:rsidRDefault="00836656" w:rsidP="00836656">
      <w:pPr>
        <w:tabs>
          <w:tab w:val="left" w:pos="567"/>
          <w:tab w:val="left" w:pos="2835"/>
        </w:tabs>
        <w:jc w:val="both"/>
      </w:pPr>
      <w:r>
        <w:t xml:space="preserve">   </w:t>
      </w:r>
    </w:p>
    <w:sectPr w:rsidR="00836656" w:rsidSect="00A17DEF">
      <w:footerReference w:type="even" r:id="rId27"/>
      <w:footerReference w:type="default" r:id="rId28"/>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585" w:rsidRDefault="004F1585">
      <w:r>
        <w:separator/>
      </w:r>
    </w:p>
  </w:endnote>
  <w:endnote w:type="continuationSeparator" w:id="0">
    <w:p w:rsidR="004F1585" w:rsidRDefault="004F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1585">
      <w:rPr>
        <w:rStyle w:val="PageNumber"/>
        <w:noProof/>
      </w:rPr>
      <w:t>1</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w:t>
    </w:r>
    <w:r w:rsidR="004D6846">
      <w:rPr>
        <w:sz w:val="20"/>
        <w:szCs w:val="20"/>
      </w:rPr>
      <w:t>rs1_circle</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585" w:rsidRDefault="004F1585">
      <w:r>
        <w:separator/>
      </w:r>
    </w:p>
  </w:footnote>
  <w:footnote w:type="continuationSeparator" w:id="0">
    <w:p w:rsidR="004F1585" w:rsidRDefault="004F15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712D9"/>
    <w:rsid w:val="00084845"/>
    <w:rsid w:val="000A049E"/>
    <w:rsid w:val="000B354A"/>
    <w:rsid w:val="000B3A48"/>
    <w:rsid w:val="000C4994"/>
    <w:rsid w:val="000D4930"/>
    <w:rsid w:val="000F50F4"/>
    <w:rsid w:val="000F52BE"/>
    <w:rsid w:val="00105984"/>
    <w:rsid w:val="00132D0A"/>
    <w:rsid w:val="001B57E0"/>
    <w:rsid w:val="001C6A75"/>
    <w:rsid w:val="001D611E"/>
    <w:rsid w:val="00210E88"/>
    <w:rsid w:val="002122C7"/>
    <w:rsid w:val="0023095F"/>
    <w:rsid w:val="00253154"/>
    <w:rsid w:val="00257F01"/>
    <w:rsid w:val="0026200E"/>
    <w:rsid w:val="002716BE"/>
    <w:rsid w:val="00281D1D"/>
    <w:rsid w:val="002C5714"/>
    <w:rsid w:val="002D6B2A"/>
    <w:rsid w:val="002E574F"/>
    <w:rsid w:val="002F2A9B"/>
    <w:rsid w:val="003260FA"/>
    <w:rsid w:val="0035290E"/>
    <w:rsid w:val="0035357F"/>
    <w:rsid w:val="003554B7"/>
    <w:rsid w:val="003602B2"/>
    <w:rsid w:val="00360418"/>
    <w:rsid w:val="00386F75"/>
    <w:rsid w:val="00397ED3"/>
    <w:rsid w:val="003B1197"/>
    <w:rsid w:val="003B23BE"/>
    <w:rsid w:val="003B3315"/>
    <w:rsid w:val="003C57C2"/>
    <w:rsid w:val="003D32C1"/>
    <w:rsid w:val="003D33F9"/>
    <w:rsid w:val="003E4435"/>
    <w:rsid w:val="004137CB"/>
    <w:rsid w:val="00423B4C"/>
    <w:rsid w:val="00427E3D"/>
    <w:rsid w:val="00460B2A"/>
    <w:rsid w:val="0046681D"/>
    <w:rsid w:val="00490F1C"/>
    <w:rsid w:val="004B34F7"/>
    <w:rsid w:val="004D6846"/>
    <w:rsid w:val="004E0A4C"/>
    <w:rsid w:val="004E4DD6"/>
    <w:rsid w:val="004F1585"/>
    <w:rsid w:val="004F6EC7"/>
    <w:rsid w:val="005041F8"/>
    <w:rsid w:val="0051178E"/>
    <w:rsid w:val="005322DE"/>
    <w:rsid w:val="00535D6D"/>
    <w:rsid w:val="00551849"/>
    <w:rsid w:val="00556BC2"/>
    <w:rsid w:val="00561B25"/>
    <w:rsid w:val="005A64EE"/>
    <w:rsid w:val="005A7984"/>
    <w:rsid w:val="005B15FE"/>
    <w:rsid w:val="005B3D48"/>
    <w:rsid w:val="00647852"/>
    <w:rsid w:val="0066001A"/>
    <w:rsid w:val="0067419B"/>
    <w:rsid w:val="00676664"/>
    <w:rsid w:val="006A183C"/>
    <w:rsid w:val="006B3226"/>
    <w:rsid w:val="006C63ED"/>
    <w:rsid w:val="006C71A3"/>
    <w:rsid w:val="006D011A"/>
    <w:rsid w:val="006E2425"/>
    <w:rsid w:val="006E2676"/>
    <w:rsid w:val="006E3E48"/>
    <w:rsid w:val="006E62EA"/>
    <w:rsid w:val="007445C6"/>
    <w:rsid w:val="00754EEB"/>
    <w:rsid w:val="007A0588"/>
    <w:rsid w:val="007B1D38"/>
    <w:rsid w:val="007C7DCC"/>
    <w:rsid w:val="007D2654"/>
    <w:rsid w:val="007E13DF"/>
    <w:rsid w:val="007F2ED1"/>
    <w:rsid w:val="008054EE"/>
    <w:rsid w:val="00812C5A"/>
    <w:rsid w:val="00836656"/>
    <w:rsid w:val="00850583"/>
    <w:rsid w:val="008520AB"/>
    <w:rsid w:val="008865A3"/>
    <w:rsid w:val="00891336"/>
    <w:rsid w:val="008932B9"/>
    <w:rsid w:val="008B4C53"/>
    <w:rsid w:val="008B7066"/>
    <w:rsid w:val="008E5B9B"/>
    <w:rsid w:val="008F3013"/>
    <w:rsid w:val="008F7487"/>
    <w:rsid w:val="00923D0B"/>
    <w:rsid w:val="00926D3F"/>
    <w:rsid w:val="009408A9"/>
    <w:rsid w:val="00942440"/>
    <w:rsid w:val="00942D43"/>
    <w:rsid w:val="0096139D"/>
    <w:rsid w:val="0099026D"/>
    <w:rsid w:val="00996DAB"/>
    <w:rsid w:val="009A7A8A"/>
    <w:rsid w:val="009B35B9"/>
    <w:rsid w:val="009C3367"/>
    <w:rsid w:val="009D5C4A"/>
    <w:rsid w:val="009F4215"/>
    <w:rsid w:val="00A17DEF"/>
    <w:rsid w:val="00A241AB"/>
    <w:rsid w:val="00A65E2C"/>
    <w:rsid w:val="00A720F9"/>
    <w:rsid w:val="00A73EB5"/>
    <w:rsid w:val="00A9395E"/>
    <w:rsid w:val="00AB59A5"/>
    <w:rsid w:val="00AC342D"/>
    <w:rsid w:val="00AE0A1C"/>
    <w:rsid w:val="00AE4E94"/>
    <w:rsid w:val="00AE6EB5"/>
    <w:rsid w:val="00AF583D"/>
    <w:rsid w:val="00B0567C"/>
    <w:rsid w:val="00B15783"/>
    <w:rsid w:val="00B15D9C"/>
    <w:rsid w:val="00B35550"/>
    <w:rsid w:val="00B74177"/>
    <w:rsid w:val="00BC7D15"/>
    <w:rsid w:val="00BD0D7C"/>
    <w:rsid w:val="00BD2F99"/>
    <w:rsid w:val="00BE1E55"/>
    <w:rsid w:val="00BE543C"/>
    <w:rsid w:val="00BE615B"/>
    <w:rsid w:val="00C51855"/>
    <w:rsid w:val="00C54873"/>
    <w:rsid w:val="00C84CA1"/>
    <w:rsid w:val="00C869BE"/>
    <w:rsid w:val="00C915DA"/>
    <w:rsid w:val="00CA09BC"/>
    <w:rsid w:val="00CA1F85"/>
    <w:rsid w:val="00CE1663"/>
    <w:rsid w:val="00D26245"/>
    <w:rsid w:val="00D275B5"/>
    <w:rsid w:val="00D3075D"/>
    <w:rsid w:val="00D36073"/>
    <w:rsid w:val="00D43D40"/>
    <w:rsid w:val="00D5169B"/>
    <w:rsid w:val="00D872C4"/>
    <w:rsid w:val="00DB0B81"/>
    <w:rsid w:val="00DB67D3"/>
    <w:rsid w:val="00DC5D00"/>
    <w:rsid w:val="00DE01A7"/>
    <w:rsid w:val="00DE7C1E"/>
    <w:rsid w:val="00DF10ED"/>
    <w:rsid w:val="00DF206C"/>
    <w:rsid w:val="00E10A70"/>
    <w:rsid w:val="00E4555C"/>
    <w:rsid w:val="00E4608D"/>
    <w:rsid w:val="00E64F8A"/>
    <w:rsid w:val="00E6734B"/>
    <w:rsid w:val="00E81FD2"/>
    <w:rsid w:val="00E87932"/>
    <w:rsid w:val="00E96EE5"/>
    <w:rsid w:val="00EA50D4"/>
    <w:rsid w:val="00EB06FE"/>
    <w:rsid w:val="00EB15B1"/>
    <w:rsid w:val="00EE4F4B"/>
    <w:rsid w:val="00EE573F"/>
    <w:rsid w:val="00EE66A8"/>
    <w:rsid w:val="00EF418F"/>
    <w:rsid w:val="00F46911"/>
    <w:rsid w:val="00F515FB"/>
    <w:rsid w:val="00F649AA"/>
    <w:rsid w:val="00F67884"/>
    <w:rsid w:val="00F73E47"/>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oleObject" Target="embeddings/oleObject2.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hyperlink" Target="http://www.physics.usyd.edu.au/teach_res/mp/op/doc/op_diffraction_integrals_theory.pdf" TargetMode="External"/><Relationship Id="rId17" Type="http://schemas.openxmlformats.org/officeDocument/2006/relationships/image" Target="media/image4.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www.physics.usyd.edu.au/teach_res/mp/mphome.htm" TargetMode="Externa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hysics.usyd.edu.au/teach_res/mp/op/doc/op_rs1.pdf" TargetMode="External"/><Relationship Id="rId22" Type="http://schemas.openxmlformats.org/officeDocument/2006/relationships/oleObject" Target="embeddings/oleObject4.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62B6C-D320-4EA9-AE51-18C47D79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677</Words>
  <Characters>3861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Diffraction, Numerical Integration</vt:lpstr>
      <vt:lpstr/>
      <vt:lpstr/>
      <vt:lpstr/>
      <vt:lpstr>RAYLEIGH-SOMMERFELD DIFFRACTION INTEGRAL OF THE FIRST KIND</vt:lpstr>
      <vt:lpstr>TRIANGULAR APERTURES</vt:lpstr>
      <vt:lpstr/>
      <vt:lpstr/>
    </vt:vector>
  </TitlesOfParts>
  <Company>university of sydney</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Matlab, Computational Physics</dc:subject>
  <dc:creator>Ian Cooper</dc:creator>
  <cp:keywords>diffraction, triangle aperture, triangular aperture, diffraction circular aperture, double integrals, surface integrals, computational physics, integration, Simpson's rule, Matlab, definite integral</cp:keywords>
  <cp:lastModifiedBy>Admin</cp:lastModifiedBy>
  <cp:revision>5</cp:revision>
  <cp:lastPrinted>2014-11-05T19:12:00Z</cp:lastPrinted>
  <dcterms:created xsi:type="dcterms:W3CDTF">2014-11-06T00:06:00Z</dcterms:created>
  <dcterms:modified xsi:type="dcterms:W3CDTF">2014-11-07T04:29:00Z</dcterms:modified>
  <cp:category>Computational Physics, double integrals</cp:category>
</cp:coreProperties>
</file>