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6</w:t>
      </w:r>
    </w:p>
    <w:p>
      <w:pPr>
        <w:pStyle w:val="Heading2"/>
      </w:pPr>
      <w:r>
        <w:t>Master Schedule</w:t>
      </w:r>
    </w:p>
    <w:p>
      <w:pPr>
        <w:spacing w:after="120"/>
      </w:pPr>
      <w:r>
        <w:rPr>
          <w:i w:val="0"/>
        </w:rPr>
        <w:t>This is the current plan for the entire project. It showcases the current progress and upcoming intention; however, the future weeks' plans are subject to change as the project is further developed.</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152"/>
            <w:shd w:val="clear" w:color="auto" w:fill="D9D2E9"/>
          </w:tcPr>
          <w:p>
            <w:pPr>
              <w:spacing w:after="60"/>
            </w:pPr>
            <w:r/>
            <w:r>
              <w:rPr>
                <w:b/>
                <w:sz w:val="20"/>
              </w:rPr>
              <w:t>Week</w:t>
            </w:r>
          </w:p>
        </w:tc>
        <w:tc>
          <w:tcPr>
            <w:tcW w:type="dxa" w:w="2304"/>
            <w:shd w:val="clear" w:color="auto" w:fill="D9D2E9"/>
          </w:tcPr>
          <w:p>
            <w:pPr>
              <w:spacing w:after="60"/>
            </w:pPr>
            <w:r/>
            <w:r>
              <w:rPr>
                <w:b/>
                <w:sz w:val="20"/>
              </w:rPr>
              <w:t>Phase / Focus</w:t>
            </w:r>
          </w:p>
        </w:tc>
        <w:tc>
          <w:tcPr>
            <w:tcW w:type="dxa" w:w="3744"/>
            <w:shd w:val="clear" w:color="auto" w:fill="D9D2E9"/>
          </w:tcPr>
          <w:p>
            <w:pPr>
              <w:spacing w:after="60"/>
            </w:pPr>
            <w:r/>
            <w:r>
              <w:rPr>
                <w:b/>
                <w:sz w:val="20"/>
              </w:rPr>
              <w:t>Key Deliverable</w:t>
            </w:r>
          </w:p>
        </w:tc>
        <w:tc>
          <w:tcPr>
            <w:tcW w:type="dxa" w:w="2160"/>
            <w:shd w:val="clear" w:color="auto" w:fill="D9D2E9"/>
          </w:tcPr>
          <w:p>
            <w:pPr>
              <w:spacing w:after="60"/>
            </w:pPr>
            <w:r/>
            <w:r>
              <w:rPr>
                <w:b/>
                <w:sz w:val="20"/>
              </w:rPr>
              <w:t>Status</w:t>
            </w:r>
          </w:p>
        </w:tc>
      </w:tr>
      <w:tr>
        <w:tc>
          <w:tcPr>
            <w:tcW w:type="dxa" w:w="1152"/>
          </w:tcPr>
          <w:p>
            <w:pPr>
              <w:spacing w:after="60"/>
            </w:pPr>
            <w:r/>
            <w:r>
              <w:rPr>
                <w:b w:val="0"/>
                <w:sz w:val="20"/>
              </w:rPr>
              <w:t>Week 1</w:t>
            </w:r>
          </w:p>
        </w:tc>
        <w:tc>
          <w:tcPr>
            <w:tcW w:type="dxa" w:w="2304"/>
          </w:tcPr>
          <w:p>
            <w:pPr>
              <w:spacing w:after="60"/>
            </w:pPr>
            <w:r/>
            <w:r>
              <w:rPr>
                <w:b w:val="0"/>
                <w:sz w:val="20"/>
              </w:rPr>
              <w:t>Core Architecture</w:t>
            </w:r>
          </w:p>
        </w:tc>
        <w:tc>
          <w:tcPr>
            <w:tcW w:type="dxa" w:w="3744"/>
          </w:tcPr>
          <w:p>
            <w:pPr>
              <w:spacing w:after="60"/>
            </w:pPr>
            <w:r/>
            <w:r>
              <w:rPr>
                <w:b w:val="0"/>
                <w:sz w:val="20"/>
              </w:rPr>
              <w:t>Project Initialization, Pipeline, ESP-IDF Setup, &amp; Ordering Hardware</w:t>
            </w:r>
          </w:p>
        </w:tc>
        <w:tc>
          <w:tcPr>
            <w:tcW w:type="dxa" w:w="2160"/>
          </w:tcPr>
          <w:p>
            <w:pPr>
              <w:spacing w:after="60"/>
            </w:pPr>
            <w:r/>
            <w:r>
              <w:rPr>
                <w:b w:val="0"/>
                <w:sz w:val="20"/>
              </w:rPr>
              <w:t>Completed</w:t>
            </w:r>
          </w:p>
        </w:tc>
      </w:tr>
      <w:tr>
        <w:tc>
          <w:tcPr>
            <w:tcW w:type="dxa" w:w="1152"/>
          </w:tcPr>
          <w:p>
            <w:pPr>
              <w:spacing w:after="60"/>
            </w:pPr>
            <w:r/>
            <w:r>
              <w:rPr>
                <w:b w:val="0"/>
                <w:sz w:val="20"/>
              </w:rPr>
              <w:t>Week 2</w:t>
            </w:r>
          </w:p>
        </w:tc>
        <w:tc>
          <w:tcPr>
            <w:tcW w:type="dxa" w:w="2304"/>
          </w:tcPr>
          <w:p>
            <w:pPr>
              <w:spacing w:after="60"/>
            </w:pPr>
            <w:r/>
            <w:r>
              <w:rPr>
                <w:b w:val="0"/>
                <w:sz w:val="20"/>
              </w:rPr>
              <w:t>System Design</w:t>
            </w:r>
          </w:p>
        </w:tc>
        <w:tc>
          <w:tcPr>
            <w:tcW w:type="dxa" w:w="3744"/>
          </w:tcPr>
          <w:p>
            <w:pPr>
              <w:spacing w:after="60"/>
            </w:pPr>
            <w:r/>
            <w:r>
              <w:rPr>
                <w:b w:val="0"/>
                <w:sz w:val="20"/>
              </w:rPr>
              <w:t>I/O Specs, Hardware Architecture Planning &amp; Electronics Power Plans</w:t>
            </w:r>
          </w:p>
        </w:tc>
        <w:tc>
          <w:tcPr>
            <w:tcW w:type="dxa" w:w="2160"/>
          </w:tcPr>
          <w:p>
            <w:pPr>
              <w:spacing w:after="60"/>
            </w:pPr>
            <w:r/>
            <w:r>
              <w:rPr>
                <w:b w:val="0"/>
                <w:sz w:val="20"/>
              </w:rPr>
              <w:t>Completed</w:t>
            </w:r>
          </w:p>
        </w:tc>
      </w:tr>
      <w:tr>
        <w:tc>
          <w:tcPr>
            <w:tcW w:type="dxa" w:w="1152"/>
          </w:tcPr>
          <w:p>
            <w:pPr>
              <w:spacing w:after="60"/>
            </w:pPr>
            <w:r/>
            <w:r>
              <w:rPr>
                <w:b w:val="0"/>
                <w:sz w:val="20"/>
              </w:rPr>
              <w:t>Week 3</w:t>
            </w:r>
          </w:p>
        </w:tc>
        <w:tc>
          <w:tcPr>
            <w:tcW w:type="dxa" w:w="2304"/>
          </w:tcPr>
          <w:p>
            <w:pPr>
              <w:spacing w:after="60"/>
            </w:pPr>
            <w:r/>
            <w:r>
              <w:rPr>
                <w:b w:val="0"/>
                <w:sz w:val="20"/>
              </w:rPr>
              <w:t>Drivetrain Prototyping</w:t>
            </w:r>
          </w:p>
        </w:tc>
        <w:tc>
          <w:tcPr>
            <w:tcW w:type="dxa" w:w="3744"/>
          </w:tcPr>
          <w:p>
            <w:pPr>
              <w:spacing w:after="60"/>
            </w:pPr>
            <w:r/>
            <w:r>
              <w:rPr>
                <w:b w:val="0"/>
                <w:sz w:val="20"/>
              </w:rPr>
              <w:t>ESP32 Motor Firmware &amp; H-Bridge Integration</w:t>
            </w:r>
          </w:p>
        </w:tc>
        <w:tc>
          <w:tcPr>
            <w:tcW w:type="dxa" w:w="2160"/>
          </w:tcPr>
          <w:p>
            <w:pPr>
              <w:spacing w:after="60"/>
            </w:pPr>
            <w:r/>
            <w:r>
              <w:rPr>
                <w:b w:val="0"/>
                <w:sz w:val="20"/>
              </w:rPr>
              <w:t>Completed, no further hardware issues observed so far</w:t>
            </w:r>
          </w:p>
        </w:tc>
      </w:tr>
      <w:tr>
        <w:tc>
          <w:tcPr>
            <w:tcW w:type="dxa" w:w="1152"/>
          </w:tcPr>
          <w:p>
            <w:pPr>
              <w:spacing w:after="60"/>
            </w:pPr>
            <w:r/>
            <w:r>
              <w:rPr>
                <w:b w:val="0"/>
                <w:sz w:val="20"/>
              </w:rPr>
              <w:t>Week 4</w:t>
            </w:r>
          </w:p>
        </w:tc>
        <w:tc>
          <w:tcPr>
            <w:tcW w:type="dxa" w:w="2304"/>
          </w:tcPr>
          <w:p>
            <w:pPr>
              <w:spacing w:after="60"/>
            </w:pPr>
            <w:r/>
            <w:r>
              <w:rPr>
                <w:b w:val="0"/>
                <w:sz w:val="20"/>
              </w:rPr>
              <w:t>Sensor Integration</w:t>
            </w:r>
          </w:p>
        </w:tc>
        <w:tc>
          <w:tcPr>
            <w:tcW w:type="dxa" w:w="3744"/>
          </w:tcPr>
          <w:p>
            <w:pPr>
              <w:spacing w:after="60"/>
            </w:pPr>
            <w:r/>
            <w:r>
              <w:rPr>
                <w:b w:val="0"/>
                <w:sz w:val="20"/>
              </w:rPr>
              <w:t>Hardware Power Architecture Finalization &amp; Final PID/Jetson Camera Prep</w:t>
            </w:r>
          </w:p>
        </w:tc>
        <w:tc>
          <w:tcPr>
            <w:tcW w:type="dxa" w:w="2160"/>
          </w:tcPr>
          <w:p>
            <w:pPr>
              <w:spacing w:after="60"/>
            </w:pPr>
            <w:r/>
            <w:r>
              <w:rPr>
                <w:b w:val="0"/>
                <w:sz w:val="20"/>
              </w:rPr>
              <w:t>Completed</w:t>
            </w:r>
          </w:p>
        </w:tc>
      </w:tr>
      <w:tr>
        <w:tc>
          <w:tcPr>
            <w:tcW w:type="dxa" w:w="1152"/>
          </w:tcPr>
          <w:p>
            <w:pPr>
              <w:spacing w:after="60"/>
            </w:pPr>
            <w:r/>
            <w:r>
              <w:rPr>
                <w:b w:val="0"/>
                <w:sz w:val="20"/>
              </w:rPr>
              <w:t>Week 5</w:t>
            </w:r>
          </w:p>
        </w:tc>
        <w:tc>
          <w:tcPr>
            <w:tcW w:type="dxa" w:w="2304"/>
          </w:tcPr>
          <w:p>
            <w:pPr>
              <w:spacing w:after="60"/>
            </w:pPr>
            <w:r/>
            <w:r>
              <w:rPr>
                <w:b w:val="0"/>
                <w:sz w:val="20"/>
              </w:rPr>
              <w:t>Kinematics &amp; Vision</w:t>
            </w:r>
          </w:p>
        </w:tc>
        <w:tc>
          <w:tcPr>
            <w:tcW w:type="dxa" w:w="3744"/>
          </w:tcPr>
          <w:p>
            <w:pPr>
              <w:spacing w:after="60"/>
            </w:pPr>
            <w:r/>
            <w:r>
              <w:rPr>
                <w:b w:val="0"/>
                <w:sz w:val="20"/>
              </w:rPr>
              <w:t>Odometry &amp; Start of Computer Vision</w:t>
            </w:r>
          </w:p>
        </w:tc>
        <w:tc>
          <w:tcPr>
            <w:tcW w:type="dxa" w:w="2160"/>
          </w:tcPr>
          <w:p>
            <w:pPr>
              <w:spacing w:after="60"/>
            </w:pPr>
            <w:r/>
            <w:r>
              <w:rPr>
                <w:b w:val="0"/>
                <w:sz w:val="20"/>
              </w:rPr>
              <w:t>Completed</w:t>
            </w:r>
          </w:p>
        </w:tc>
      </w:tr>
      <w:tr>
        <w:tc>
          <w:tcPr>
            <w:tcW w:type="dxa" w:w="1152"/>
            <w:shd w:val="clear" w:color="auto" w:fill="F3EFFA"/>
          </w:tcPr>
          <w:p>
            <w:pPr>
              <w:spacing w:after="60"/>
            </w:pPr>
            <w:r/>
            <w:r>
              <w:rPr>
                <w:b w:val="0"/>
                <w:sz w:val="20"/>
              </w:rPr>
              <w:t>Week 6</w:t>
            </w:r>
          </w:p>
        </w:tc>
        <w:tc>
          <w:tcPr>
            <w:tcW w:type="dxa" w:w="2304"/>
            <w:shd w:val="clear" w:color="auto" w:fill="F3EFFA"/>
          </w:tcPr>
          <w:p>
            <w:pPr>
              <w:spacing w:after="60"/>
            </w:pPr>
            <w:r/>
            <w:r>
              <w:rPr>
                <w:b w:val="0"/>
                <w:sz w:val="20"/>
              </w:rPr>
              <w:t>Navigation &amp; SLAM</w:t>
            </w:r>
          </w:p>
        </w:tc>
        <w:tc>
          <w:tcPr>
            <w:tcW w:type="dxa" w:w="3744"/>
            <w:shd w:val="clear" w:color="auto" w:fill="F3EFFA"/>
          </w:tcPr>
          <w:p>
            <w:pPr>
              <w:spacing w:after="60"/>
            </w:pPr>
            <w:r/>
            <w:r>
              <w:rPr>
                <w:b w:val="0"/>
                <w:sz w:val="20"/>
              </w:rPr>
              <w:t>Stereo Calibration, Isaac ROS &amp; Nav2 MVP</w:t>
            </w:r>
          </w:p>
        </w:tc>
        <w:tc>
          <w:tcPr>
            <w:tcW w:type="dxa" w:w="2160"/>
            <w:shd w:val="clear" w:color="auto" w:fill="F3EFFA"/>
          </w:tcPr>
          <w:p>
            <w:pPr>
              <w:spacing w:after="60"/>
            </w:pPr>
            <w:r/>
            <w:r>
              <w:rPr>
                <w:b w:val="0"/>
                <w:sz w:val="20"/>
              </w:rPr>
              <w:t>Pending at Nav2</w:t>
            </w:r>
          </w:p>
        </w:tc>
      </w:tr>
      <w:tr>
        <w:tc>
          <w:tcPr>
            <w:tcW w:type="dxa" w:w="1152"/>
          </w:tcPr>
          <w:p>
            <w:pPr>
              <w:spacing w:after="60"/>
            </w:pPr>
            <w:r/>
            <w:r>
              <w:rPr>
                <w:b w:val="0"/>
                <w:sz w:val="20"/>
              </w:rPr>
              <w:t>Week 7</w:t>
            </w:r>
          </w:p>
        </w:tc>
        <w:tc>
          <w:tcPr>
            <w:tcW w:type="dxa" w:w="2304"/>
          </w:tcPr>
          <w:p>
            <w:pPr>
              <w:spacing w:after="60"/>
            </w:pPr>
            <w:r/>
            <w:r>
              <w:rPr>
                <w:b w:val="0"/>
                <w:sz w:val="20"/>
              </w:rPr>
              <w:t>Semantic Navigation</w:t>
            </w:r>
          </w:p>
        </w:tc>
        <w:tc>
          <w:tcPr>
            <w:tcW w:type="dxa" w:w="3744"/>
          </w:tcPr>
          <w:p>
            <w:pPr>
              <w:spacing w:after="60"/>
            </w:pPr>
            <w:r/>
            <w:r>
              <w:rPr>
                <w:b w:val="0"/>
                <w:sz w:val="20"/>
              </w:rPr>
              <w:t>TensorRT Object Detection &amp; Target Routing</w:t>
            </w:r>
          </w:p>
        </w:tc>
        <w:tc>
          <w:tcPr>
            <w:tcW w:type="dxa" w:w="2160"/>
          </w:tcPr>
          <w:p>
            <w:pPr>
              <w:spacing w:after="60"/>
            </w:pPr>
            <w:r/>
            <w:r>
              <w:rPr>
                <w:b w:val="0"/>
                <w:sz w:val="20"/>
              </w:rPr>
            </w:r>
          </w:p>
        </w:tc>
      </w:tr>
      <w:tr>
        <w:tc>
          <w:tcPr>
            <w:tcW w:type="dxa" w:w="1152"/>
          </w:tcPr>
          <w:p>
            <w:pPr>
              <w:spacing w:after="60"/>
            </w:pPr>
            <w:r/>
            <w:r>
              <w:rPr>
                <w:b w:val="0"/>
                <w:sz w:val="20"/>
              </w:rPr>
              <w:t>Week 8</w:t>
            </w:r>
          </w:p>
        </w:tc>
        <w:tc>
          <w:tcPr>
            <w:tcW w:type="dxa" w:w="2304"/>
          </w:tcPr>
          <w:p>
            <w:pPr>
              <w:spacing w:after="60"/>
            </w:pPr>
            <w:r/>
            <w:r>
              <w:rPr>
                <w:b w:val="0"/>
                <w:sz w:val="20"/>
              </w:rPr>
              <w:t>System Integration</w:t>
            </w:r>
          </w:p>
        </w:tc>
        <w:tc>
          <w:tcPr>
            <w:tcW w:type="dxa" w:w="3744"/>
          </w:tcPr>
          <w:p>
            <w:pPr>
              <w:spacing w:after="60"/>
            </w:pPr>
            <w:r/>
            <w:r>
              <w:rPr>
                <w:b w:val="0"/>
                <w:sz w:val="20"/>
              </w:rPr>
              <w:t>Full Search &amp; Rescue Loop (Navigate + Report)</w:t>
            </w:r>
          </w:p>
        </w:tc>
        <w:tc>
          <w:tcPr>
            <w:tcW w:type="dxa" w:w="2160"/>
          </w:tcPr>
          <w:p>
            <w:pPr>
              <w:spacing w:after="60"/>
            </w:pPr>
            <w:r/>
            <w:r>
              <w:rPr>
                <w:b w:val="0"/>
                <w:sz w:val="20"/>
              </w:rPr>
            </w:r>
          </w:p>
        </w:tc>
      </w:tr>
      <w:tr>
        <w:tc>
          <w:tcPr>
            <w:tcW w:type="dxa" w:w="1152"/>
          </w:tcPr>
          <w:p>
            <w:pPr>
              <w:spacing w:after="60"/>
            </w:pPr>
            <w:r/>
            <w:r>
              <w:rPr>
                <w:b w:val="0"/>
                <w:sz w:val="20"/>
              </w:rPr>
              <w:t>Week 9</w:t>
            </w:r>
          </w:p>
        </w:tc>
        <w:tc>
          <w:tcPr>
            <w:tcW w:type="dxa" w:w="2304"/>
          </w:tcPr>
          <w:p>
            <w:pPr>
              <w:spacing w:after="60"/>
            </w:pPr>
            <w:r/>
            <w:r>
              <w:rPr>
                <w:b w:val="0"/>
                <w:sz w:val="20"/>
              </w:rPr>
              <w:t>Field Testing</w:t>
            </w:r>
          </w:p>
        </w:tc>
        <w:tc>
          <w:tcPr>
            <w:tcW w:type="dxa" w:w="3744"/>
          </w:tcPr>
          <w:p>
            <w:pPr>
              <w:spacing w:after="60"/>
            </w:pPr>
            <w:r/>
            <w:r>
              <w:rPr>
                <w:b w:val="0"/>
                <w:sz w:val="20"/>
              </w:rPr>
              <w:t>Drift Metrics, Nav Success Rate &amp; Benchmark</w:t>
            </w:r>
          </w:p>
        </w:tc>
        <w:tc>
          <w:tcPr>
            <w:tcW w:type="dxa" w:w="2160"/>
          </w:tcPr>
          <w:p>
            <w:pPr>
              <w:spacing w:after="60"/>
            </w:pPr>
            <w:r/>
            <w:r>
              <w:rPr>
                <w:b w:val="0"/>
                <w:sz w:val="20"/>
              </w:rPr>
            </w:r>
          </w:p>
        </w:tc>
      </w:tr>
      <w:tr>
        <w:tc>
          <w:tcPr>
            <w:tcW w:type="dxa" w:w="1152"/>
          </w:tcPr>
          <w:p>
            <w:pPr>
              <w:spacing w:after="60"/>
            </w:pPr>
            <w:r/>
            <w:r>
              <w:rPr>
                <w:b w:val="0"/>
                <w:sz w:val="20"/>
              </w:rPr>
              <w:t>Week 10</w:t>
            </w:r>
          </w:p>
        </w:tc>
        <w:tc>
          <w:tcPr>
            <w:tcW w:type="dxa" w:w="2304"/>
          </w:tcPr>
          <w:p>
            <w:pPr>
              <w:spacing w:after="60"/>
            </w:pPr>
            <w:r/>
            <w:r>
              <w:rPr>
                <w:b w:val="0"/>
                <w:sz w:val="20"/>
              </w:rPr>
              <w:t>Final Presentation</w:t>
            </w:r>
          </w:p>
        </w:tc>
        <w:tc>
          <w:tcPr>
            <w:tcW w:type="dxa" w:w="3744"/>
          </w:tcPr>
          <w:p>
            <w:pPr>
              <w:spacing w:after="60"/>
            </w:pPr>
            <w:r/>
            <w:r>
              <w:rPr>
                <w:b w:val="0"/>
                <w:sz w:val="20"/>
              </w:rPr>
              <w:t>Final Documentation, Video Demo &amp; Code Freeze</w:t>
            </w:r>
          </w:p>
        </w:tc>
        <w:tc>
          <w:tcPr>
            <w:tcW w:type="dxa" w:w="2160"/>
          </w:tcPr>
          <w:p>
            <w:pPr>
              <w:spacing w:after="60"/>
            </w:pPr>
            <w:r/>
            <w:r>
              <w:rPr>
                <w:b w:val="0"/>
                <w:sz w:val="20"/>
              </w:rPr>
            </w:r>
          </w:p>
        </w:tc>
      </w:tr>
    </w:tbl>
    <w:p/>
    <w:p>
      <w:pPr>
        <w:pStyle w:val="Heading2"/>
      </w:pPr>
      <w:r>
        <w:t>Week 6: Stereo Vision, Isaac ROS SLAM, and Nav2 MVP</w:t>
      </w:r>
    </w:p>
    <w:p>
      <w:r>
        <w:rPr>
          <w:b/>
        </w:rPr>
        <w:t xml:space="preserve">Current Status: </w:t>
      </w:r>
      <w:r>
        <w:t>Core navigation stack complete; obstacle-avoidance costmap carried into Week 7</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016"/>
            <w:shd w:val="clear" w:color="auto" w:fill="D9D2E9"/>
          </w:tcPr>
          <w:p>
            <w:pPr>
              <w:spacing w:after="60"/>
            </w:pPr>
            <w:r/>
            <w:r>
              <w:rPr>
                <w:b/>
                <w:sz w:val="20"/>
              </w:rPr>
              <w:t>Task / Feature</w:t>
            </w:r>
          </w:p>
        </w:tc>
        <w:tc>
          <w:tcPr>
            <w:tcW w:type="dxa" w:w="1872"/>
            <w:shd w:val="clear" w:color="auto" w:fill="D9D2E9"/>
          </w:tcPr>
          <w:p>
            <w:pPr>
              <w:spacing w:after="60"/>
            </w:pPr>
            <w:r/>
            <w:r>
              <w:rPr>
                <w:b/>
                <w:sz w:val="20"/>
              </w:rPr>
              <w:t>Status</w:t>
            </w:r>
          </w:p>
        </w:tc>
        <w:tc>
          <w:tcPr>
            <w:tcW w:type="dxa" w:w="5472"/>
            <w:shd w:val="clear" w:color="auto" w:fill="D9D2E9"/>
          </w:tcPr>
          <w:p>
            <w:pPr>
              <w:spacing w:after="60"/>
            </w:pPr>
            <w:r/>
            <w:r>
              <w:rPr>
                <w:b/>
                <w:sz w:val="20"/>
              </w:rPr>
              <w:t>Description</w:t>
            </w:r>
          </w:p>
        </w:tc>
      </w:tr>
      <w:tr>
        <w:tc>
          <w:tcPr>
            <w:tcW w:type="dxa" w:w="2016"/>
          </w:tcPr>
          <w:p>
            <w:pPr>
              <w:spacing w:after="60"/>
            </w:pPr>
            <w:r/>
            <w:r>
              <w:rPr>
                <w:b w:val="0"/>
                <w:sz w:val="20"/>
              </w:rPr>
              <w:t>Stereo Camera Calibration</w:t>
            </w:r>
          </w:p>
        </w:tc>
        <w:tc>
          <w:tcPr>
            <w:tcW w:type="dxa" w:w="1872"/>
          </w:tcPr>
          <w:p>
            <w:pPr>
              <w:spacing w:after="60"/>
            </w:pPr>
            <w:r/>
            <w:r>
              <w:rPr>
                <w:b w:val="0"/>
                <w:sz w:val="20"/>
              </w:rPr>
              <w:t>Completed</w:t>
            </w:r>
          </w:p>
        </w:tc>
        <w:tc>
          <w:tcPr>
            <w:tcW w:type="dxa" w:w="5472"/>
          </w:tcPr>
          <w:p>
            <w:pPr>
              <w:spacing w:after="60"/>
            </w:pPr>
            <w:r/>
            <w:r>
              <w:rPr>
                <w:b w:val="0"/>
                <w:sz w:val="20"/>
              </w:rPr>
              <w:t>We mounted the second IMX219 camera horizontally to the first one, using the standard 8.3cm distance between them, to be used for a synchronized stereo image pair. This is a technique to accurately calculate depth information and 3D reconstruction from the slight differences (disparities) between each camera's viewing angle.</w:t>
            </w:r>
          </w:p>
          <w:p>
            <w:pPr>
              <w:spacing w:after="60"/>
            </w:pPr>
            <w:r>
              <w:rPr>
                <w:b w:val="0"/>
                <w:sz w:val="20"/>
              </w:rPr>
              <w:t>To ensure an accurate mount, we 3D printed a rectangular piece with predetermined screw holes at exactly 8.3cm apart. However, because we wanted to get a piece printed quickly for testing, we straight up eye-estimated the screw length. Turns out, the design was slightly too thin and the screws would protrude through it, hitting the metal frame of the Jetson and warping the mount. Hence, we ended up having to make a thicker design and print again.</w:t>
            </w:r>
          </w:p>
          <w:p>
            <w:pPr>
              <w:spacing w:after="60"/>
            </w:pPr>
            <w:r>
              <w:rPr>
                <w:b w:val="0"/>
                <w:sz w:val="20"/>
              </w:rPr>
              <w:t>We successfully calibrated the pinhole camera models to eliminate lens distortion and calculate the precise physical offset between the lenses.</w:t>
            </w:r>
          </w:p>
        </w:tc>
      </w:tr>
      <w:tr>
        <w:tc>
          <w:tcPr>
            <w:tcW w:type="dxa" w:w="2016"/>
          </w:tcPr>
          <w:p>
            <w:pPr>
              <w:spacing w:after="60"/>
            </w:pPr>
            <w:r/>
            <w:r>
              <w:rPr>
                <w:b w:val="0"/>
                <w:sz w:val="20"/>
              </w:rPr>
              <w:t>Isaac ROS SLAM Integration</w:t>
            </w:r>
          </w:p>
        </w:tc>
        <w:tc>
          <w:tcPr>
            <w:tcW w:type="dxa" w:w="1872"/>
          </w:tcPr>
          <w:p>
            <w:pPr>
              <w:spacing w:after="60"/>
            </w:pPr>
            <w:r/>
            <w:r>
              <w:rPr>
                <w:b w:val="0"/>
                <w:sz w:val="20"/>
              </w:rPr>
              <w:t>Completed</w:t>
            </w:r>
          </w:p>
        </w:tc>
        <w:tc>
          <w:tcPr>
            <w:tcW w:type="dxa" w:w="5472"/>
          </w:tcPr>
          <w:p>
            <w:pPr>
              <w:spacing w:after="60"/>
            </w:pPr>
            <w:r/>
            <w:r>
              <w:rPr>
                <w:b w:val="0"/>
                <w:sz w:val="20"/>
              </w:rPr>
              <w:t>Configured and launched NVIDIA's GPU-accelerated Visual SLAM (isaac_ros_visual_slam) inside a Docker container on the Jetson. The system successfully initialized the tracking pipeline and began publishing visual odometry (vo_pose) at a stable 30 Hz.</w:t>
            </w:r>
          </w:p>
          <w:p>
            <w:pPr>
              <w:spacing w:after="60"/>
            </w:pPr>
            <w:r>
              <w:rPr>
                <w:b w:val="0"/>
                <w:sz w:val="20"/>
              </w:rPr>
              <w:t>This is used for the robot to draw a mental map of its surroundings and locate itself on this map as it starts moving around. We used Isaac ROS as it is a specific software package by NVIDIA to speed up the localization math.</w:t>
            </w:r>
          </w:p>
        </w:tc>
      </w:tr>
      <w:tr>
        <w:tc>
          <w:tcPr>
            <w:tcW w:type="dxa" w:w="2016"/>
          </w:tcPr>
          <w:p>
            <w:pPr>
              <w:spacing w:after="60"/>
            </w:pPr>
            <w:r/>
            <w:r>
              <w:rPr>
                <w:b w:val="0"/>
                <w:sz w:val="20"/>
              </w:rPr>
              <w:t>Nav2 Closed-Loop MVP</w:t>
            </w:r>
          </w:p>
        </w:tc>
        <w:tc>
          <w:tcPr>
            <w:tcW w:type="dxa" w:w="1872"/>
          </w:tcPr>
          <w:p>
            <w:pPr>
              <w:spacing w:after="60"/>
            </w:pPr>
            <w:r/>
            <w:r>
              <w:rPr>
                <w:b w:val="0"/>
                <w:sz w:val="20"/>
              </w:rPr>
              <w:t>Core loop complete; obstacle-avoidance pending</w:t>
            </w:r>
          </w:p>
        </w:tc>
        <w:tc>
          <w:tcPr>
            <w:tcW w:type="dxa" w:w="5472"/>
          </w:tcPr>
          <w:p>
            <w:pPr>
              <w:spacing w:after="60"/>
            </w:pPr>
            <w:r/>
            <w:r>
              <w:rPr>
                <w:b w:val="0"/>
                <w:sz w:val="20"/>
              </w:rPr>
              <w:t>Implemented the standard ROS2 navigation stack (Nav2) ahead of schedule. Because the SLAM map is still undergoing debugging, we configured Nav2 to run directly off the ESP32's wheel odometry (/odom), proving the robot can accept a 2D goal coordinate in RViz2 and autonomously drive toward it.</w:t>
            </w:r>
          </w:p>
        </w:tc>
      </w:tr>
    </w:tbl>
    <w:p/>
    <w:p>
      <w:pPr>
        <w:pStyle w:val="Heading2"/>
      </w:pPr>
      <w:r>
        <w:t>Comments</w:t>
      </w:r>
    </w:p>
    <w:p>
      <w:pPr>
        <w:pStyle w:val="ListBullet"/>
        <w:spacing w:after="120"/>
      </w:pPr>
      <w:r>
        <w:rPr>
          <w:b/>
        </w:rPr>
        <w:t xml:space="preserve">What went well: </w:t>
      </w:r>
      <w:r>
        <w:rPr>
          <w:i w:val="0"/>
        </w:rPr>
        <w:t>Merging the Nav2 Minimum Viable Product (MVP) ahead of our original schedule was great. By writing a custom Python script (odom_to_tf.py) to bridge the ESP32's data into the format Nav2 expects, we proved our foundational drivetrain architecture works. The robot can now physically drive itself to a clicked target using purely its own wheel tracking.</w:t>
      </w:r>
    </w:p>
    <w:p>
      <w:pPr>
        <w:pStyle w:val="ListBullet"/>
        <w:spacing w:after="120"/>
      </w:pPr>
      <w:r>
        <w:rPr>
          <w:b/>
        </w:rPr>
        <w:t xml:space="preserve">Engineering Insight: </w:t>
      </w:r>
      <w:r>
        <w:rPr>
          <w:i w:val="0"/>
        </w:rPr>
        <w:t>The 22% camera calibration error was ultimately caused by a slightly loose CSI ribbon cable, not a software bug. Reseating the cable fixed the math instantly. This reinforced a recurring lesson in this project: when sensor math yields a plausible but wrong number, check the physical hardware connectors before rewriting the code.</w:t>
      </w:r>
    </w:p>
    <w:p>
      <w:pPr>
        <w:pStyle w:val="Heading2"/>
      </w:pPr>
      <w:r>
        <w:t>Figures</w:t>
      </w:r>
    </w:p>
    <w:p>
      <w:pPr>
        <w:keepNext/>
        <w:jc w:val="center"/>
      </w:pPr>
      <w:r>
        <w:drawing>
          <wp:inline xmlns:a="http://schemas.openxmlformats.org/drawingml/2006/main" xmlns:pic="http://schemas.openxmlformats.org/drawingml/2006/picture">
            <wp:extent cx="5120640" cy="2867558"/>
            <wp:docPr id="1" name="Picture 1"/>
            <wp:cNvGraphicFramePr>
              <a:graphicFrameLocks noChangeAspect="1"/>
            </wp:cNvGraphicFramePr>
            <a:graphic>
              <a:graphicData uri="http://schemas.openxmlformats.org/drawingml/2006/picture">
                <pic:pic>
                  <pic:nvPicPr>
                    <pic:cNvPr id="0" name="p24_0.jpg"/>
                    <pic:cNvPicPr/>
                  </pic:nvPicPr>
                  <pic:blipFill>
                    <a:blip r:embed="rId9"/>
                    <a:stretch>
                      <a:fillRect/>
                    </a:stretch>
                  </pic:blipFill>
                  <pic:spPr>
                    <a:xfrm>
                      <a:off x="0" y="0"/>
                      <a:ext cx="5120640" cy="2867558"/>
                    </a:xfrm>
                    <a:prstGeom prst="rect"/>
                  </pic:spPr>
                </pic:pic>
              </a:graphicData>
            </a:graphic>
          </wp:inline>
        </w:drawing>
      </w:r>
    </w:p>
    <w:p>
      <w:pPr>
        <w:jc w:val="center"/>
      </w:pPr>
      <w:r>
        <w:rPr>
          <w:i/>
          <w:sz w:val="19"/>
        </w:rPr>
        <w:t>Figure: New robot hardware showing the stereo camera, the precise 8.3cm calibration piece, and the 18650 battery to power the motors.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C2F6B"/>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3C2F6B"/>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