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1</w:t>
      </w:r>
    </w:p>
    <w:p>
      <w:pPr>
        <w:pStyle w:val="Heading2"/>
      </w:pPr>
      <w:r>
        <w:t>Master Schedule</w:t>
      </w:r>
    </w:p>
    <w:p>
      <w:pPr>
        <w:spacing w:after="120"/>
      </w:pPr>
      <w:r>
        <w:rPr>
          <w:i w:val="0"/>
        </w:rPr>
        <w:t>This is the current plan for the entire project. It showcases the current progress and upcoming intention; however, the future weeks' plans are subject to change as the project is further developed.</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152"/>
            <w:shd w:val="clear" w:color="auto" w:fill="D9D2E9"/>
          </w:tcPr>
          <w:p>
            <w:pPr>
              <w:spacing w:after="60"/>
            </w:pPr>
            <w:r/>
            <w:r>
              <w:rPr>
                <w:b/>
                <w:sz w:val="20"/>
              </w:rPr>
              <w:t>Week</w:t>
            </w:r>
          </w:p>
        </w:tc>
        <w:tc>
          <w:tcPr>
            <w:tcW w:type="dxa" w:w="2304"/>
            <w:shd w:val="clear" w:color="auto" w:fill="D9D2E9"/>
          </w:tcPr>
          <w:p>
            <w:pPr>
              <w:spacing w:after="60"/>
            </w:pPr>
            <w:r/>
            <w:r>
              <w:rPr>
                <w:b/>
                <w:sz w:val="20"/>
              </w:rPr>
              <w:t>Phase / Focus</w:t>
            </w:r>
          </w:p>
        </w:tc>
        <w:tc>
          <w:tcPr>
            <w:tcW w:type="dxa" w:w="3744"/>
            <w:shd w:val="clear" w:color="auto" w:fill="D9D2E9"/>
          </w:tcPr>
          <w:p>
            <w:pPr>
              <w:spacing w:after="60"/>
            </w:pPr>
            <w:r/>
            <w:r>
              <w:rPr>
                <w:b/>
                <w:sz w:val="20"/>
              </w:rPr>
              <w:t>Key Deliverable</w:t>
            </w:r>
          </w:p>
        </w:tc>
        <w:tc>
          <w:tcPr>
            <w:tcW w:type="dxa" w:w="2160"/>
            <w:shd w:val="clear" w:color="auto" w:fill="D9D2E9"/>
          </w:tcPr>
          <w:p>
            <w:pPr>
              <w:spacing w:after="60"/>
            </w:pPr>
            <w:r/>
            <w:r>
              <w:rPr>
                <w:b/>
                <w:sz w:val="20"/>
              </w:rPr>
              <w:t>Status</w:t>
            </w:r>
          </w:p>
        </w:tc>
      </w:tr>
      <w:tr>
        <w:tc>
          <w:tcPr>
            <w:tcW w:type="dxa" w:w="1152"/>
            <w:shd w:val="clear" w:color="auto" w:fill="F3EFFA"/>
          </w:tcPr>
          <w:p>
            <w:pPr>
              <w:spacing w:after="60"/>
            </w:pPr>
            <w:r/>
            <w:r>
              <w:rPr>
                <w:b w:val="0"/>
                <w:sz w:val="20"/>
              </w:rPr>
              <w:t>Week 1</w:t>
            </w:r>
          </w:p>
        </w:tc>
        <w:tc>
          <w:tcPr>
            <w:tcW w:type="dxa" w:w="2304"/>
            <w:shd w:val="clear" w:color="auto" w:fill="F3EFFA"/>
          </w:tcPr>
          <w:p>
            <w:pPr>
              <w:spacing w:after="60"/>
            </w:pPr>
            <w:r/>
            <w:r>
              <w:rPr>
                <w:b w:val="0"/>
                <w:sz w:val="20"/>
              </w:rPr>
              <w:t>Core Architecture</w:t>
            </w:r>
          </w:p>
        </w:tc>
        <w:tc>
          <w:tcPr>
            <w:tcW w:type="dxa" w:w="3744"/>
            <w:shd w:val="clear" w:color="auto" w:fill="F3EFFA"/>
          </w:tcPr>
          <w:p>
            <w:pPr>
              <w:spacing w:after="60"/>
            </w:pPr>
            <w:r/>
            <w:r>
              <w:rPr>
                <w:b w:val="0"/>
                <w:sz w:val="20"/>
              </w:rPr>
              <w:t>Project Initialization, Pipeline, ESP-IDF Setup, &amp; Ordering Hardware</w:t>
            </w:r>
          </w:p>
        </w:tc>
        <w:tc>
          <w:tcPr>
            <w:tcW w:type="dxa" w:w="2160"/>
            <w:shd w:val="clear" w:color="auto" w:fill="F3EFFA"/>
          </w:tcPr>
          <w:p>
            <w:pPr>
              <w:spacing w:after="60"/>
            </w:pPr>
            <w:r/>
            <w:r>
              <w:rPr>
                <w:b w:val="0"/>
                <w:sz w:val="20"/>
              </w:rPr>
              <w:t>Completed; hardware delays</w:t>
            </w:r>
          </w:p>
        </w:tc>
      </w:tr>
      <w:tr>
        <w:tc>
          <w:tcPr>
            <w:tcW w:type="dxa" w:w="1152"/>
          </w:tcPr>
          <w:p>
            <w:pPr>
              <w:spacing w:after="60"/>
            </w:pPr>
            <w:r/>
            <w:r>
              <w:rPr>
                <w:b w:val="0"/>
                <w:sz w:val="20"/>
              </w:rPr>
              <w:t>Week 2</w:t>
            </w:r>
          </w:p>
        </w:tc>
        <w:tc>
          <w:tcPr>
            <w:tcW w:type="dxa" w:w="2304"/>
          </w:tcPr>
          <w:p>
            <w:pPr>
              <w:spacing w:after="60"/>
            </w:pPr>
            <w:r/>
            <w:r>
              <w:rPr>
                <w:b w:val="0"/>
                <w:sz w:val="20"/>
              </w:rPr>
              <w:t>System Design</w:t>
            </w:r>
          </w:p>
        </w:tc>
        <w:tc>
          <w:tcPr>
            <w:tcW w:type="dxa" w:w="3744"/>
          </w:tcPr>
          <w:p>
            <w:pPr>
              <w:spacing w:after="60"/>
            </w:pPr>
            <w:r/>
            <w:r>
              <w:rPr>
                <w:b w:val="0"/>
                <w:sz w:val="20"/>
              </w:rPr>
              <w:t>I/O Specs, Hardware Architecture Planning &amp; Electronics Power Plans</w:t>
            </w:r>
          </w:p>
        </w:tc>
        <w:tc>
          <w:tcPr>
            <w:tcW w:type="dxa" w:w="2160"/>
          </w:tcPr>
          <w:p>
            <w:pPr>
              <w:spacing w:after="60"/>
            </w:pPr>
            <w:r/>
            <w:r>
              <w:rPr>
                <w:b w:val="0"/>
                <w:sz w:val="20"/>
              </w:rPr>
            </w:r>
          </w:p>
        </w:tc>
      </w:tr>
      <w:tr>
        <w:tc>
          <w:tcPr>
            <w:tcW w:type="dxa" w:w="1152"/>
          </w:tcPr>
          <w:p>
            <w:pPr>
              <w:spacing w:after="60"/>
            </w:pPr>
            <w:r/>
            <w:r>
              <w:rPr>
                <w:b w:val="0"/>
                <w:sz w:val="20"/>
              </w:rPr>
              <w:t>Week 3</w:t>
            </w:r>
          </w:p>
        </w:tc>
        <w:tc>
          <w:tcPr>
            <w:tcW w:type="dxa" w:w="2304"/>
          </w:tcPr>
          <w:p>
            <w:pPr>
              <w:spacing w:after="60"/>
            </w:pPr>
            <w:r/>
            <w:r>
              <w:rPr>
                <w:b w:val="0"/>
                <w:sz w:val="20"/>
              </w:rPr>
              <w:t>Drivetrain Prototyping</w:t>
            </w:r>
          </w:p>
        </w:tc>
        <w:tc>
          <w:tcPr>
            <w:tcW w:type="dxa" w:w="3744"/>
          </w:tcPr>
          <w:p>
            <w:pPr>
              <w:spacing w:after="60"/>
            </w:pPr>
            <w:r/>
            <w:r>
              <w:rPr>
                <w:b w:val="0"/>
                <w:sz w:val="20"/>
              </w:rPr>
              <w:t>ESP32 Motor Firmware &amp; H-Bridge Integration</w:t>
            </w:r>
          </w:p>
        </w:tc>
        <w:tc>
          <w:tcPr>
            <w:tcW w:type="dxa" w:w="2160"/>
          </w:tcPr>
          <w:p>
            <w:pPr>
              <w:spacing w:after="60"/>
            </w:pPr>
            <w:r/>
            <w:r>
              <w:rPr>
                <w:b w:val="0"/>
                <w:sz w:val="20"/>
              </w:rPr>
            </w:r>
          </w:p>
        </w:tc>
      </w:tr>
      <w:tr>
        <w:tc>
          <w:tcPr>
            <w:tcW w:type="dxa" w:w="1152"/>
          </w:tcPr>
          <w:p>
            <w:pPr>
              <w:spacing w:after="60"/>
            </w:pPr>
            <w:r/>
            <w:r>
              <w:rPr>
                <w:b w:val="0"/>
                <w:sz w:val="20"/>
              </w:rPr>
              <w:t>Week 4</w:t>
            </w:r>
          </w:p>
        </w:tc>
        <w:tc>
          <w:tcPr>
            <w:tcW w:type="dxa" w:w="2304"/>
          </w:tcPr>
          <w:p>
            <w:pPr>
              <w:spacing w:after="60"/>
            </w:pPr>
            <w:r/>
            <w:r>
              <w:rPr>
                <w:b w:val="0"/>
                <w:sz w:val="20"/>
              </w:rPr>
              <w:t>Sensor Integration</w:t>
            </w:r>
          </w:p>
        </w:tc>
        <w:tc>
          <w:tcPr>
            <w:tcW w:type="dxa" w:w="3744"/>
          </w:tcPr>
          <w:p>
            <w:pPr>
              <w:spacing w:after="60"/>
            </w:pPr>
            <w:r/>
            <w:r>
              <w:rPr>
                <w:b w:val="0"/>
                <w:sz w:val="20"/>
              </w:rPr>
              <w:t>Encoders, ISR Pulse Counting &amp; Power Decoupling</w:t>
            </w:r>
          </w:p>
        </w:tc>
        <w:tc>
          <w:tcPr>
            <w:tcW w:type="dxa" w:w="2160"/>
          </w:tcPr>
          <w:p>
            <w:pPr>
              <w:spacing w:after="60"/>
            </w:pPr>
            <w:r/>
            <w:r>
              <w:rPr>
                <w:b w:val="0"/>
                <w:sz w:val="20"/>
              </w:rPr>
            </w:r>
          </w:p>
        </w:tc>
      </w:tr>
      <w:tr>
        <w:tc>
          <w:tcPr>
            <w:tcW w:type="dxa" w:w="1152"/>
          </w:tcPr>
          <w:p>
            <w:pPr>
              <w:spacing w:after="60"/>
            </w:pPr>
            <w:r/>
            <w:r>
              <w:rPr>
                <w:b w:val="0"/>
                <w:sz w:val="20"/>
              </w:rPr>
              <w:t>Week 5</w:t>
            </w:r>
          </w:p>
        </w:tc>
        <w:tc>
          <w:tcPr>
            <w:tcW w:type="dxa" w:w="2304"/>
          </w:tcPr>
          <w:p>
            <w:pPr>
              <w:spacing w:after="60"/>
            </w:pPr>
            <w:r/>
            <w:r>
              <w:rPr>
                <w:b w:val="0"/>
                <w:sz w:val="20"/>
              </w:rPr>
              <w:t>Kinematics &amp; Vision</w:t>
            </w:r>
          </w:p>
        </w:tc>
        <w:tc>
          <w:tcPr>
            <w:tcW w:type="dxa" w:w="3744"/>
          </w:tcPr>
          <w:p>
            <w:pPr>
              <w:spacing w:after="60"/>
            </w:pPr>
            <w:r/>
            <w:r>
              <w:rPr>
                <w:b w:val="0"/>
                <w:sz w:val="20"/>
              </w:rPr>
              <w:t>PI Velocity Control, Odometry &amp; YOLOv8 Duck Dataset</w:t>
            </w:r>
          </w:p>
        </w:tc>
        <w:tc>
          <w:tcPr>
            <w:tcW w:type="dxa" w:w="2160"/>
          </w:tcPr>
          <w:p>
            <w:pPr>
              <w:spacing w:after="60"/>
            </w:pPr>
            <w:r/>
            <w:r>
              <w:rPr>
                <w:b w:val="0"/>
                <w:sz w:val="20"/>
              </w:rPr>
            </w:r>
          </w:p>
        </w:tc>
      </w:tr>
      <w:tr>
        <w:tc>
          <w:tcPr>
            <w:tcW w:type="dxa" w:w="1152"/>
          </w:tcPr>
          <w:p>
            <w:pPr>
              <w:spacing w:after="60"/>
            </w:pPr>
            <w:r/>
            <w:r>
              <w:rPr>
                <w:b w:val="0"/>
                <w:sz w:val="20"/>
              </w:rPr>
              <w:t>Week 6</w:t>
            </w:r>
          </w:p>
        </w:tc>
        <w:tc>
          <w:tcPr>
            <w:tcW w:type="dxa" w:w="2304"/>
          </w:tcPr>
          <w:p>
            <w:pPr>
              <w:spacing w:after="60"/>
            </w:pPr>
            <w:r/>
            <w:r>
              <w:rPr>
                <w:b w:val="0"/>
                <w:sz w:val="20"/>
              </w:rPr>
              <w:t>Navigation &amp; SLAM</w:t>
            </w:r>
          </w:p>
        </w:tc>
        <w:tc>
          <w:tcPr>
            <w:tcW w:type="dxa" w:w="3744"/>
          </w:tcPr>
          <w:p>
            <w:pPr>
              <w:spacing w:after="60"/>
            </w:pPr>
            <w:r/>
            <w:r>
              <w:rPr>
                <w:b w:val="0"/>
                <w:sz w:val="20"/>
              </w:rPr>
              <w:t>Stereo Calibration, Isaac ROS &amp; Nav2 MVP</w:t>
            </w:r>
          </w:p>
        </w:tc>
        <w:tc>
          <w:tcPr>
            <w:tcW w:type="dxa" w:w="2160"/>
          </w:tcPr>
          <w:p>
            <w:pPr>
              <w:spacing w:after="60"/>
            </w:pPr>
            <w:r/>
            <w:r>
              <w:rPr>
                <w:b w:val="0"/>
                <w:sz w:val="20"/>
              </w:rPr>
            </w:r>
          </w:p>
        </w:tc>
      </w:tr>
      <w:tr>
        <w:tc>
          <w:tcPr>
            <w:tcW w:type="dxa" w:w="1152"/>
          </w:tcPr>
          <w:p>
            <w:pPr>
              <w:spacing w:after="60"/>
            </w:pPr>
            <w:r/>
            <w:r>
              <w:rPr>
                <w:b w:val="0"/>
                <w:sz w:val="20"/>
              </w:rPr>
              <w:t>Week 7</w:t>
            </w:r>
          </w:p>
        </w:tc>
        <w:tc>
          <w:tcPr>
            <w:tcW w:type="dxa" w:w="2304"/>
          </w:tcPr>
          <w:p>
            <w:pPr>
              <w:spacing w:after="60"/>
            </w:pPr>
            <w:r/>
            <w:r>
              <w:rPr>
                <w:b w:val="0"/>
                <w:sz w:val="20"/>
              </w:rPr>
              <w:t>Semantic Navigation</w:t>
            </w:r>
          </w:p>
        </w:tc>
        <w:tc>
          <w:tcPr>
            <w:tcW w:type="dxa" w:w="3744"/>
          </w:tcPr>
          <w:p>
            <w:pPr>
              <w:spacing w:after="60"/>
            </w:pPr>
            <w:r/>
            <w:r>
              <w:rPr>
                <w:b w:val="0"/>
                <w:sz w:val="20"/>
              </w:rPr>
              <w:t>TensorRT Object Detection &amp; Target Routing</w:t>
            </w:r>
          </w:p>
        </w:tc>
        <w:tc>
          <w:tcPr>
            <w:tcW w:type="dxa" w:w="2160"/>
          </w:tcPr>
          <w:p>
            <w:pPr>
              <w:spacing w:after="60"/>
            </w:pPr>
            <w:r/>
            <w:r>
              <w:rPr>
                <w:b w:val="0"/>
                <w:sz w:val="20"/>
              </w:rPr>
            </w:r>
          </w:p>
        </w:tc>
      </w:tr>
      <w:tr>
        <w:tc>
          <w:tcPr>
            <w:tcW w:type="dxa" w:w="1152"/>
          </w:tcPr>
          <w:p>
            <w:pPr>
              <w:spacing w:after="60"/>
            </w:pPr>
            <w:r/>
            <w:r>
              <w:rPr>
                <w:b w:val="0"/>
                <w:sz w:val="20"/>
              </w:rPr>
              <w:t>Week 8</w:t>
            </w:r>
          </w:p>
        </w:tc>
        <w:tc>
          <w:tcPr>
            <w:tcW w:type="dxa" w:w="2304"/>
          </w:tcPr>
          <w:p>
            <w:pPr>
              <w:spacing w:after="60"/>
            </w:pPr>
            <w:r/>
            <w:r>
              <w:rPr>
                <w:b w:val="0"/>
                <w:sz w:val="20"/>
              </w:rPr>
              <w:t>System Integration</w:t>
            </w:r>
          </w:p>
        </w:tc>
        <w:tc>
          <w:tcPr>
            <w:tcW w:type="dxa" w:w="3744"/>
          </w:tcPr>
          <w:p>
            <w:pPr>
              <w:spacing w:after="60"/>
            </w:pPr>
            <w:r/>
            <w:r>
              <w:rPr>
                <w:b w:val="0"/>
                <w:sz w:val="20"/>
              </w:rPr>
              <w:t>Full Search &amp; Rescue Loop (Navigate + Report)</w:t>
            </w:r>
          </w:p>
        </w:tc>
        <w:tc>
          <w:tcPr>
            <w:tcW w:type="dxa" w:w="2160"/>
          </w:tcPr>
          <w:p>
            <w:pPr>
              <w:spacing w:after="60"/>
            </w:pPr>
            <w:r/>
            <w:r>
              <w:rPr>
                <w:b w:val="0"/>
                <w:sz w:val="20"/>
              </w:rPr>
            </w:r>
          </w:p>
        </w:tc>
      </w:tr>
      <w:tr>
        <w:tc>
          <w:tcPr>
            <w:tcW w:type="dxa" w:w="1152"/>
          </w:tcPr>
          <w:p>
            <w:pPr>
              <w:spacing w:after="60"/>
            </w:pPr>
            <w:r/>
            <w:r>
              <w:rPr>
                <w:b w:val="0"/>
                <w:sz w:val="20"/>
              </w:rPr>
              <w:t>Week 9</w:t>
            </w:r>
          </w:p>
        </w:tc>
        <w:tc>
          <w:tcPr>
            <w:tcW w:type="dxa" w:w="2304"/>
          </w:tcPr>
          <w:p>
            <w:pPr>
              <w:spacing w:after="60"/>
            </w:pPr>
            <w:r/>
            <w:r>
              <w:rPr>
                <w:b w:val="0"/>
                <w:sz w:val="20"/>
              </w:rPr>
              <w:t>Field Testing</w:t>
            </w:r>
          </w:p>
        </w:tc>
        <w:tc>
          <w:tcPr>
            <w:tcW w:type="dxa" w:w="3744"/>
          </w:tcPr>
          <w:p>
            <w:pPr>
              <w:spacing w:after="60"/>
            </w:pPr>
            <w:r/>
            <w:r>
              <w:rPr>
                <w:b w:val="0"/>
                <w:sz w:val="20"/>
              </w:rPr>
              <w:t>Drift Metrics, Nav Success Rate &amp; Benchmark</w:t>
            </w:r>
          </w:p>
        </w:tc>
        <w:tc>
          <w:tcPr>
            <w:tcW w:type="dxa" w:w="2160"/>
          </w:tcPr>
          <w:p>
            <w:pPr>
              <w:spacing w:after="60"/>
            </w:pPr>
            <w:r/>
            <w:r>
              <w:rPr>
                <w:b w:val="0"/>
                <w:sz w:val="20"/>
              </w:rPr>
            </w:r>
          </w:p>
        </w:tc>
      </w:tr>
      <w:tr>
        <w:tc>
          <w:tcPr>
            <w:tcW w:type="dxa" w:w="1152"/>
          </w:tcPr>
          <w:p>
            <w:pPr>
              <w:spacing w:after="60"/>
            </w:pPr>
            <w:r/>
            <w:r>
              <w:rPr>
                <w:b w:val="0"/>
                <w:sz w:val="20"/>
              </w:rPr>
              <w:t>Week 10</w:t>
            </w:r>
          </w:p>
        </w:tc>
        <w:tc>
          <w:tcPr>
            <w:tcW w:type="dxa" w:w="2304"/>
          </w:tcPr>
          <w:p>
            <w:pPr>
              <w:spacing w:after="60"/>
            </w:pPr>
            <w:r/>
            <w:r>
              <w:rPr>
                <w:b w:val="0"/>
                <w:sz w:val="20"/>
              </w:rPr>
              <w:t>Final Presentation</w:t>
            </w:r>
          </w:p>
        </w:tc>
        <w:tc>
          <w:tcPr>
            <w:tcW w:type="dxa" w:w="3744"/>
          </w:tcPr>
          <w:p>
            <w:pPr>
              <w:spacing w:after="60"/>
            </w:pPr>
            <w:r/>
            <w:r>
              <w:rPr>
                <w:b w:val="0"/>
                <w:sz w:val="20"/>
              </w:rPr>
              <w:t>Final Documentation, Video Demo &amp; Code Freeze</w:t>
            </w:r>
          </w:p>
        </w:tc>
        <w:tc>
          <w:tcPr>
            <w:tcW w:type="dxa" w:w="2160"/>
          </w:tcPr>
          <w:p>
            <w:pPr>
              <w:spacing w:after="60"/>
            </w:pPr>
            <w:r/>
            <w:r>
              <w:rPr>
                <w:b w:val="0"/>
                <w:sz w:val="20"/>
              </w:rPr>
            </w:r>
          </w:p>
        </w:tc>
      </w:tr>
    </w:tbl>
    <w:p/>
    <w:p>
      <w:pPr>
        <w:pStyle w:val="Heading2"/>
      </w:pPr>
      <w:r>
        <w:t>Week 1: Core Architecture and Micro-ROS Integration</w:t>
      </w:r>
    </w:p>
    <w:p>
      <w:r>
        <w:rPr>
          <w:b/>
        </w:rPr>
        <w:t xml:space="preserve">Current Status: </w:t>
      </w:r>
      <w:r>
        <w:t>Fully completed</w:t>
      </w:r>
    </w:p>
    <w:p>
      <w:pPr>
        <w:spacing w:after="120"/>
      </w:pPr>
      <w:r>
        <w:rPr>
          <w:i w:val="0"/>
        </w:rPr>
        <w:t>Week 1 is all about setting up and doing the background work, so that when the robot hardware arrives, we are set to start working right away. This includes setting up the GitHub repository where code sync and documentation are done, ESP-IDF, and ordering the hardware.</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016"/>
            <w:shd w:val="clear" w:color="auto" w:fill="D9D2E9"/>
          </w:tcPr>
          <w:p>
            <w:pPr>
              <w:spacing w:after="60"/>
            </w:pPr>
            <w:r/>
            <w:r>
              <w:rPr>
                <w:b/>
                <w:sz w:val="20"/>
              </w:rPr>
              <w:t>Task / Feature</w:t>
            </w:r>
          </w:p>
        </w:tc>
        <w:tc>
          <w:tcPr>
            <w:tcW w:type="dxa" w:w="1872"/>
            <w:shd w:val="clear" w:color="auto" w:fill="D9D2E9"/>
          </w:tcPr>
          <w:p>
            <w:pPr>
              <w:spacing w:after="60"/>
            </w:pPr>
            <w:r/>
            <w:r>
              <w:rPr>
                <w:b/>
                <w:sz w:val="20"/>
              </w:rPr>
              <w:t>Status</w:t>
            </w:r>
          </w:p>
        </w:tc>
        <w:tc>
          <w:tcPr>
            <w:tcW w:type="dxa" w:w="5472"/>
            <w:shd w:val="clear" w:color="auto" w:fill="D9D2E9"/>
          </w:tcPr>
          <w:p>
            <w:pPr>
              <w:spacing w:after="60"/>
            </w:pPr>
            <w:r/>
            <w:r>
              <w:rPr>
                <w:b/>
                <w:sz w:val="20"/>
              </w:rPr>
              <w:t>Description</w:t>
            </w:r>
          </w:p>
        </w:tc>
      </w:tr>
      <w:tr>
        <w:tc>
          <w:tcPr>
            <w:tcW w:type="dxa" w:w="2016"/>
          </w:tcPr>
          <w:p>
            <w:pPr>
              <w:spacing w:after="60"/>
            </w:pPr>
            <w:r/>
            <w:r>
              <w:rPr>
                <w:b w:val="0"/>
                <w:sz w:val="20"/>
              </w:rPr>
              <w:t>GitHub repository initialization</w:t>
            </w:r>
          </w:p>
        </w:tc>
        <w:tc>
          <w:tcPr>
            <w:tcW w:type="dxa" w:w="1872"/>
          </w:tcPr>
          <w:p>
            <w:pPr>
              <w:spacing w:after="60"/>
            </w:pPr>
            <w:r/>
            <w:r>
              <w:rPr>
                <w:b w:val="0"/>
                <w:sz w:val="20"/>
              </w:rPr>
              <w:t>Setup completed; details will be added as we go along</w:t>
            </w:r>
          </w:p>
        </w:tc>
        <w:tc>
          <w:tcPr>
            <w:tcW w:type="dxa" w:w="5472"/>
          </w:tcPr>
          <w:p>
            <w:pPr>
              <w:spacing w:after="60"/>
            </w:pPr>
            <w:r/>
            <w:r>
              <w:rPr>
                <w:b w:val="0"/>
                <w:sz w:val="20"/>
              </w:rPr>
              <w:t>Set up the core version control repository to serve as the central hub for our codebase and documentation.</w:t>
            </w:r>
          </w:p>
          <w:p>
            <w:pPr>
              <w:spacing w:after="60"/>
            </w:pPr>
            <w:r>
              <w:rPr>
                <w:b w:val="0"/>
                <w:sz w:val="20"/>
              </w:rPr>
              <w:t>It will also allow for future collaborative work where the code space needs to be edited and synced by many people.</w:t>
            </w:r>
          </w:p>
          <w:p>
            <w:pPr>
              <w:spacing w:after="60"/>
            </w:pPr>
            <w:r>
              <w:rPr>
                <w:b w:val="0"/>
                <w:sz w:val="20"/>
              </w:rPr>
              <w:t>We also set the repository to public mode, so all the work done can be accessed and utilized by many others.</w:t>
            </w:r>
          </w:p>
        </w:tc>
      </w:tr>
      <w:tr>
        <w:tc>
          <w:tcPr>
            <w:tcW w:type="dxa" w:w="2016"/>
          </w:tcPr>
          <w:p>
            <w:pPr>
              <w:spacing w:after="60"/>
            </w:pPr>
            <w:r/>
            <w:r>
              <w:rPr>
                <w:b w:val="0"/>
                <w:sz w:val="20"/>
              </w:rPr>
              <w:t>ESP-IDF Setup</w:t>
            </w:r>
          </w:p>
        </w:tc>
        <w:tc>
          <w:tcPr>
            <w:tcW w:type="dxa" w:w="1872"/>
          </w:tcPr>
          <w:p>
            <w:pPr>
              <w:spacing w:after="60"/>
            </w:pPr>
            <w:r/>
            <w:r>
              <w:rPr>
                <w:b w:val="0"/>
                <w:sz w:val="20"/>
              </w:rPr>
              <w:t>Complete</w:t>
            </w:r>
          </w:p>
        </w:tc>
        <w:tc>
          <w:tcPr>
            <w:tcW w:type="dxa" w:w="5472"/>
          </w:tcPr>
          <w:p>
            <w:pPr>
              <w:spacing w:after="60"/>
            </w:pPr>
            <w:r/>
            <w:r>
              <w:rPr>
                <w:b w:val="0"/>
                <w:sz w:val="20"/>
              </w:rPr>
              <w:t>Installed and configured the ESP-IDF framework. This is used to program the ESP32.</w:t>
            </w:r>
          </w:p>
        </w:tc>
      </w:tr>
      <w:tr>
        <w:tc>
          <w:tcPr>
            <w:tcW w:type="dxa" w:w="2016"/>
          </w:tcPr>
          <w:p>
            <w:pPr>
              <w:spacing w:after="60"/>
            </w:pPr>
            <w:r/>
            <w:r>
              <w:rPr>
                <w:b w:val="0"/>
                <w:sz w:val="20"/>
              </w:rPr>
              <w:t>Hardware Procurement</w:t>
            </w:r>
          </w:p>
        </w:tc>
        <w:tc>
          <w:tcPr>
            <w:tcW w:type="dxa" w:w="1872"/>
          </w:tcPr>
          <w:p>
            <w:pPr>
              <w:spacing w:after="60"/>
            </w:pPr>
            <w:r/>
            <w:r>
              <w:rPr>
                <w:b w:val="0"/>
                <w:sz w:val="20"/>
              </w:rPr>
              <w:t>Delayed</w:t>
            </w:r>
          </w:p>
        </w:tc>
        <w:tc>
          <w:tcPr>
            <w:tcW w:type="dxa" w:w="5472"/>
          </w:tcPr>
          <w:p>
            <w:pPr>
              <w:spacing w:after="60"/>
            </w:pPr>
            <w:r/>
            <w:r>
              <w:rPr>
                <w:b w:val="0"/>
                <w:sz w:val="20"/>
              </w:rPr>
              <w:t>Ordered the Jetson Orin Nano Super, motor drivers, and cameras. Encountered significant shipping delays and received broken components (camera and motor drivers) upon testing.</w:t>
            </w:r>
          </w:p>
        </w:tc>
      </w:tr>
    </w:tbl>
    <w:p/>
    <w:p>
      <w:pPr>
        <w:pStyle w:val="Heading2"/>
      </w:pPr>
      <w:r>
        <w:t>Comments</w:t>
      </w:r>
    </w:p>
    <w:p>
      <w:pPr>
        <w:pStyle w:val="ListBullet"/>
        <w:spacing w:after="120"/>
      </w:pPr>
      <w:r>
        <w:rPr>
          <w:b/>
        </w:rPr>
        <w:t xml:space="preserve">What went well: </w:t>
      </w:r>
      <w:r>
        <w:rPr>
          <w:i w:val="0"/>
        </w:rPr>
        <w:t>GitHub and ESP-IDF configurations went very well! Getting the software environment configured early meant we had a solid foundation ready to go. Even without the robot built, having the workspace completely set up saved us headaches down the line.</w:t>
      </w:r>
    </w:p>
    <w:p>
      <w:pPr>
        <w:pStyle w:val="ListBullet"/>
        <w:spacing w:after="120"/>
      </w:pPr>
      <w:r>
        <w:rPr>
          <w:b/>
        </w:rPr>
        <w:t xml:space="preserve">What was a struggle: </w:t>
      </w:r>
      <w:r>
        <w:rPr>
          <w:i w:val="0"/>
        </w:rPr>
        <w:t>The logistics were a problem. We spent a lot of time waiting for hardware components like the Jetson Orin Nano Super and motor drivers. Once components arrived, we carried out quick testing but encountered issues with the Jetson's camera and motor drivers. Likely broken components, and we will troubleshoot further.</w:t>
      </w:r>
    </w:p>
    <w:p>
      <w:pPr>
        <w:pStyle w:val="ListBullet"/>
        <w:spacing w:after="120"/>
      </w:pPr>
      <w:r>
        <w:rPr>
          <w:b/>
        </w:rPr>
        <w:t xml:space="preserve">Insight: </w:t>
      </w:r>
      <w:r>
        <w:rPr>
          <w:i w:val="0"/>
        </w:rPr>
        <w:t>The shipping delays turned out to be more significant than we expected, and unlike the software environment, they weren't something we could control. So instead of losing Week 1 to waiting, we focused on the one thing we could move forward on. That decision, to work on what's controllable rather than what isn't, became a pattern we'd return to any time hardware let us down later in the project, and proved to be an effective way to navigate obstacles throughout the build.</w:t>
      </w:r>
    </w:p>
    <w:p>
      <w:pPr>
        <w:pStyle w:val="Heading2"/>
      </w:pPr>
      <w:r>
        <w:t>Figures</w:t>
      </w:r>
    </w:p>
    <w:p>
      <w:pPr>
        <w:keepNext/>
        <w:jc w:val="center"/>
      </w:pPr>
      <w:r>
        <w:drawing>
          <wp:inline xmlns:a="http://schemas.openxmlformats.org/drawingml/2006/main" xmlns:pic="http://schemas.openxmlformats.org/drawingml/2006/picture">
            <wp:extent cx="5120640" cy="3332074"/>
            <wp:docPr id="1" name="Picture 1"/>
            <wp:cNvGraphicFramePr>
              <a:graphicFrameLocks noChangeAspect="1"/>
            </wp:cNvGraphicFramePr>
            <a:graphic>
              <a:graphicData uri="http://schemas.openxmlformats.org/drawingml/2006/picture">
                <pic:pic>
                  <pic:nvPicPr>
                    <pic:cNvPr id="0" name="p03_0.jpg"/>
                    <pic:cNvPicPr/>
                  </pic:nvPicPr>
                  <pic:blipFill>
                    <a:blip r:embed="rId9"/>
                    <a:stretch>
                      <a:fillRect/>
                    </a:stretch>
                  </pic:blipFill>
                  <pic:spPr>
                    <a:xfrm>
                      <a:off x="0" y="0"/>
                      <a:ext cx="5120640" cy="3332074"/>
                    </a:xfrm>
                    <a:prstGeom prst="rect"/>
                  </pic:spPr>
                </pic:pic>
              </a:graphicData>
            </a:graphic>
          </wp:inline>
        </w:drawing>
      </w:r>
    </w:p>
    <w:p>
      <w:pPr>
        <w:keepNext/>
        <w:jc w:val="center"/>
      </w:pPr>
      <w:r>
        <w:drawing>
          <wp:inline xmlns:a="http://schemas.openxmlformats.org/drawingml/2006/main" xmlns:pic="http://schemas.openxmlformats.org/drawingml/2006/picture">
            <wp:extent cx="5120640" cy="3836822"/>
            <wp:docPr id="2" name="Picture 2"/>
            <wp:cNvGraphicFramePr>
              <a:graphicFrameLocks noChangeAspect="1"/>
            </wp:cNvGraphicFramePr>
            <a:graphic>
              <a:graphicData uri="http://schemas.openxmlformats.org/drawingml/2006/picture">
                <pic:pic>
                  <pic:nvPicPr>
                    <pic:cNvPr id="0" name="p04_0.jpg"/>
                    <pic:cNvPicPr/>
                  </pic:nvPicPr>
                  <pic:blipFill>
                    <a:blip r:embed="rId10"/>
                    <a:stretch>
                      <a:fillRect/>
                    </a:stretch>
                  </pic:blipFill>
                  <pic:spPr>
                    <a:xfrm>
                      <a:off x="0" y="0"/>
                      <a:ext cx="5120640" cy="3836822"/>
                    </a:xfrm>
                    <a:prstGeom prst="rect"/>
                  </pic:spPr>
                </pic:pic>
              </a:graphicData>
            </a:graphic>
          </wp:inline>
        </w:drawing>
      </w:r>
    </w:p>
    <w:p>
      <w:pPr>
        <w:jc w:val="center"/>
      </w:pPr>
      <w:r>
        <w:rPr>
          <w:i/>
          <w:sz w:val="19"/>
        </w:rPr>
        <w:t>Figure 1: GitHub repository created and README written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C2F6B"/>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C2F6B"/>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