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2</w:t>
      </w:r>
    </w:p>
    <w:p>
      <w:pPr>
        <w:pStyle w:val="Heading2"/>
      </w:pPr>
      <w:r>
        <w:t>Master Schedule</w:t>
      </w:r>
    </w:p>
    <w:p>
      <w:pPr>
        <w:spacing w:after="120"/>
      </w:pPr>
      <w:r>
        <w:rPr>
          <w:i w:val="0"/>
        </w:rPr>
        <w:t>This is the current plan for the entire project. It showcases the current progress and upcoming intention; however, the future weeks' plans are subject to change as the project is further developed.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152"/>
            <w:shd w:val="clear" w:color="auto" w:fill="D9D2E9"/>
          </w:tcPr>
          <w:p>
            <w:pPr>
              <w:spacing w:after="60"/>
            </w:pPr>
            <w:r/>
            <w:r>
              <w:rPr>
                <w:b/>
                <w:sz w:val="20"/>
              </w:rPr>
              <w:t>Week</w:t>
            </w:r>
          </w:p>
        </w:tc>
        <w:tc>
          <w:tcPr>
            <w:tcW w:type="dxa" w:w="2304"/>
            <w:shd w:val="clear" w:color="auto" w:fill="D9D2E9"/>
          </w:tcPr>
          <w:p>
            <w:pPr>
              <w:spacing w:after="60"/>
            </w:pPr>
            <w:r/>
            <w:r>
              <w:rPr>
                <w:b/>
                <w:sz w:val="20"/>
              </w:rPr>
              <w:t>Phase / Focus</w:t>
            </w:r>
          </w:p>
        </w:tc>
        <w:tc>
          <w:tcPr>
            <w:tcW w:type="dxa" w:w="3744"/>
            <w:shd w:val="clear" w:color="auto" w:fill="D9D2E9"/>
          </w:tcPr>
          <w:p>
            <w:pPr>
              <w:spacing w:after="60"/>
            </w:pPr>
            <w:r/>
            <w:r>
              <w:rPr>
                <w:b/>
                <w:sz w:val="20"/>
              </w:rPr>
              <w:t>Key Deliverable</w:t>
            </w:r>
          </w:p>
        </w:tc>
        <w:tc>
          <w:tcPr>
            <w:tcW w:type="dxa" w:w="2160"/>
            <w:shd w:val="clear" w:color="auto" w:fill="D9D2E9"/>
          </w:tcPr>
          <w:p>
            <w:pPr>
              <w:spacing w:after="60"/>
            </w:pPr>
            <w:r/>
            <w:r>
              <w:rPr>
                <w:b/>
                <w:sz w:val="20"/>
              </w:rPr>
              <w:t>Status</w:t>
            </w:r>
          </w:p>
        </w:tc>
      </w:tr>
      <w:tr>
        <w:tc>
          <w:tcPr>
            <w:tcW w:type="dxa" w:w="1152"/>
          </w:tcPr>
          <w:p>
            <w:pPr>
              <w:spacing w:after="60"/>
            </w:pPr>
            <w:r/>
            <w:r>
              <w:rPr>
                <w:b w:val="0"/>
                <w:sz w:val="20"/>
              </w:rPr>
              <w:t>Week 1</w:t>
            </w:r>
          </w:p>
        </w:tc>
        <w:tc>
          <w:tcPr>
            <w:tcW w:type="dxa" w:w="2304"/>
          </w:tcPr>
          <w:p>
            <w:pPr>
              <w:spacing w:after="60"/>
            </w:pPr>
            <w:r/>
            <w:r>
              <w:rPr>
                <w:b w:val="0"/>
                <w:sz w:val="20"/>
              </w:rPr>
              <w:t>Core Architecture</w:t>
            </w:r>
          </w:p>
        </w:tc>
        <w:tc>
          <w:tcPr>
            <w:tcW w:type="dxa" w:w="3744"/>
          </w:tcPr>
          <w:p>
            <w:pPr>
              <w:spacing w:after="60"/>
            </w:pPr>
            <w:r/>
            <w:r>
              <w:rPr>
                <w:b w:val="0"/>
                <w:sz w:val="20"/>
              </w:rPr>
              <w:t>Project Initialization, Pipeline, ESP-IDF Setup, &amp; Ordering Hardware</w:t>
            </w:r>
          </w:p>
        </w:tc>
        <w:tc>
          <w:tcPr>
            <w:tcW w:type="dxa" w:w="2160"/>
          </w:tcPr>
          <w:p>
            <w:pPr>
              <w:spacing w:after="60"/>
            </w:pPr>
            <w:r/>
            <w:r>
              <w:rPr>
                <w:b w:val="0"/>
                <w:sz w:val="20"/>
              </w:rPr>
              <w:t>Completed</w:t>
            </w:r>
          </w:p>
        </w:tc>
      </w:tr>
      <w:tr>
        <w:tc>
          <w:tcPr>
            <w:tcW w:type="dxa" w:w="1152"/>
            <w:shd w:val="clear" w:color="auto" w:fill="F3EFFA"/>
          </w:tcPr>
          <w:p>
            <w:pPr>
              <w:spacing w:after="60"/>
            </w:pPr>
            <w:r/>
            <w:r>
              <w:rPr>
                <w:b w:val="0"/>
                <w:sz w:val="20"/>
              </w:rPr>
              <w:t>Week 2</w:t>
            </w:r>
          </w:p>
        </w:tc>
        <w:tc>
          <w:tcPr>
            <w:tcW w:type="dxa" w:w="2304"/>
            <w:shd w:val="clear" w:color="auto" w:fill="F3EFFA"/>
          </w:tcPr>
          <w:p>
            <w:pPr>
              <w:spacing w:after="60"/>
            </w:pPr>
            <w:r/>
            <w:r>
              <w:rPr>
                <w:b w:val="0"/>
                <w:sz w:val="20"/>
              </w:rPr>
              <w:t>System Design</w:t>
            </w:r>
          </w:p>
        </w:tc>
        <w:tc>
          <w:tcPr>
            <w:tcW w:type="dxa" w:w="3744"/>
            <w:shd w:val="clear" w:color="auto" w:fill="F3EFFA"/>
          </w:tcPr>
          <w:p>
            <w:pPr>
              <w:spacing w:after="60"/>
            </w:pPr>
            <w:r/>
            <w:r>
              <w:rPr>
                <w:b w:val="0"/>
                <w:sz w:val="20"/>
              </w:rPr>
              <w:t>I/O Specs, Hardware Architecture Planning &amp; Electronics Power Plans</w:t>
            </w:r>
          </w:p>
        </w:tc>
        <w:tc>
          <w:tcPr>
            <w:tcW w:type="dxa" w:w="2160"/>
            <w:shd w:val="clear" w:color="auto" w:fill="F3EFFA"/>
          </w:tcPr>
          <w:p>
            <w:pPr>
              <w:spacing w:after="60"/>
            </w:pPr>
            <w:r/>
            <w:r>
              <w:rPr>
                <w:b w:val="0"/>
                <w:sz w:val="20"/>
              </w:rPr>
              <w:t>Completed</w:t>
            </w:r>
          </w:p>
        </w:tc>
      </w:tr>
      <w:tr>
        <w:tc>
          <w:tcPr>
            <w:tcW w:type="dxa" w:w="1152"/>
          </w:tcPr>
          <w:p>
            <w:pPr>
              <w:spacing w:after="60"/>
            </w:pPr>
            <w:r/>
            <w:r>
              <w:rPr>
                <w:b w:val="0"/>
                <w:sz w:val="20"/>
              </w:rPr>
              <w:t>Week 3</w:t>
            </w:r>
          </w:p>
        </w:tc>
        <w:tc>
          <w:tcPr>
            <w:tcW w:type="dxa" w:w="2304"/>
          </w:tcPr>
          <w:p>
            <w:pPr>
              <w:spacing w:after="60"/>
            </w:pPr>
            <w:r/>
            <w:r>
              <w:rPr>
                <w:b w:val="0"/>
                <w:sz w:val="20"/>
              </w:rPr>
              <w:t>Drivetrain Prototyping</w:t>
            </w:r>
          </w:p>
        </w:tc>
        <w:tc>
          <w:tcPr>
            <w:tcW w:type="dxa" w:w="3744"/>
          </w:tcPr>
          <w:p>
            <w:pPr>
              <w:spacing w:after="60"/>
            </w:pPr>
            <w:r/>
            <w:r>
              <w:rPr>
                <w:b w:val="0"/>
                <w:sz w:val="20"/>
              </w:rPr>
              <w:t>ESP32 Motor Firmware &amp; H-Bridge Integration</w:t>
            </w:r>
          </w:p>
        </w:tc>
        <w:tc>
          <w:tcPr>
            <w:tcW w:type="dxa" w:w="2160"/>
          </w:tcPr>
          <w:p>
            <w:pPr>
              <w:spacing w:after="60"/>
            </w:pPr>
            <w:r/>
            <w:r>
              <w:rPr>
                <w:b w:val="0"/>
                <w:sz w:val="20"/>
              </w:rPr>
            </w:r>
          </w:p>
        </w:tc>
      </w:tr>
      <w:tr>
        <w:tc>
          <w:tcPr>
            <w:tcW w:type="dxa" w:w="1152"/>
          </w:tcPr>
          <w:p>
            <w:pPr>
              <w:spacing w:after="60"/>
            </w:pPr>
            <w:r/>
            <w:r>
              <w:rPr>
                <w:b w:val="0"/>
                <w:sz w:val="20"/>
              </w:rPr>
              <w:t>Week 4</w:t>
            </w:r>
          </w:p>
        </w:tc>
        <w:tc>
          <w:tcPr>
            <w:tcW w:type="dxa" w:w="2304"/>
          </w:tcPr>
          <w:p>
            <w:pPr>
              <w:spacing w:after="60"/>
            </w:pPr>
            <w:r/>
            <w:r>
              <w:rPr>
                <w:b w:val="0"/>
                <w:sz w:val="20"/>
              </w:rPr>
              <w:t>Sensor Integration</w:t>
            </w:r>
          </w:p>
        </w:tc>
        <w:tc>
          <w:tcPr>
            <w:tcW w:type="dxa" w:w="3744"/>
          </w:tcPr>
          <w:p>
            <w:pPr>
              <w:spacing w:after="60"/>
            </w:pPr>
            <w:r/>
            <w:r>
              <w:rPr>
                <w:b w:val="0"/>
                <w:sz w:val="20"/>
              </w:rPr>
              <w:t>Encoders, ISR Pulse Counting &amp; Power Decoupling</w:t>
            </w:r>
          </w:p>
        </w:tc>
        <w:tc>
          <w:tcPr>
            <w:tcW w:type="dxa" w:w="2160"/>
          </w:tcPr>
          <w:p>
            <w:pPr>
              <w:spacing w:after="60"/>
            </w:pPr>
            <w:r/>
            <w:r>
              <w:rPr>
                <w:b w:val="0"/>
                <w:sz w:val="20"/>
              </w:rPr>
            </w:r>
          </w:p>
        </w:tc>
      </w:tr>
      <w:tr>
        <w:tc>
          <w:tcPr>
            <w:tcW w:type="dxa" w:w="1152"/>
          </w:tcPr>
          <w:p>
            <w:pPr>
              <w:spacing w:after="60"/>
            </w:pPr>
            <w:r/>
            <w:r>
              <w:rPr>
                <w:b w:val="0"/>
                <w:sz w:val="20"/>
              </w:rPr>
              <w:t>Week 5</w:t>
            </w:r>
          </w:p>
        </w:tc>
        <w:tc>
          <w:tcPr>
            <w:tcW w:type="dxa" w:w="2304"/>
          </w:tcPr>
          <w:p>
            <w:pPr>
              <w:spacing w:after="60"/>
            </w:pPr>
            <w:r/>
            <w:r>
              <w:rPr>
                <w:b w:val="0"/>
                <w:sz w:val="20"/>
              </w:rPr>
              <w:t>Kinematics &amp; Vision</w:t>
            </w:r>
          </w:p>
        </w:tc>
        <w:tc>
          <w:tcPr>
            <w:tcW w:type="dxa" w:w="3744"/>
          </w:tcPr>
          <w:p>
            <w:pPr>
              <w:spacing w:after="60"/>
            </w:pPr>
            <w:r/>
            <w:r>
              <w:rPr>
                <w:b w:val="0"/>
                <w:sz w:val="20"/>
              </w:rPr>
              <w:t>PI Velocity Control, Odometry &amp; YOLOv8 Duck Dataset</w:t>
            </w:r>
          </w:p>
        </w:tc>
        <w:tc>
          <w:tcPr>
            <w:tcW w:type="dxa" w:w="2160"/>
          </w:tcPr>
          <w:p>
            <w:pPr>
              <w:spacing w:after="60"/>
            </w:pPr>
            <w:r/>
            <w:r>
              <w:rPr>
                <w:b w:val="0"/>
                <w:sz w:val="20"/>
              </w:rPr>
            </w:r>
          </w:p>
        </w:tc>
      </w:tr>
      <w:tr>
        <w:tc>
          <w:tcPr>
            <w:tcW w:type="dxa" w:w="1152"/>
          </w:tcPr>
          <w:p>
            <w:pPr>
              <w:spacing w:after="60"/>
            </w:pPr>
            <w:r/>
            <w:r>
              <w:rPr>
                <w:b w:val="0"/>
                <w:sz w:val="20"/>
              </w:rPr>
              <w:t>Week 6</w:t>
            </w:r>
          </w:p>
        </w:tc>
        <w:tc>
          <w:tcPr>
            <w:tcW w:type="dxa" w:w="2304"/>
          </w:tcPr>
          <w:p>
            <w:pPr>
              <w:spacing w:after="60"/>
            </w:pPr>
            <w:r/>
            <w:r>
              <w:rPr>
                <w:b w:val="0"/>
                <w:sz w:val="20"/>
              </w:rPr>
              <w:t>Navigation &amp; SLAM</w:t>
            </w:r>
          </w:p>
        </w:tc>
        <w:tc>
          <w:tcPr>
            <w:tcW w:type="dxa" w:w="3744"/>
          </w:tcPr>
          <w:p>
            <w:pPr>
              <w:spacing w:after="60"/>
            </w:pPr>
            <w:r/>
            <w:r>
              <w:rPr>
                <w:b w:val="0"/>
                <w:sz w:val="20"/>
              </w:rPr>
              <w:t>Stereo Calibration, Isaac ROS &amp; Nav2 MVP</w:t>
            </w:r>
          </w:p>
        </w:tc>
        <w:tc>
          <w:tcPr>
            <w:tcW w:type="dxa" w:w="2160"/>
          </w:tcPr>
          <w:p>
            <w:pPr>
              <w:spacing w:after="60"/>
            </w:pPr>
            <w:r/>
            <w:r>
              <w:rPr>
                <w:b w:val="0"/>
                <w:sz w:val="20"/>
              </w:rPr>
            </w:r>
          </w:p>
        </w:tc>
      </w:tr>
      <w:tr>
        <w:tc>
          <w:tcPr>
            <w:tcW w:type="dxa" w:w="1152"/>
          </w:tcPr>
          <w:p>
            <w:pPr>
              <w:spacing w:after="60"/>
            </w:pPr>
            <w:r/>
            <w:r>
              <w:rPr>
                <w:b w:val="0"/>
                <w:sz w:val="20"/>
              </w:rPr>
              <w:t>Week 7</w:t>
            </w:r>
          </w:p>
        </w:tc>
        <w:tc>
          <w:tcPr>
            <w:tcW w:type="dxa" w:w="2304"/>
          </w:tcPr>
          <w:p>
            <w:pPr>
              <w:spacing w:after="60"/>
            </w:pPr>
            <w:r/>
            <w:r>
              <w:rPr>
                <w:b w:val="0"/>
                <w:sz w:val="20"/>
              </w:rPr>
              <w:t>Semantic Navigation</w:t>
            </w:r>
          </w:p>
        </w:tc>
        <w:tc>
          <w:tcPr>
            <w:tcW w:type="dxa" w:w="3744"/>
          </w:tcPr>
          <w:p>
            <w:pPr>
              <w:spacing w:after="60"/>
            </w:pPr>
            <w:r/>
            <w:r>
              <w:rPr>
                <w:b w:val="0"/>
                <w:sz w:val="20"/>
              </w:rPr>
              <w:t>TensorRT Object Detection &amp; Target Routing</w:t>
            </w:r>
          </w:p>
        </w:tc>
        <w:tc>
          <w:tcPr>
            <w:tcW w:type="dxa" w:w="2160"/>
          </w:tcPr>
          <w:p>
            <w:pPr>
              <w:spacing w:after="60"/>
            </w:pPr>
            <w:r/>
            <w:r>
              <w:rPr>
                <w:b w:val="0"/>
                <w:sz w:val="20"/>
              </w:rPr>
            </w:r>
          </w:p>
        </w:tc>
      </w:tr>
      <w:tr>
        <w:tc>
          <w:tcPr>
            <w:tcW w:type="dxa" w:w="1152"/>
          </w:tcPr>
          <w:p>
            <w:pPr>
              <w:spacing w:after="60"/>
            </w:pPr>
            <w:r/>
            <w:r>
              <w:rPr>
                <w:b w:val="0"/>
                <w:sz w:val="20"/>
              </w:rPr>
              <w:t>Week 8</w:t>
            </w:r>
          </w:p>
        </w:tc>
        <w:tc>
          <w:tcPr>
            <w:tcW w:type="dxa" w:w="2304"/>
          </w:tcPr>
          <w:p>
            <w:pPr>
              <w:spacing w:after="60"/>
            </w:pPr>
            <w:r/>
            <w:r>
              <w:rPr>
                <w:b w:val="0"/>
                <w:sz w:val="20"/>
              </w:rPr>
              <w:t>System Integration</w:t>
            </w:r>
          </w:p>
        </w:tc>
        <w:tc>
          <w:tcPr>
            <w:tcW w:type="dxa" w:w="3744"/>
          </w:tcPr>
          <w:p>
            <w:pPr>
              <w:spacing w:after="60"/>
            </w:pPr>
            <w:r/>
            <w:r>
              <w:rPr>
                <w:b w:val="0"/>
                <w:sz w:val="20"/>
              </w:rPr>
              <w:t>Full Search &amp; Rescue Loop (Navigate + Report)</w:t>
            </w:r>
          </w:p>
        </w:tc>
        <w:tc>
          <w:tcPr>
            <w:tcW w:type="dxa" w:w="2160"/>
          </w:tcPr>
          <w:p>
            <w:pPr>
              <w:spacing w:after="60"/>
            </w:pPr>
            <w:r/>
            <w:r>
              <w:rPr>
                <w:b w:val="0"/>
                <w:sz w:val="20"/>
              </w:rPr>
            </w:r>
          </w:p>
        </w:tc>
      </w:tr>
      <w:tr>
        <w:tc>
          <w:tcPr>
            <w:tcW w:type="dxa" w:w="1152"/>
          </w:tcPr>
          <w:p>
            <w:pPr>
              <w:spacing w:after="60"/>
            </w:pPr>
            <w:r/>
            <w:r>
              <w:rPr>
                <w:b w:val="0"/>
                <w:sz w:val="20"/>
              </w:rPr>
              <w:t>Week 9</w:t>
            </w:r>
          </w:p>
        </w:tc>
        <w:tc>
          <w:tcPr>
            <w:tcW w:type="dxa" w:w="2304"/>
          </w:tcPr>
          <w:p>
            <w:pPr>
              <w:spacing w:after="60"/>
            </w:pPr>
            <w:r/>
            <w:r>
              <w:rPr>
                <w:b w:val="0"/>
                <w:sz w:val="20"/>
              </w:rPr>
              <w:t>Field Testing</w:t>
            </w:r>
          </w:p>
        </w:tc>
        <w:tc>
          <w:tcPr>
            <w:tcW w:type="dxa" w:w="3744"/>
          </w:tcPr>
          <w:p>
            <w:pPr>
              <w:spacing w:after="60"/>
            </w:pPr>
            <w:r/>
            <w:r>
              <w:rPr>
                <w:b w:val="0"/>
                <w:sz w:val="20"/>
              </w:rPr>
              <w:t>Drift Metrics, Nav Success Rate &amp; Benchmark</w:t>
            </w:r>
          </w:p>
        </w:tc>
        <w:tc>
          <w:tcPr>
            <w:tcW w:type="dxa" w:w="2160"/>
          </w:tcPr>
          <w:p>
            <w:pPr>
              <w:spacing w:after="60"/>
            </w:pPr>
            <w:r/>
            <w:r>
              <w:rPr>
                <w:b w:val="0"/>
                <w:sz w:val="20"/>
              </w:rPr>
            </w:r>
          </w:p>
        </w:tc>
      </w:tr>
      <w:tr>
        <w:tc>
          <w:tcPr>
            <w:tcW w:type="dxa" w:w="1152"/>
          </w:tcPr>
          <w:p>
            <w:pPr>
              <w:spacing w:after="60"/>
            </w:pPr>
            <w:r/>
            <w:r>
              <w:rPr>
                <w:b w:val="0"/>
                <w:sz w:val="20"/>
              </w:rPr>
              <w:t>Week 10</w:t>
            </w:r>
          </w:p>
        </w:tc>
        <w:tc>
          <w:tcPr>
            <w:tcW w:type="dxa" w:w="2304"/>
          </w:tcPr>
          <w:p>
            <w:pPr>
              <w:spacing w:after="60"/>
            </w:pPr>
            <w:r/>
            <w:r>
              <w:rPr>
                <w:b w:val="0"/>
                <w:sz w:val="20"/>
              </w:rPr>
              <w:t>Final Presentation</w:t>
            </w:r>
          </w:p>
        </w:tc>
        <w:tc>
          <w:tcPr>
            <w:tcW w:type="dxa" w:w="3744"/>
          </w:tcPr>
          <w:p>
            <w:pPr>
              <w:spacing w:after="60"/>
            </w:pPr>
            <w:r/>
            <w:r>
              <w:rPr>
                <w:b w:val="0"/>
                <w:sz w:val="20"/>
              </w:rPr>
              <w:t>Final Documentation, Video Demo &amp; Code Freeze</w:t>
            </w:r>
          </w:p>
        </w:tc>
        <w:tc>
          <w:tcPr>
            <w:tcW w:type="dxa" w:w="2160"/>
          </w:tcPr>
          <w:p>
            <w:pPr>
              <w:spacing w:after="60"/>
            </w:pPr>
            <w:r/>
            <w:r>
              <w:rPr>
                <w:b w:val="0"/>
                <w:sz w:val="20"/>
              </w:rPr>
            </w:r>
          </w:p>
        </w:tc>
      </w:tr>
    </w:tbl>
    <w:p/>
    <w:p>
      <w:pPr>
        <w:pStyle w:val="Heading2"/>
      </w:pPr>
      <w:r>
        <w:t>Week 2: System Design and Architecture Planning</w:t>
      </w:r>
    </w:p>
    <w:p>
      <w:r>
        <w:rPr>
          <w:b/>
        </w:rPr>
        <w:t xml:space="preserve">Current Status: </w:t>
      </w:r>
      <w:r>
        <w:t>Fully completed</w:t>
      </w:r>
    </w:p>
    <w:p>
      <w:pPr>
        <w:spacing w:after="120"/>
      </w:pPr>
      <w:r>
        <w:rPr>
          <w:i w:val="0"/>
        </w:rPr>
        <w:t>Week 2 is all about designing the system on paper before the hardware takes over, so that once parts arrive we already know how everything should fit together. This includes defining the goal of our system, input and output (a clicked map coordinate in, self-correcting motor movement out), planning the power architecture (what voltage each component needs and how we'll supply it), and documenting the overall pipeline and performance targets for the project.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16"/>
            <w:shd w:val="clear" w:color="auto" w:fill="D9D2E9"/>
          </w:tcPr>
          <w:p>
            <w:pPr>
              <w:spacing w:after="60"/>
            </w:pPr>
            <w:r/>
            <w:r>
              <w:rPr>
                <w:b/>
                <w:sz w:val="20"/>
              </w:rPr>
              <w:t>Task / Feature</w:t>
            </w:r>
          </w:p>
        </w:tc>
        <w:tc>
          <w:tcPr>
            <w:tcW w:type="dxa" w:w="1872"/>
            <w:shd w:val="clear" w:color="auto" w:fill="D9D2E9"/>
          </w:tcPr>
          <w:p>
            <w:pPr>
              <w:spacing w:after="60"/>
            </w:pPr>
            <w:r/>
            <w:r>
              <w:rPr>
                <w:b/>
                <w:sz w:val="20"/>
              </w:rPr>
              <w:t>Status</w:t>
            </w:r>
          </w:p>
        </w:tc>
        <w:tc>
          <w:tcPr>
            <w:tcW w:type="dxa" w:w="5472"/>
            <w:shd w:val="clear" w:color="auto" w:fill="D9D2E9"/>
          </w:tcPr>
          <w:p>
            <w:pPr>
              <w:spacing w:after="60"/>
            </w:pPr>
            <w:r/>
            <w:r>
              <w:rPr>
                <w:b/>
                <w:sz w:val="20"/>
              </w:rPr>
              <w:t>Description</w:t>
            </w:r>
          </w:p>
        </w:tc>
      </w:tr>
      <w:tr>
        <w:tc>
          <w:tcPr>
            <w:tcW w:type="dxa" w:w="2016"/>
          </w:tcPr>
          <w:p>
            <w:pPr>
              <w:spacing w:after="60"/>
            </w:pPr>
            <w:r/>
            <w:r>
              <w:rPr>
                <w:b w:val="0"/>
                <w:sz w:val="20"/>
              </w:rPr>
              <w:t>System I/O Definition</w:t>
            </w:r>
          </w:p>
        </w:tc>
        <w:tc>
          <w:tcPr>
            <w:tcW w:type="dxa" w:w="1872"/>
          </w:tcPr>
          <w:p>
            <w:pPr>
              <w:spacing w:after="60"/>
            </w:pPr>
            <w:r/>
            <w:r>
              <w:rPr>
                <w:b w:val="0"/>
                <w:sz w:val="20"/>
              </w:rPr>
              <w:t>Fully completed; however, specific details will need to be further refined as we move along</w:t>
            </w:r>
          </w:p>
        </w:tc>
        <w:tc>
          <w:tcPr>
            <w:tcW w:type="dxa" w:w="5472"/>
          </w:tcPr>
          <w:p>
            <w:pPr>
              <w:spacing w:after="60"/>
            </w:pPr>
            <w:r/>
            <w:r>
              <w:rPr>
                <w:b w:val="0"/>
                <w:sz w:val="20"/>
              </w:rPr>
              <w:t>Defined the exact system pipeline: input is a 2D coordinate on a map via RViz2 running on the Jetson Orin Nano Super, and the output is physical, self-correcting motor movement using PID on the ESP32 without the use of expensive LiDAR.</w:t>
            </w:r>
          </w:p>
        </w:tc>
      </w:tr>
      <w:tr>
        <w:tc>
          <w:tcPr>
            <w:tcW w:type="dxa" w:w="2016"/>
          </w:tcPr>
          <w:p>
            <w:pPr>
              <w:spacing w:after="60"/>
            </w:pPr>
            <w:r/>
            <w:r>
              <w:rPr>
                <w:b w:val="0"/>
                <w:sz w:val="20"/>
              </w:rPr>
              <w:t>Power Architecture Planning</w:t>
            </w:r>
          </w:p>
        </w:tc>
        <w:tc>
          <w:tcPr>
            <w:tcW w:type="dxa" w:w="1872"/>
          </w:tcPr>
          <w:p>
            <w:pPr>
              <w:spacing w:after="60"/>
            </w:pPr>
            <w:r/>
            <w:r>
              <w:rPr>
                <w:b w:val="0"/>
                <w:sz w:val="20"/>
              </w:rPr>
              <w:t>Under discussion</w:t>
            </w:r>
          </w:p>
        </w:tc>
        <w:tc>
          <w:tcPr>
            <w:tcW w:type="dxa" w:w="5472"/>
          </w:tcPr>
          <w:p>
            <w:pPr>
              <w:spacing w:after="60"/>
            </w:pPr>
            <w:r/>
            <w:r>
              <w:rPr>
                <w:b w:val="0"/>
                <w:sz w:val="20"/>
              </w:rPr>
              <w:t>Mapped out the powering plan for the system. The ESP32 and motors require 5V, which should be easy enough to supply. However, the Jetson runs with a 19.5V adapter. Research shows it could handle 9 to 12V. We plan on using a power bank with Power Delivery (PD) with a PD trigger module to feed clean 12 to 15V to the Jetson.</w:t>
            </w:r>
          </w:p>
          <w:p>
            <w:pPr>
              <w:spacing w:after="60"/>
            </w:pPr>
            <w:r>
              <w:rPr>
                <w:b w:val="0"/>
                <w:sz w:val="20"/>
              </w:rPr>
              <w:t>This will be tested soon.</w:t>
            </w:r>
          </w:p>
        </w:tc>
      </w:tr>
      <w:tr>
        <w:tc>
          <w:tcPr>
            <w:tcW w:type="dxa" w:w="2016"/>
          </w:tcPr>
          <w:p>
            <w:pPr>
              <w:spacing w:after="60"/>
            </w:pPr>
            <w:r/>
            <w:r>
              <w:rPr>
                <w:b w:val="0"/>
                <w:sz w:val="20"/>
              </w:rPr>
              <w:t>Hardware Documentation</w:t>
            </w:r>
          </w:p>
        </w:tc>
        <w:tc>
          <w:tcPr>
            <w:tcW w:type="dxa" w:w="1872"/>
          </w:tcPr>
          <w:p>
            <w:pPr>
              <w:spacing w:after="60"/>
            </w:pPr>
            <w:r/>
            <w:r>
              <w:rPr>
                <w:b w:val="0"/>
                <w:sz w:val="20"/>
              </w:rPr>
              <w:t>Completed</w:t>
            </w:r>
          </w:p>
        </w:tc>
        <w:tc>
          <w:tcPr>
            <w:tcW w:type="dxa" w:w="5472"/>
          </w:tcPr>
          <w:p>
            <w:pPr>
              <w:spacing w:after="60"/>
            </w:pPr>
            <w:r/>
            <w:r>
              <w:rPr>
                <w:b w:val="0"/>
                <w:sz w:val="20"/>
              </w:rPr>
              <w:t>Added the system pipeline diagrams, business context, and performance targets to the repository documentation.</w:t>
            </w:r>
          </w:p>
        </w:tc>
      </w:tr>
    </w:tbl>
    <w:p/>
    <w:p>
      <w:pPr>
        <w:pStyle w:val="Heading2"/>
      </w:pPr>
      <w:r>
        <w:t>Comments</w:t>
      </w:r>
    </w:p>
    <w:p>
      <w:pPr>
        <w:pStyle w:val="ListBullet"/>
        <w:spacing w:after="120"/>
      </w:pPr>
      <w:r>
        <w:rPr>
          <w:b/>
        </w:rPr>
        <w:t xml:space="preserve">What went well: </w:t>
      </w:r>
      <w:r>
        <w:rPr>
          <w:i w:val="0"/>
        </w:rPr>
        <w:t>Nailing down the exact performance targets (like aiming for a 100 Hz motor control loop and &lt;5 cm drift per 5m) gave the project strict engineering constraints. The theoretical architecture phase allowed us to anticipate power draw issues before plugging anything in.</w:t>
      </w:r>
    </w:p>
    <w:p>
      <w:pPr>
        <w:pStyle w:val="ListBullet"/>
        <w:spacing w:after="120"/>
      </w:pPr>
      <w:r>
        <w:rPr>
          <w:b/>
        </w:rPr>
        <w:t xml:space="preserve">What was a struggle: </w:t>
      </w:r>
      <w:r>
        <w:rPr>
          <w:i w:val="0"/>
        </w:rPr>
        <w:t>We were still heavily limited by hardware availability, which meant we were relying on theoretical diagrams and data sheets rather than physical prototyping. It is difficult to validate a power architecture plan when you cannot physically measure the motor inrush current yet.</w:t>
      </w:r>
    </w:p>
    <w:p>
      <w:pPr>
        <w:pStyle w:val="ListBullet"/>
        <w:spacing w:after="120"/>
      </w:pPr>
      <w:r>
        <w:rPr>
          <w:b/>
        </w:rPr>
        <w:t xml:space="preserve">Insight: </w:t>
      </w:r>
      <w:r>
        <w:rPr>
          <w:i w:val="0"/>
        </w:rPr>
        <w:t>Committing to hard numeric targets before the hardware even existed (specifically a 100 Hz control loop and &lt;5 cm drift per 5 m) forced us to design with discipline instead of vague intentions. But designing on paper doesn't always translate well into real life. That gap between theoretical planning and physical performance is exactly what caught up with us once assembly began.</w:t>
      </w:r>
    </w:p>
    <w:p>
      <w:pPr>
        <w:pStyle w:val="Heading2"/>
      </w:pPr>
      <w:r>
        <w:t>Figures</w:t>
      </w:r>
    </w:p>
    <w:p>
      <w:pPr>
        <w:keepNext/>
        <w:jc w:val="center"/>
      </w:pPr>
      <w:r>
        <w:drawing>
          <wp:inline xmlns:a="http://schemas.openxmlformats.org/drawingml/2006/main" xmlns:pic="http://schemas.openxmlformats.org/drawingml/2006/picture">
            <wp:extent cx="4572000" cy="4086273"/>
            <wp:docPr id="1" name="Picture 1"/>
            <wp:cNvGraphicFramePr>
              <a:graphicFrameLocks noChangeAspect="1"/>
            </wp:cNvGraphicFramePr>
            <a:graphic>
              <a:graphicData uri="http://schemas.openxmlformats.org/drawingml/2006/picture">
                <pic:pic>
                  <pic:nvPicPr>
                    <pic:cNvPr id="0" name="p07_0.jpg"/>
                    <pic:cNvPicPr/>
                  </pic:nvPicPr>
                  <pic:blipFill>
                    <a:blip r:embed="rId9"/>
                    <a:stretch>
                      <a:fillRect/>
                    </a:stretch>
                  </pic:blipFill>
                  <pic:spPr>
                    <a:xfrm>
                      <a:off x="0" y="0"/>
                      <a:ext cx="4572000" cy="4086273"/>
                    </a:xfrm>
                    <a:prstGeom prst="rect"/>
                  </pic:spPr>
                </pic:pic>
              </a:graphicData>
            </a:graphic>
          </wp:inline>
        </w:drawing>
      </w:r>
    </w:p>
    <w:p>
      <w:pPr>
        <w:jc w:val="center"/>
      </w:pPr>
      <w:r>
        <w:rPr>
          <w:i/>
          <w:sz w:val="19"/>
        </w:rPr>
        <w:t>Figure 1: Current system pipeline plans, covering the distribution of tasks between the Jetson &amp; the ESP32 and the relevant hardware/software solutions</w:t>
      </w:r>
    </w:p>
    <w:p>
      <w:pPr>
        <w:keepNext/>
        <w:jc w:val="center"/>
      </w:pPr>
      <w:r>
        <w:drawing>
          <wp:inline xmlns:a="http://schemas.openxmlformats.org/drawingml/2006/main" xmlns:pic="http://schemas.openxmlformats.org/drawingml/2006/picture">
            <wp:extent cx="5303520" cy="1443315"/>
            <wp:docPr id="2" name="Picture 2"/>
            <wp:cNvGraphicFramePr>
              <a:graphicFrameLocks noChangeAspect="1"/>
            </wp:cNvGraphicFramePr>
            <a:graphic>
              <a:graphicData uri="http://schemas.openxmlformats.org/drawingml/2006/picture">
                <pic:pic>
                  <pic:nvPicPr>
                    <pic:cNvPr id="0" name="p08_0.jpg"/>
                    <pic:cNvPicPr/>
                  </pic:nvPicPr>
                  <pic:blipFill>
                    <a:blip r:embed="rId10"/>
                    <a:stretch>
                      <a:fillRect/>
                    </a:stretch>
                  </pic:blipFill>
                  <pic:spPr>
                    <a:xfrm>
                      <a:off x="0" y="0"/>
                      <a:ext cx="5303520" cy="1443315"/>
                    </a:xfrm>
                    <a:prstGeom prst="rect"/>
                  </pic:spPr>
                </pic:pic>
              </a:graphicData>
            </a:graphic>
          </wp:inline>
        </w:drawing>
      </w:r>
    </w:p>
    <w:p>
      <w:pPr>
        <w:jc w:val="center"/>
      </w:pPr>
      <w:r>
        <w:rPr>
          <w:i/>
          <w:sz w:val="19"/>
        </w:rPr>
        <w:t>Figure 2: PID summary pipeline in preparation to set up the PID system on the ESP32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C2F6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C2F6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